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EB78B9">
      <w:pPr>
        <w:pStyle w:val="22"/>
        <w:jc w:val="center"/>
        <w:outlineLvl w:val="0"/>
        <w:rPr>
          <w:rFonts w:hint="eastAsia" w:ascii="宋体" w:hAnsi="宋体" w:eastAsia="宋体" w:cs="宋体"/>
          <w:b/>
          <w:bCs/>
          <w:snapToGrid w:val="0"/>
          <w:sz w:val="30"/>
          <w:szCs w:val="30"/>
        </w:rPr>
      </w:pPr>
      <w:r>
        <w:rPr>
          <w:rFonts w:hint="eastAsia" w:ascii="宋体" w:hAnsi="宋体" w:eastAsia="宋体" w:cs="宋体"/>
          <w:b/>
          <w:bCs/>
          <w:snapToGrid w:val="0"/>
          <w:sz w:val="30"/>
          <w:szCs w:val="30"/>
        </w:rPr>
        <w:t>一、建设项目基本情况</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1699"/>
        <w:gridCol w:w="1895"/>
        <w:gridCol w:w="2028"/>
        <w:gridCol w:w="3253"/>
      </w:tblGrid>
      <w:tr w14:paraId="72206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0ECE6C5F">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建设项目名称</w:t>
            </w:r>
          </w:p>
        </w:tc>
        <w:tc>
          <w:tcPr>
            <w:tcW w:w="7176" w:type="dxa"/>
            <w:gridSpan w:val="3"/>
            <w:tcBorders>
              <w:tl2br w:val="nil"/>
              <w:tr2bl w:val="nil"/>
            </w:tcBorders>
            <w:noWrap w:val="0"/>
            <w:vAlign w:val="center"/>
          </w:tcPr>
          <w:p w14:paraId="5F147127">
            <w:pPr>
              <w:adjustRightInd w:val="0"/>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安徽爱乐新材料科技有限公司年产一万吨高性能秸秆木塑型材智能制造项目</w:t>
            </w:r>
          </w:p>
        </w:tc>
      </w:tr>
      <w:tr w14:paraId="3F1B0A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09E62942">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项目代码</w:t>
            </w:r>
          </w:p>
        </w:tc>
        <w:tc>
          <w:tcPr>
            <w:tcW w:w="7176" w:type="dxa"/>
            <w:gridSpan w:val="3"/>
            <w:tcBorders>
              <w:tl2br w:val="nil"/>
              <w:tr2bl w:val="nil"/>
            </w:tcBorders>
            <w:noWrap w:val="0"/>
            <w:vAlign w:val="center"/>
          </w:tcPr>
          <w:p w14:paraId="29B5F9EB">
            <w:pPr>
              <w:adjustRightInd w:val="0"/>
              <w:snapToGrid w:val="0"/>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2508-341302-04-01-744434</w:t>
            </w:r>
          </w:p>
        </w:tc>
      </w:tr>
      <w:tr w14:paraId="6FD382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1F81955D">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建设单位联系人</w:t>
            </w:r>
          </w:p>
        </w:tc>
        <w:tc>
          <w:tcPr>
            <w:tcW w:w="1895" w:type="dxa"/>
            <w:tcBorders>
              <w:tl2br w:val="nil"/>
              <w:tr2bl w:val="nil"/>
            </w:tcBorders>
            <w:noWrap w:val="0"/>
            <w:vAlign w:val="center"/>
          </w:tcPr>
          <w:p w14:paraId="50D6AEB7">
            <w:pPr>
              <w:adjustRightInd w:val="0"/>
              <w:snapToGrid w:val="0"/>
              <w:jc w:val="center"/>
              <w:rPr>
                <w:rFonts w:hint="eastAsia" w:ascii="Times New Roman" w:hAnsi="Times New Roman" w:eastAsia="宋体" w:cs="Times New Roman"/>
                <w:sz w:val="24"/>
                <w:szCs w:val="24"/>
                <w:lang w:val="en-US" w:eastAsia="zh-CN"/>
              </w:rPr>
            </w:pPr>
          </w:p>
        </w:tc>
        <w:tc>
          <w:tcPr>
            <w:tcW w:w="2028" w:type="dxa"/>
            <w:tcBorders>
              <w:tl2br w:val="nil"/>
              <w:tr2bl w:val="nil"/>
            </w:tcBorders>
            <w:noWrap w:val="0"/>
            <w:vAlign w:val="center"/>
          </w:tcPr>
          <w:p w14:paraId="17DE58DC">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w:t>
            </w:r>
          </w:p>
        </w:tc>
        <w:tc>
          <w:tcPr>
            <w:tcW w:w="3253" w:type="dxa"/>
            <w:tcBorders>
              <w:tl2br w:val="nil"/>
              <w:tr2bl w:val="nil"/>
            </w:tcBorders>
            <w:noWrap w:val="0"/>
            <w:vAlign w:val="center"/>
          </w:tcPr>
          <w:p w14:paraId="6A770D59">
            <w:pPr>
              <w:adjustRightInd w:val="0"/>
              <w:snapToGrid w:val="0"/>
              <w:jc w:val="center"/>
              <w:rPr>
                <w:rFonts w:hint="default" w:ascii="Times New Roman" w:hAnsi="Times New Roman" w:eastAsia="宋体" w:cs="Times New Roman"/>
                <w:sz w:val="24"/>
                <w:szCs w:val="24"/>
                <w:lang w:val="en-US" w:eastAsia="zh-CN"/>
              </w:rPr>
            </w:pPr>
            <w:bookmarkStart w:id="6" w:name="_GoBack"/>
            <w:bookmarkEnd w:id="6"/>
          </w:p>
        </w:tc>
      </w:tr>
      <w:tr w14:paraId="2A5B20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4FA7C585">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建设地点</w:t>
            </w:r>
          </w:p>
        </w:tc>
        <w:tc>
          <w:tcPr>
            <w:tcW w:w="7176" w:type="dxa"/>
            <w:gridSpan w:val="3"/>
            <w:tcBorders>
              <w:tl2br w:val="nil"/>
              <w:tr2bl w:val="nil"/>
            </w:tcBorders>
            <w:noWrap w:val="0"/>
            <w:vAlign w:val="center"/>
          </w:tcPr>
          <w:p w14:paraId="2CF07BAC">
            <w:pPr>
              <w:adjustRightInd w:val="0"/>
              <w:snapToGrid w:val="0"/>
              <w:jc w:val="center"/>
              <w:rPr>
                <w:rFonts w:hint="default" w:ascii="Times New Roman" w:hAnsi="Times New Roman" w:eastAsia="宋体" w:cs="Times New Roman"/>
                <w:sz w:val="24"/>
                <w:szCs w:val="24"/>
                <w:lang w:val="en-US" w:eastAsia="zh-CN"/>
              </w:rPr>
            </w:pPr>
            <w:r>
              <w:rPr>
                <w:rFonts w:ascii="宋体" w:hAnsi="宋体" w:eastAsia="宋体" w:cs="宋体"/>
                <w:sz w:val="24"/>
                <w:szCs w:val="24"/>
              </w:rPr>
              <w:t>宿州</w:t>
            </w:r>
            <w:r>
              <w:rPr>
                <w:rFonts w:hint="eastAsia" w:ascii="宋体" w:hAnsi="宋体" w:cs="宋体"/>
                <w:sz w:val="24"/>
                <w:szCs w:val="24"/>
                <w:lang w:eastAsia="zh-CN"/>
              </w:rPr>
              <w:t>市</w:t>
            </w:r>
            <w:r>
              <w:rPr>
                <w:rFonts w:ascii="宋体" w:hAnsi="宋体" w:eastAsia="宋体" w:cs="宋体"/>
                <w:sz w:val="24"/>
                <w:szCs w:val="24"/>
              </w:rPr>
              <w:t>埇桥</w:t>
            </w:r>
            <w:r>
              <w:rPr>
                <w:rFonts w:hint="eastAsia" w:ascii="宋体" w:hAnsi="宋体" w:cs="宋体"/>
                <w:sz w:val="24"/>
                <w:szCs w:val="24"/>
                <w:lang w:eastAsia="zh-CN"/>
              </w:rPr>
              <w:t>区</w:t>
            </w:r>
            <w:r>
              <w:rPr>
                <w:rFonts w:ascii="宋体" w:hAnsi="宋体" w:eastAsia="宋体" w:cs="宋体"/>
                <w:sz w:val="24"/>
                <w:szCs w:val="24"/>
              </w:rPr>
              <w:t>循环经济示范园东二环西侧</w:t>
            </w:r>
            <w:r>
              <w:rPr>
                <w:rFonts w:hint="eastAsia" w:ascii="宋体" w:hAnsi="宋体" w:cs="宋体"/>
                <w:color w:val="000000" w:themeColor="text1"/>
                <w:sz w:val="24"/>
                <w:szCs w:val="24"/>
                <w:u w:val="none"/>
                <w:lang w:val="en-US" w:eastAsia="zh-CN"/>
                <w14:textFill>
                  <w14:solidFill>
                    <w14:schemeClr w14:val="tx1"/>
                  </w14:solidFill>
                </w14:textFill>
              </w:rPr>
              <w:t>（厂区二）</w:t>
            </w:r>
          </w:p>
        </w:tc>
      </w:tr>
      <w:tr w14:paraId="01E8DB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593971E1">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地理坐标</w:t>
            </w:r>
          </w:p>
        </w:tc>
        <w:tc>
          <w:tcPr>
            <w:tcW w:w="7176" w:type="dxa"/>
            <w:gridSpan w:val="3"/>
            <w:tcBorders>
              <w:tl2br w:val="nil"/>
              <w:tr2bl w:val="nil"/>
            </w:tcBorders>
            <w:shd w:val="clear" w:color="auto" w:fill="auto"/>
            <w:noWrap w:val="0"/>
            <w:vAlign w:val="center"/>
          </w:tcPr>
          <w:p w14:paraId="3BA73570">
            <w:pPr>
              <w:adjustRightInd w:val="0"/>
              <w:snapToGrid w:val="0"/>
              <w:jc w:val="center"/>
              <w:rPr>
                <w:rFonts w:hint="default" w:ascii="Times New Roman" w:hAnsi="Times New Roman" w:eastAsia="宋体" w:cs="Times New Roman"/>
                <w:color w:val="FF0000"/>
                <w:kern w:val="2"/>
                <w:sz w:val="24"/>
                <w:szCs w:val="24"/>
                <w:lang w:val="en-US" w:eastAsia="zh-CN" w:bidi="ar-SA"/>
              </w:rPr>
            </w:pPr>
            <w:r>
              <w:rPr>
                <w:rFonts w:hint="eastAsia"/>
                <w:color w:val="auto"/>
                <w:sz w:val="24"/>
              </w:rPr>
              <w:t>经度：</w:t>
            </w:r>
            <w:r>
              <w:rPr>
                <w:color w:val="auto"/>
                <w:sz w:val="24"/>
                <w:u w:val="single"/>
              </w:rPr>
              <w:t xml:space="preserve"> 117 </w:t>
            </w:r>
            <w:r>
              <w:rPr>
                <w:color w:val="auto"/>
                <w:sz w:val="24"/>
              </w:rPr>
              <w:t>度</w:t>
            </w:r>
            <w:r>
              <w:rPr>
                <w:color w:val="auto"/>
                <w:sz w:val="24"/>
                <w:u w:val="single"/>
              </w:rPr>
              <w:t xml:space="preserve"> </w:t>
            </w:r>
            <w:r>
              <w:rPr>
                <w:rFonts w:hint="eastAsia"/>
                <w:color w:val="auto"/>
                <w:sz w:val="24"/>
                <w:u w:val="single"/>
                <w:lang w:val="en-US" w:eastAsia="zh-CN"/>
              </w:rPr>
              <w:t>2</w:t>
            </w:r>
            <w:r>
              <w:rPr>
                <w:color w:val="auto"/>
                <w:sz w:val="24"/>
                <w:u w:val="single"/>
              </w:rPr>
              <w:t xml:space="preserve"> </w:t>
            </w:r>
            <w:r>
              <w:rPr>
                <w:color w:val="auto"/>
                <w:sz w:val="24"/>
              </w:rPr>
              <w:t>分</w:t>
            </w:r>
            <w:r>
              <w:rPr>
                <w:color w:val="auto"/>
                <w:sz w:val="24"/>
                <w:u w:val="single"/>
              </w:rPr>
              <w:t xml:space="preserve"> </w:t>
            </w:r>
            <w:r>
              <w:rPr>
                <w:rFonts w:hint="eastAsia"/>
                <w:color w:val="auto"/>
                <w:sz w:val="24"/>
                <w:u w:val="single"/>
                <w:lang w:val="en-US" w:eastAsia="zh-CN"/>
              </w:rPr>
              <w:t xml:space="preserve">24.356 </w:t>
            </w:r>
            <w:r>
              <w:rPr>
                <w:color w:val="auto"/>
                <w:sz w:val="24"/>
              </w:rPr>
              <w:t>秒，</w:t>
            </w:r>
            <w:r>
              <w:rPr>
                <w:rFonts w:hint="eastAsia"/>
                <w:color w:val="auto"/>
                <w:sz w:val="24"/>
              </w:rPr>
              <w:t>纬度：</w:t>
            </w:r>
            <w:r>
              <w:rPr>
                <w:color w:val="auto"/>
                <w:sz w:val="24"/>
                <w:u w:val="single"/>
              </w:rPr>
              <w:t xml:space="preserve"> 33 </w:t>
            </w:r>
            <w:r>
              <w:rPr>
                <w:color w:val="auto"/>
                <w:sz w:val="24"/>
              </w:rPr>
              <w:t>度</w:t>
            </w:r>
            <w:r>
              <w:rPr>
                <w:color w:val="auto"/>
                <w:sz w:val="24"/>
                <w:u w:val="single"/>
              </w:rPr>
              <w:t xml:space="preserve"> 3</w:t>
            </w:r>
            <w:r>
              <w:rPr>
                <w:rFonts w:hint="eastAsia"/>
                <w:color w:val="auto"/>
                <w:sz w:val="24"/>
                <w:u w:val="single"/>
                <w:lang w:val="en-US" w:eastAsia="zh-CN"/>
              </w:rPr>
              <w:t>8</w:t>
            </w:r>
            <w:r>
              <w:rPr>
                <w:color w:val="auto"/>
                <w:sz w:val="24"/>
                <w:u w:val="single"/>
              </w:rPr>
              <w:t xml:space="preserve"> </w:t>
            </w:r>
            <w:r>
              <w:rPr>
                <w:color w:val="auto"/>
                <w:sz w:val="24"/>
              </w:rPr>
              <w:t>分</w:t>
            </w:r>
            <w:r>
              <w:rPr>
                <w:rFonts w:hint="eastAsia"/>
                <w:color w:val="auto"/>
                <w:sz w:val="24"/>
                <w:u w:val="single"/>
                <w:lang w:val="en-US" w:eastAsia="zh-CN"/>
              </w:rPr>
              <w:t>30.906</w:t>
            </w:r>
            <w:r>
              <w:rPr>
                <w:color w:val="auto"/>
                <w:sz w:val="24"/>
              </w:rPr>
              <w:t>秒</w:t>
            </w:r>
          </w:p>
        </w:tc>
      </w:tr>
      <w:tr w14:paraId="783F94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643D8B0C">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国民经济</w:t>
            </w:r>
          </w:p>
          <w:p w14:paraId="5171E989">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行业类别</w:t>
            </w:r>
          </w:p>
        </w:tc>
        <w:tc>
          <w:tcPr>
            <w:tcW w:w="1895" w:type="dxa"/>
            <w:tcBorders>
              <w:tl2br w:val="nil"/>
              <w:tr2bl w:val="nil"/>
            </w:tcBorders>
            <w:noWrap w:val="0"/>
            <w:vAlign w:val="center"/>
          </w:tcPr>
          <w:p w14:paraId="402E4041">
            <w:pPr>
              <w:adjustRightInd w:val="0"/>
              <w:snapToGrid w:val="0"/>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sz w:val="24"/>
                <w:szCs w:val="24"/>
                <w:lang w:val="en-US" w:eastAsia="zh-CN"/>
              </w:rPr>
              <w:t>C2922</w:t>
            </w:r>
            <w:r>
              <w:rPr>
                <w:rFonts w:hint="default" w:ascii="Times New Roman" w:hAnsi="Times New Roman" w:eastAsia="宋体" w:cs="Times New Roman"/>
                <w:b w:val="0"/>
                <w:bCs w:val="0"/>
                <w:sz w:val="24"/>
                <w:szCs w:val="24"/>
                <w:lang w:val="en-US" w:eastAsia="zh-CN"/>
              </w:rPr>
              <w:t>塑料板、管、型材制造</w:t>
            </w:r>
          </w:p>
        </w:tc>
        <w:tc>
          <w:tcPr>
            <w:tcW w:w="2028" w:type="dxa"/>
            <w:tcBorders>
              <w:tl2br w:val="nil"/>
              <w:tr2bl w:val="nil"/>
            </w:tcBorders>
            <w:noWrap w:val="0"/>
            <w:vAlign w:val="center"/>
          </w:tcPr>
          <w:p w14:paraId="6F1B3A09">
            <w:pPr>
              <w:adjustRightInd w:val="0"/>
              <w:snapToGrid w:val="0"/>
              <w:jc w:val="center"/>
              <w:rPr>
                <w:rFonts w:hint="default" w:ascii="Times New Roman" w:hAnsi="Times New Roman" w:eastAsia="宋体" w:cs="Times New Roman"/>
                <w:sz w:val="24"/>
                <w:szCs w:val="24"/>
              </w:rPr>
            </w:pPr>
            <w:bookmarkStart w:id="0" w:name="_Hlk49843745"/>
            <w:r>
              <w:rPr>
                <w:rFonts w:hint="default" w:ascii="Times New Roman" w:hAnsi="Times New Roman" w:eastAsia="宋体" w:cs="Times New Roman"/>
                <w:sz w:val="24"/>
                <w:szCs w:val="24"/>
              </w:rPr>
              <w:t>建设项目</w:t>
            </w:r>
          </w:p>
          <w:p w14:paraId="2B26592B">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行业</w:t>
            </w:r>
            <w:r>
              <w:rPr>
                <w:rFonts w:hint="eastAsia" w:cs="Times New Roman"/>
                <w:sz w:val="24"/>
                <w:szCs w:val="24"/>
                <w:lang w:val="en-US" w:eastAsia="zh-CN"/>
              </w:rPr>
              <w:t xml:space="preserve">  </w:t>
            </w:r>
            <w:r>
              <w:rPr>
                <w:rFonts w:hint="default" w:ascii="Times New Roman" w:hAnsi="Times New Roman" w:eastAsia="宋体" w:cs="Times New Roman"/>
                <w:sz w:val="24"/>
                <w:szCs w:val="24"/>
              </w:rPr>
              <w:t>类别</w:t>
            </w:r>
            <w:bookmarkEnd w:id="0"/>
          </w:p>
        </w:tc>
        <w:tc>
          <w:tcPr>
            <w:tcW w:w="3253" w:type="dxa"/>
            <w:tcBorders>
              <w:tl2br w:val="nil"/>
              <w:tr2bl w:val="nil"/>
            </w:tcBorders>
            <w:noWrap w:val="0"/>
            <w:vAlign w:val="center"/>
          </w:tcPr>
          <w:p w14:paraId="0153F2C1">
            <w:pPr>
              <w:adjustRightInd w:val="0"/>
              <w:snapToGrid w:val="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二十六、橡胶和塑料制品业 29</w:t>
            </w:r>
            <w:r>
              <w:rPr>
                <w:rFonts w:hint="eastAsia" w:cs="Times New Roman"/>
                <w:sz w:val="24"/>
                <w:szCs w:val="24"/>
                <w:lang w:val="en-US" w:eastAsia="zh-CN"/>
              </w:rPr>
              <w:t xml:space="preserve">  塑料制品业 292</w:t>
            </w:r>
          </w:p>
        </w:tc>
      </w:tr>
      <w:tr w14:paraId="6FBE06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31451EAD">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建设性质</w:t>
            </w:r>
          </w:p>
        </w:tc>
        <w:tc>
          <w:tcPr>
            <w:tcW w:w="1895" w:type="dxa"/>
            <w:tcBorders>
              <w:tl2br w:val="nil"/>
              <w:tr2bl w:val="nil"/>
            </w:tcBorders>
            <w:noWrap w:val="0"/>
            <w:vAlign w:val="center"/>
          </w:tcPr>
          <w:p w14:paraId="1DBF2014">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新建（迁建）</w:t>
            </w:r>
          </w:p>
          <w:p w14:paraId="24CAB6B4">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改建</w:t>
            </w:r>
          </w:p>
          <w:p w14:paraId="5C38533E">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扩建</w:t>
            </w:r>
          </w:p>
          <w:p w14:paraId="25B9BFC5">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技术改造</w:t>
            </w:r>
          </w:p>
        </w:tc>
        <w:tc>
          <w:tcPr>
            <w:tcW w:w="2028" w:type="dxa"/>
            <w:tcBorders>
              <w:tl2br w:val="nil"/>
              <w:tr2bl w:val="nil"/>
            </w:tcBorders>
            <w:noWrap w:val="0"/>
            <w:vAlign w:val="center"/>
          </w:tcPr>
          <w:p w14:paraId="1448A973">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建设项目</w:t>
            </w:r>
          </w:p>
          <w:p w14:paraId="05D07967">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申报情形</w:t>
            </w:r>
          </w:p>
        </w:tc>
        <w:tc>
          <w:tcPr>
            <w:tcW w:w="3253" w:type="dxa"/>
            <w:tcBorders>
              <w:tl2br w:val="nil"/>
              <w:tr2bl w:val="nil"/>
            </w:tcBorders>
            <w:noWrap w:val="0"/>
            <w:vAlign w:val="center"/>
          </w:tcPr>
          <w:p w14:paraId="6657E0E9">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 xml:space="preserve">首次申报项目             </w:t>
            </w:r>
          </w:p>
          <w:p w14:paraId="0B05AA15">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不予批准后再次申报项目</w:t>
            </w:r>
          </w:p>
          <w:p w14:paraId="74F503BA">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 xml:space="preserve">超五年重新审核项目     </w:t>
            </w:r>
          </w:p>
          <w:p w14:paraId="72E3B6EF">
            <w:pPr>
              <w:jc w:val="left"/>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重大变动重新报批项目</w:t>
            </w:r>
          </w:p>
        </w:tc>
      </w:tr>
      <w:tr w14:paraId="756FFB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43C75047">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项目审批（核准/</w:t>
            </w:r>
          </w:p>
          <w:p w14:paraId="742DFE04">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备案）部门（选填）</w:t>
            </w:r>
          </w:p>
        </w:tc>
        <w:tc>
          <w:tcPr>
            <w:tcW w:w="1895" w:type="dxa"/>
            <w:tcBorders>
              <w:tl2br w:val="nil"/>
              <w:tr2bl w:val="nil"/>
            </w:tcBorders>
            <w:noWrap w:val="0"/>
            <w:vAlign w:val="center"/>
          </w:tcPr>
          <w:p w14:paraId="0575F3A1">
            <w:pPr>
              <w:adjustRightInd w:val="0"/>
              <w:snapToGrid w:val="0"/>
              <w:jc w:val="center"/>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埇桥区发展和改革委员会</w:t>
            </w:r>
          </w:p>
        </w:tc>
        <w:tc>
          <w:tcPr>
            <w:tcW w:w="2028" w:type="dxa"/>
            <w:tcBorders>
              <w:tl2br w:val="nil"/>
              <w:tr2bl w:val="nil"/>
            </w:tcBorders>
            <w:noWrap w:val="0"/>
            <w:vAlign w:val="center"/>
          </w:tcPr>
          <w:p w14:paraId="3B768160">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项目审批（核准/</w:t>
            </w:r>
          </w:p>
          <w:p w14:paraId="2ADDE845">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备案）文号（选填）</w:t>
            </w:r>
          </w:p>
        </w:tc>
        <w:tc>
          <w:tcPr>
            <w:tcW w:w="3253" w:type="dxa"/>
            <w:tcBorders>
              <w:tl2br w:val="nil"/>
              <w:tr2bl w:val="nil"/>
            </w:tcBorders>
            <w:noWrap w:val="0"/>
            <w:vAlign w:val="center"/>
          </w:tcPr>
          <w:p w14:paraId="13B769C2">
            <w:pPr>
              <w:adjustRightInd w:val="0"/>
              <w:snapToGrid w:val="0"/>
              <w:jc w:val="center"/>
              <w:rPr>
                <w:rFonts w:hint="default" w:ascii="Times New Roman" w:hAnsi="Times New Roman" w:eastAsia="宋体" w:cs="Times New Roman"/>
                <w:sz w:val="24"/>
                <w:szCs w:val="24"/>
                <w:lang w:val="en-US" w:eastAsia="zh-CN"/>
              </w:rPr>
            </w:pPr>
          </w:p>
        </w:tc>
      </w:tr>
      <w:tr w14:paraId="187FCD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10E4E4E3">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总投资（万元）</w:t>
            </w:r>
          </w:p>
        </w:tc>
        <w:tc>
          <w:tcPr>
            <w:tcW w:w="1895" w:type="dxa"/>
            <w:tcBorders>
              <w:tl2br w:val="nil"/>
              <w:tr2bl w:val="nil"/>
            </w:tcBorders>
            <w:noWrap w:val="0"/>
            <w:vAlign w:val="center"/>
          </w:tcPr>
          <w:p w14:paraId="6603D168">
            <w:pPr>
              <w:adjustRightInd w:val="0"/>
              <w:snapToGrid w:val="0"/>
              <w:jc w:val="cente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3000</w:t>
            </w:r>
          </w:p>
        </w:tc>
        <w:tc>
          <w:tcPr>
            <w:tcW w:w="2028" w:type="dxa"/>
            <w:tcBorders>
              <w:tl2br w:val="nil"/>
              <w:tr2bl w:val="nil"/>
            </w:tcBorders>
            <w:noWrap w:val="0"/>
            <w:tcMar>
              <w:top w:w="16" w:type="dxa"/>
              <w:left w:w="16" w:type="dxa"/>
              <w:right w:w="16" w:type="dxa"/>
            </w:tcMar>
            <w:vAlign w:val="center"/>
          </w:tcPr>
          <w:p w14:paraId="261D504A">
            <w:pPr>
              <w:adjustRightInd w:val="0"/>
              <w:snapToGrid w:val="0"/>
              <w:jc w:val="center"/>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环保投资（万元）</w:t>
            </w:r>
          </w:p>
        </w:tc>
        <w:tc>
          <w:tcPr>
            <w:tcW w:w="3253" w:type="dxa"/>
            <w:tcBorders>
              <w:tl2br w:val="nil"/>
              <w:tr2bl w:val="nil"/>
            </w:tcBorders>
            <w:noWrap w:val="0"/>
            <w:vAlign w:val="center"/>
          </w:tcPr>
          <w:p w14:paraId="3B62BD5C">
            <w:pPr>
              <w:adjustRightInd w:val="0"/>
              <w:snapToGrid w:val="0"/>
              <w:jc w:val="cente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50</w:t>
            </w:r>
          </w:p>
        </w:tc>
      </w:tr>
      <w:tr w14:paraId="585090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24638AD4">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环保投资占比（%）</w:t>
            </w:r>
          </w:p>
        </w:tc>
        <w:tc>
          <w:tcPr>
            <w:tcW w:w="1895" w:type="dxa"/>
            <w:tcBorders>
              <w:tl2br w:val="nil"/>
              <w:tr2bl w:val="nil"/>
            </w:tcBorders>
            <w:noWrap w:val="0"/>
            <w:vAlign w:val="center"/>
          </w:tcPr>
          <w:p w14:paraId="6A5C4BC3">
            <w:pPr>
              <w:adjustRightInd w:val="0"/>
              <w:snapToGrid w:val="0"/>
              <w:jc w:val="cente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lang w:val="en-US" w:eastAsia="zh-CN"/>
              </w:rPr>
              <w:t>1.7</w:t>
            </w:r>
          </w:p>
        </w:tc>
        <w:tc>
          <w:tcPr>
            <w:tcW w:w="2028" w:type="dxa"/>
            <w:tcBorders>
              <w:tl2br w:val="nil"/>
              <w:tr2bl w:val="nil"/>
            </w:tcBorders>
            <w:noWrap w:val="0"/>
            <w:tcMar>
              <w:top w:w="16" w:type="dxa"/>
              <w:left w:w="16" w:type="dxa"/>
              <w:right w:w="16" w:type="dxa"/>
            </w:tcMar>
            <w:vAlign w:val="center"/>
          </w:tcPr>
          <w:p w14:paraId="0D63793F">
            <w:pPr>
              <w:adjustRightInd w:val="0"/>
              <w:snapToGrid w:val="0"/>
              <w:jc w:val="center"/>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施工工期</w:t>
            </w:r>
          </w:p>
        </w:tc>
        <w:tc>
          <w:tcPr>
            <w:tcW w:w="3253" w:type="dxa"/>
            <w:tcBorders>
              <w:tl2br w:val="nil"/>
              <w:tr2bl w:val="nil"/>
            </w:tcBorders>
            <w:noWrap w:val="0"/>
            <w:vAlign w:val="center"/>
          </w:tcPr>
          <w:p w14:paraId="5A217987">
            <w:pPr>
              <w:adjustRightInd w:val="0"/>
              <w:snapToGrid w:val="0"/>
              <w:jc w:val="center"/>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6个月</w:t>
            </w:r>
          </w:p>
        </w:tc>
      </w:tr>
      <w:tr w14:paraId="5F3006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699" w:type="dxa"/>
            <w:tcBorders>
              <w:tl2br w:val="nil"/>
              <w:tr2bl w:val="nil"/>
            </w:tcBorders>
            <w:noWrap w:val="0"/>
            <w:tcMar>
              <w:top w:w="16" w:type="dxa"/>
              <w:left w:w="16" w:type="dxa"/>
              <w:right w:w="16" w:type="dxa"/>
            </w:tcMar>
            <w:vAlign w:val="center"/>
          </w:tcPr>
          <w:p w14:paraId="5879FC14">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是否开工建设</w:t>
            </w:r>
          </w:p>
        </w:tc>
        <w:tc>
          <w:tcPr>
            <w:tcW w:w="1895" w:type="dxa"/>
            <w:tcBorders>
              <w:tl2br w:val="nil"/>
              <w:tr2bl w:val="nil"/>
            </w:tcBorders>
            <w:noWrap w:val="0"/>
            <w:vAlign w:val="center"/>
          </w:tcPr>
          <w:p w14:paraId="5F1D982B">
            <w:pPr>
              <w:adjustRightInd w:val="0"/>
              <w:snapToGrid w:val="0"/>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否</w:t>
            </w:r>
          </w:p>
          <w:p w14:paraId="3B79F2F4">
            <w:pPr>
              <w:adjustRightInd w:val="0"/>
              <w:snapToGrid w:val="0"/>
              <w:rPr>
                <w:rFonts w:hint="default" w:ascii="Times New Roman" w:hAnsi="Times New Roman" w:eastAsia="宋体" w:cs="Times New Roman"/>
                <w:sz w:val="24"/>
                <w:szCs w:val="24"/>
              </w:rPr>
            </w:pPr>
            <w:r>
              <w:rPr>
                <w:rFonts w:hint="eastAsia" w:cs="Times New Roman"/>
                <w:sz w:val="24"/>
                <w:szCs w:val="24"/>
                <w:lang w:eastAsia="zh-CN"/>
              </w:rPr>
              <w:t>□</w:t>
            </w:r>
            <w:r>
              <w:rPr>
                <w:rFonts w:hint="default" w:ascii="Times New Roman" w:hAnsi="Times New Roman" w:eastAsia="宋体" w:cs="Times New Roman"/>
                <w:sz w:val="24"/>
                <w:szCs w:val="24"/>
              </w:rPr>
              <w:t>是：</w:t>
            </w:r>
            <w:r>
              <w:rPr>
                <w:rFonts w:hint="default" w:ascii="Times New Roman" w:hAnsi="Times New Roman" w:eastAsia="宋体" w:cs="Times New Roman"/>
                <w:sz w:val="24"/>
                <w:szCs w:val="24"/>
                <w:u w:val="single"/>
              </w:rPr>
              <w:t xml:space="preserve">             </w:t>
            </w:r>
          </w:p>
        </w:tc>
        <w:tc>
          <w:tcPr>
            <w:tcW w:w="2028" w:type="dxa"/>
            <w:tcBorders>
              <w:tl2br w:val="nil"/>
              <w:tr2bl w:val="nil"/>
            </w:tcBorders>
            <w:noWrap w:val="0"/>
            <w:tcMar>
              <w:top w:w="16" w:type="dxa"/>
              <w:left w:w="16" w:type="dxa"/>
              <w:right w:w="16" w:type="dxa"/>
            </w:tcMar>
            <w:vAlign w:val="center"/>
          </w:tcPr>
          <w:p w14:paraId="0427065B">
            <w:pPr>
              <w:adjustRightInd w:val="0"/>
              <w:snapToGrid w:val="0"/>
              <w:jc w:val="center"/>
              <w:rPr>
                <w:rFonts w:hint="default" w:ascii="Times New Roman" w:hAnsi="Times New Roman" w:eastAsia="宋体" w:cs="Times New Roman"/>
                <w:spacing w:val="-6"/>
                <w:sz w:val="24"/>
                <w:szCs w:val="24"/>
              </w:rPr>
            </w:pPr>
            <w:r>
              <w:rPr>
                <w:rFonts w:hint="default" w:ascii="Times New Roman" w:hAnsi="Times New Roman" w:eastAsia="宋体" w:cs="Times New Roman"/>
                <w:spacing w:val="-6"/>
                <w:sz w:val="24"/>
                <w:szCs w:val="24"/>
              </w:rPr>
              <w:t>用地（用海）</w:t>
            </w:r>
          </w:p>
          <w:p w14:paraId="635119AB">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pacing w:val="-6"/>
                <w:sz w:val="24"/>
                <w:szCs w:val="24"/>
              </w:rPr>
              <w:t>面积（m</w:t>
            </w:r>
            <w:r>
              <w:rPr>
                <w:rFonts w:hint="default" w:ascii="Times New Roman" w:hAnsi="Times New Roman" w:eastAsia="宋体" w:cs="Times New Roman"/>
                <w:spacing w:val="-6"/>
                <w:sz w:val="24"/>
                <w:szCs w:val="24"/>
                <w:vertAlign w:val="superscript"/>
              </w:rPr>
              <w:t>2</w:t>
            </w:r>
            <w:r>
              <w:rPr>
                <w:rFonts w:hint="default" w:ascii="Times New Roman" w:hAnsi="Times New Roman" w:eastAsia="宋体" w:cs="Times New Roman"/>
                <w:spacing w:val="-6"/>
                <w:sz w:val="24"/>
                <w:szCs w:val="24"/>
              </w:rPr>
              <w:t>）</w:t>
            </w:r>
          </w:p>
        </w:tc>
        <w:tc>
          <w:tcPr>
            <w:tcW w:w="3253" w:type="dxa"/>
            <w:tcBorders>
              <w:tl2br w:val="nil"/>
              <w:tr2bl w:val="nil"/>
            </w:tcBorders>
            <w:noWrap w:val="0"/>
            <w:vAlign w:val="center"/>
          </w:tcPr>
          <w:p w14:paraId="0CCD4FD0">
            <w:pPr>
              <w:adjustRightInd w:val="0"/>
              <w:snapToGrid w:val="0"/>
              <w:jc w:val="center"/>
              <w:rPr>
                <w:rFonts w:hint="default" w:ascii="Times New Roman" w:hAnsi="Times New Roman" w:eastAsia="宋体" w:cs="Times New Roman"/>
                <w:sz w:val="24"/>
                <w:szCs w:val="24"/>
                <w:lang w:val="en-US" w:eastAsia="zh-CN"/>
              </w:rPr>
            </w:pPr>
            <w:r>
              <w:rPr>
                <w:rFonts w:hint="eastAsia" w:cs="Times New Roman"/>
                <w:color w:val="000000" w:themeColor="text1"/>
                <w:sz w:val="24"/>
                <w:szCs w:val="24"/>
                <w:lang w:val="en-US" w:eastAsia="zh-CN"/>
                <w14:textFill>
                  <w14:solidFill>
                    <w14:schemeClr w14:val="tx1"/>
                  </w14:solidFill>
                </w14:textFill>
              </w:rPr>
              <w:t>3000</w:t>
            </w:r>
          </w:p>
        </w:tc>
      </w:tr>
      <w:tr w14:paraId="5D8C4E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tcBorders>
              <w:tl2br w:val="nil"/>
              <w:tr2bl w:val="nil"/>
            </w:tcBorders>
            <w:noWrap w:val="0"/>
            <w:vAlign w:val="center"/>
          </w:tcPr>
          <w:p w14:paraId="1FF9F8AA">
            <w:pPr>
              <w:autoSpaceDE w:val="0"/>
              <w:autoSpaceDN w:val="0"/>
              <w:adjustRightInd w:val="0"/>
              <w:snapToGrid w:val="0"/>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专项评价设置情况</w:t>
            </w:r>
          </w:p>
        </w:tc>
        <w:tc>
          <w:tcPr>
            <w:tcW w:w="7176" w:type="dxa"/>
            <w:gridSpan w:val="3"/>
            <w:tcBorders>
              <w:tl2br w:val="nil"/>
              <w:tr2bl w:val="nil"/>
            </w:tcBorders>
            <w:noWrap w:val="0"/>
            <w:vAlign w:val="center"/>
          </w:tcPr>
          <w:p w14:paraId="588B95B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Times New Roman" w:hAnsi="Times New Roman" w:eastAsia="宋体" w:cs="Times New Roman"/>
                <w:kern w:val="0"/>
                <w:sz w:val="24"/>
                <w:szCs w:val="24"/>
                <w:lang w:val="en-US" w:eastAsia="zh-CN"/>
              </w:rPr>
            </w:pPr>
            <w:r>
              <w:rPr>
                <w:rFonts w:hint="eastAsia" w:cs="Times New Roman"/>
                <w:kern w:val="0"/>
                <w:sz w:val="24"/>
                <w:szCs w:val="24"/>
                <w:lang w:val="en-US" w:eastAsia="zh-CN"/>
              </w:rPr>
              <w:t>无</w:t>
            </w:r>
          </w:p>
        </w:tc>
      </w:tr>
      <w:tr w14:paraId="51B129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tcBorders>
              <w:tl2br w:val="nil"/>
              <w:tr2bl w:val="nil"/>
            </w:tcBorders>
            <w:noWrap w:val="0"/>
            <w:vAlign w:val="center"/>
          </w:tcPr>
          <w:p w14:paraId="398DCC5D">
            <w:pPr>
              <w:autoSpaceDE w:val="0"/>
              <w:autoSpaceDN w:val="0"/>
              <w:adjustRightInd w:val="0"/>
              <w:snapToGrid w:val="0"/>
              <w:jc w:val="center"/>
              <w:rPr>
                <w:rFonts w:hint="default" w:ascii="Times New Roman" w:hAnsi="Times New Roman" w:eastAsia="宋体" w:cs="Times New Roman"/>
                <w:kern w:val="0"/>
                <w:sz w:val="24"/>
                <w:szCs w:val="24"/>
              </w:rPr>
            </w:pPr>
            <w:r>
              <w:rPr>
                <w:rFonts w:hint="default" w:ascii="Times New Roman" w:hAnsi="Times New Roman" w:eastAsia="宋体" w:cs="Times New Roman"/>
                <w:sz w:val="24"/>
                <w:szCs w:val="24"/>
              </w:rPr>
              <w:t>规划情况</w:t>
            </w:r>
          </w:p>
        </w:tc>
        <w:tc>
          <w:tcPr>
            <w:tcW w:w="7176" w:type="dxa"/>
            <w:gridSpan w:val="3"/>
            <w:tcBorders>
              <w:tl2br w:val="nil"/>
              <w:tr2bl w:val="nil"/>
            </w:tcBorders>
            <w:shd w:val="clear" w:color="auto" w:fill="auto"/>
            <w:noWrap w:val="0"/>
            <w:vAlign w:val="center"/>
          </w:tcPr>
          <w:p w14:paraId="0D39A7C8">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14:textFill>
                  <w14:solidFill>
                    <w14:schemeClr w14:val="tx1"/>
                  </w14:solidFill>
                </w14:textFill>
              </w:rPr>
              <w:t>规划名称：</w:t>
            </w:r>
            <w:r>
              <w:rPr>
                <w:rFonts w:hint="default" w:ascii="Times New Roman" w:hAnsi="Times New Roman" w:eastAsia="宋体" w:cs="Times New Roman"/>
                <w:color w:val="000000" w:themeColor="text1"/>
                <w:kern w:val="0"/>
                <w:sz w:val="24"/>
                <w:szCs w:val="24"/>
                <w14:textFill>
                  <w14:solidFill>
                    <w14:schemeClr w14:val="tx1"/>
                  </w14:solidFill>
                </w14:textFill>
              </w:rPr>
              <w:t>《宿州市循环经济示范园总体规划（2012</w:t>
            </w:r>
            <w:r>
              <w:rPr>
                <w:rFonts w:hint="eastAsia" w:cs="Times New Roman"/>
                <w:color w:val="000000" w:themeColor="text1"/>
                <w:kern w:val="0"/>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0"/>
                <w:sz w:val="24"/>
                <w:szCs w:val="24"/>
                <w14:textFill>
                  <w14:solidFill>
                    <w14:schemeClr w14:val="tx1"/>
                  </w14:solidFill>
                </w14:textFill>
              </w:rPr>
              <w:t>2030年）》</w:t>
            </w:r>
          </w:p>
          <w:p w14:paraId="0054E89F">
            <w:pPr>
              <w:autoSpaceDE w:val="0"/>
              <w:autoSpaceDN w:val="0"/>
              <w:adjustRightInd w:val="0"/>
              <w:snapToGrid w:val="0"/>
              <w:spacing w:line="360" w:lineRule="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14:textFill>
                  <w14:solidFill>
                    <w14:schemeClr w14:val="tx1"/>
                  </w14:solidFill>
                </w14:textFill>
              </w:rPr>
              <w:t>审批机关：</w:t>
            </w:r>
            <w:r>
              <w:rPr>
                <w:rFonts w:hint="default" w:ascii="Times New Roman" w:hAnsi="Times New Roman" w:eastAsia="宋体" w:cs="Times New Roman"/>
                <w:color w:val="000000" w:themeColor="text1"/>
                <w:kern w:val="0"/>
                <w:sz w:val="24"/>
                <w:szCs w:val="24"/>
                <w14:textFill>
                  <w14:solidFill>
                    <w14:schemeClr w14:val="tx1"/>
                  </w14:solidFill>
                </w14:textFill>
              </w:rPr>
              <w:t>安徽省发展和改革委员会</w:t>
            </w:r>
          </w:p>
          <w:p w14:paraId="69B8A2AB">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b/>
                <w:bCs/>
                <w:color w:val="000000" w:themeColor="text1"/>
                <w:kern w:val="0"/>
                <w:sz w:val="24"/>
                <w:szCs w:val="24"/>
                <w14:textFill>
                  <w14:solidFill>
                    <w14:schemeClr w14:val="tx1"/>
                  </w14:solidFill>
                </w14:textFill>
              </w:rPr>
              <w:t>审批文件名称及文号：</w:t>
            </w:r>
            <w:r>
              <w:rPr>
                <w:rFonts w:hint="default" w:ascii="Times New Roman" w:hAnsi="Times New Roman" w:eastAsia="宋体" w:cs="Times New Roman"/>
                <w:color w:val="000000" w:themeColor="text1"/>
                <w:kern w:val="0"/>
                <w:sz w:val="24"/>
                <w:szCs w:val="24"/>
                <w14:textFill>
                  <w14:solidFill>
                    <w14:schemeClr w14:val="tx1"/>
                  </w14:solidFill>
                </w14:textFill>
              </w:rPr>
              <w:t>《关于印发安徽省第二批循环经济试点名单的通知》</w:t>
            </w:r>
            <w:r>
              <w:rPr>
                <w:rFonts w:hint="eastAsia" w:cs="Times New Roman"/>
                <w:color w:val="000000" w:themeColor="text1"/>
                <w:kern w:val="0"/>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0"/>
                <w:sz w:val="24"/>
                <w:szCs w:val="24"/>
                <w14:textFill>
                  <w14:solidFill>
                    <w14:schemeClr w14:val="tx1"/>
                  </w14:solidFill>
                </w14:textFill>
              </w:rPr>
              <w:t>发改地区〔2007〕1230号</w:t>
            </w:r>
            <w:r>
              <w:rPr>
                <w:rFonts w:hint="eastAsia" w:cs="Times New Roman"/>
                <w:color w:val="000000" w:themeColor="text1"/>
                <w:kern w:val="0"/>
                <w:sz w:val="24"/>
                <w:szCs w:val="24"/>
                <w:lang w:eastAsia="zh-CN"/>
                <w14:textFill>
                  <w14:solidFill>
                    <w14:schemeClr w14:val="tx1"/>
                  </w14:solidFill>
                </w14:textFill>
              </w:rPr>
              <w:t>）</w:t>
            </w:r>
          </w:p>
        </w:tc>
      </w:tr>
      <w:tr w14:paraId="51697A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9" w:type="dxa"/>
            <w:tcBorders>
              <w:tl2br w:val="nil"/>
              <w:tr2bl w:val="nil"/>
            </w:tcBorders>
            <w:noWrap w:val="0"/>
            <w:vAlign w:val="center"/>
          </w:tcPr>
          <w:p w14:paraId="70B54C38">
            <w:pPr>
              <w:adjustRightInd w:val="0"/>
              <w:snapToGrid w:val="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规划环境影响</w:t>
            </w:r>
          </w:p>
          <w:p w14:paraId="6A96E20D">
            <w:pPr>
              <w:adjustRightInd w:val="0"/>
              <w:snapToGrid w:val="0"/>
              <w:jc w:val="center"/>
              <w:rPr>
                <w:rFonts w:hint="default" w:ascii="Times New Roman" w:hAnsi="Times New Roman" w:eastAsia="宋体" w:cs="Times New Roman"/>
                <w:kern w:val="0"/>
                <w:sz w:val="24"/>
                <w:szCs w:val="24"/>
              </w:rPr>
            </w:pPr>
            <w:r>
              <w:rPr>
                <w:rFonts w:hint="default" w:ascii="Times New Roman" w:hAnsi="Times New Roman" w:eastAsia="宋体" w:cs="Times New Roman"/>
                <w:sz w:val="24"/>
                <w:szCs w:val="24"/>
              </w:rPr>
              <w:t>评价情况</w:t>
            </w:r>
          </w:p>
        </w:tc>
        <w:tc>
          <w:tcPr>
            <w:tcW w:w="7176" w:type="dxa"/>
            <w:gridSpan w:val="3"/>
            <w:tcBorders>
              <w:tl2br w:val="nil"/>
              <w:tr2bl w:val="nil"/>
            </w:tcBorders>
            <w:shd w:val="clear" w:color="auto" w:fill="auto"/>
            <w:noWrap w:val="0"/>
            <w:vAlign w:val="center"/>
          </w:tcPr>
          <w:p w14:paraId="10F03CD4">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textAlignment w:val="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eastAsia="微软雅黑"/>
                <w:b/>
                <w:bCs/>
                <w:color w:val="auto"/>
                <w:kern w:val="0"/>
                <w:sz w:val="24"/>
              </w:rPr>
              <w:t>①</w:t>
            </w:r>
            <w:r>
              <w:rPr>
                <w:rFonts w:hint="eastAsia" w:eastAsia="微软雅黑"/>
                <w:b/>
                <w:bCs/>
                <w:color w:val="auto"/>
                <w:kern w:val="0"/>
                <w:sz w:val="24"/>
                <w:lang w:val="en-US" w:eastAsia="zh-CN"/>
              </w:rPr>
              <w:t xml:space="preserve"> </w:t>
            </w:r>
            <w:r>
              <w:rPr>
                <w:rFonts w:hint="default" w:ascii="Times New Roman" w:hAnsi="Times New Roman" w:eastAsia="宋体" w:cs="Times New Roman"/>
                <w:b/>
                <w:bCs/>
                <w:color w:val="000000" w:themeColor="text1"/>
                <w:kern w:val="0"/>
                <w:sz w:val="24"/>
                <w:szCs w:val="24"/>
                <w14:textFill>
                  <w14:solidFill>
                    <w14:schemeClr w14:val="tx1"/>
                  </w14:solidFill>
                </w14:textFill>
              </w:rPr>
              <w:t>规划环评名称：</w:t>
            </w:r>
            <w:r>
              <w:rPr>
                <w:rFonts w:hint="default" w:ascii="Times New Roman" w:hAnsi="Times New Roman" w:eastAsia="宋体" w:cs="Times New Roman"/>
                <w:color w:val="000000" w:themeColor="text1"/>
                <w:kern w:val="0"/>
                <w:sz w:val="24"/>
                <w:szCs w:val="24"/>
                <w14:textFill>
                  <w14:solidFill>
                    <w14:schemeClr w14:val="tx1"/>
                  </w14:solidFill>
                </w14:textFill>
              </w:rPr>
              <w:t>《宿州市循环经济示范园总体规划环境影响报告书》</w:t>
            </w:r>
          </w:p>
          <w:p w14:paraId="586EEE12">
            <w:pPr>
              <w:autoSpaceDE w:val="0"/>
              <w:autoSpaceDN w:val="0"/>
              <w:adjustRightInd w:val="0"/>
              <w:snapToGrid w:val="0"/>
              <w:spacing w:line="360" w:lineRule="auto"/>
              <w:rPr>
                <w:rFonts w:hint="default" w:ascii="Times New Roman" w:hAnsi="Times New Roman" w:eastAsia="宋体" w:cs="Times New Roman"/>
                <w:color w:val="000000" w:themeColor="text1"/>
                <w:kern w:val="0"/>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14:textFill>
                  <w14:solidFill>
                    <w14:schemeClr w14:val="tx1"/>
                  </w14:solidFill>
                </w14:textFill>
              </w:rPr>
              <w:t>审查机关：</w:t>
            </w:r>
            <w:r>
              <w:rPr>
                <w:rFonts w:hint="default" w:ascii="Times New Roman" w:hAnsi="Times New Roman" w:eastAsia="宋体" w:cs="Times New Roman"/>
                <w:color w:val="000000" w:themeColor="text1"/>
                <w:kern w:val="0"/>
                <w:sz w:val="24"/>
                <w:szCs w:val="24"/>
                <w14:textFill>
                  <w14:solidFill>
                    <w14:schemeClr w14:val="tx1"/>
                  </w14:solidFill>
                </w14:textFill>
              </w:rPr>
              <w:t>安徽省环境保护厅</w:t>
            </w:r>
          </w:p>
          <w:p w14:paraId="5BFEDC5D">
            <w:pPr>
              <w:autoSpaceDE w:val="0"/>
              <w:autoSpaceDN w:val="0"/>
              <w:adjustRightInd w:val="0"/>
              <w:snapToGrid w:val="0"/>
              <w:spacing w:line="360" w:lineRule="auto"/>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kern w:val="0"/>
                <w:sz w:val="24"/>
                <w:szCs w:val="24"/>
                <w14:textFill>
                  <w14:solidFill>
                    <w14:schemeClr w14:val="tx1"/>
                  </w14:solidFill>
                </w14:textFill>
              </w:rPr>
              <w:t>审查文件名称及文号：</w:t>
            </w:r>
            <w:r>
              <w:rPr>
                <w:rFonts w:hint="default" w:ascii="Times New Roman" w:hAnsi="Times New Roman" w:eastAsia="宋体" w:cs="Times New Roman"/>
                <w:color w:val="000000" w:themeColor="text1"/>
                <w:kern w:val="0"/>
                <w:sz w:val="24"/>
                <w:szCs w:val="24"/>
                <w14:textFill>
                  <w14:solidFill>
                    <w14:schemeClr w14:val="tx1"/>
                  </w14:solidFill>
                </w14:textFill>
              </w:rPr>
              <w:t>《安徽省环保厅关于宿州市循环经济示范园总体规划环境影响报告书审查意见的函》</w:t>
            </w:r>
            <w:r>
              <w:rPr>
                <w:rFonts w:hint="eastAsia" w:cs="Times New Roman"/>
                <w:color w:val="000000" w:themeColor="text1"/>
                <w:kern w:val="0"/>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0"/>
                <w:sz w:val="24"/>
                <w:szCs w:val="24"/>
                <w14:textFill>
                  <w14:solidFill>
                    <w14:schemeClr w14:val="tx1"/>
                  </w14:solidFill>
                </w14:textFill>
              </w:rPr>
              <w:t>皖环函〔2014〕1367号</w:t>
            </w:r>
            <w:r>
              <w:rPr>
                <w:rFonts w:hint="eastAsia" w:cs="Times New Roman"/>
                <w:color w:val="000000" w:themeColor="text1"/>
                <w:kern w:val="0"/>
                <w:sz w:val="24"/>
                <w:szCs w:val="24"/>
                <w:lang w:eastAsia="zh-CN"/>
                <w14:textFill>
                  <w14:solidFill>
                    <w14:schemeClr w14:val="tx1"/>
                  </w14:solidFill>
                </w14:textFill>
              </w:rPr>
              <w:t>）</w:t>
            </w:r>
          </w:p>
          <w:p w14:paraId="1FF1547C">
            <w:pPr>
              <w:autoSpaceDE w:val="0"/>
              <w:autoSpaceDN w:val="0"/>
              <w:adjustRightInd w:val="0"/>
              <w:snapToGrid w:val="0"/>
              <w:spacing w:line="360" w:lineRule="auto"/>
              <w:rPr>
                <w:rFonts w:hint="default" w:ascii="Times New Roman" w:hAnsi="Times New Roman" w:eastAsia="宋体" w:cs="Times New Roman"/>
                <w:color w:val="000000" w:themeColor="text1"/>
                <w:kern w:val="0"/>
                <w:sz w:val="24"/>
                <w14:textFill>
                  <w14:solidFill>
                    <w14:schemeClr w14:val="tx1"/>
                  </w14:solidFill>
                </w14:textFill>
              </w:rPr>
            </w:pPr>
            <w:r>
              <w:rPr>
                <w:rFonts w:eastAsia="微软雅黑"/>
                <w:b/>
                <w:bCs/>
                <w:color w:val="auto"/>
                <w:kern w:val="0"/>
                <w:sz w:val="24"/>
              </w:rPr>
              <w:t>②</w:t>
            </w:r>
            <w:r>
              <w:rPr>
                <w:rFonts w:hint="default" w:ascii="Times New Roman" w:hAnsi="Times New Roman" w:eastAsia="宋体" w:cs="Times New Roman"/>
                <w:b/>
                <w:bCs/>
                <w:color w:val="000000" w:themeColor="text1"/>
                <w:kern w:val="0"/>
                <w:sz w:val="24"/>
                <w14:textFill>
                  <w14:solidFill>
                    <w14:schemeClr w14:val="tx1"/>
                  </w14:solidFill>
                </w14:textFill>
              </w:rPr>
              <w:t>规划环评名称：</w:t>
            </w:r>
            <w:r>
              <w:rPr>
                <w:rFonts w:hint="default" w:ascii="Times New Roman" w:hAnsi="Times New Roman" w:eastAsia="宋体" w:cs="Times New Roman"/>
                <w:color w:val="000000" w:themeColor="text1"/>
                <w:kern w:val="0"/>
                <w:sz w:val="24"/>
                <w14:textFill>
                  <w14:solidFill>
                    <w14:schemeClr w14:val="tx1"/>
                  </w14:solidFill>
                </w14:textFill>
              </w:rPr>
              <w:t>《宿州市循环经济示范园总体规划环境影响跟踪评价报告书》</w:t>
            </w:r>
          </w:p>
          <w:p w14:paraId="61DFF3CC">
            <w:pPr>
              <w:autoSpaceDE w:val="0"/>
              <w:autoSpaceDN w:val="0"/>
              <w:adjustRightInd w:val="0"/>
              <w:snapToGrid w:val="0"/>
              <w:spacing w:line="360" w:lineRule="auto"/>
              <w:rPr>
                <w:rFonts w:hint="default" w:ascii="Times New Roman" w:hAnsi="Times New Roman" w:eastAsia="宋体" w:cs="Times New Roman"/>
                <w:color w:val="000000" w:themeColor="text1"/>
                <w:kern w:val="0"/>
                <w:sz w:val="24"/>
                <w14:textFill>
                  <w14:solidFill>
                    <w14:schemeClr w14:val="tx1"/>
                  </w14:solidFill>
                </w14:textFill>
              </w:rPr>
            </w:pPr>
            <w:r>
              <w:rPr>
                <w:rFonts w:hint="default" w:ascii="Times New Roman" w:hAnsi="Times New Roman" w:eastAsia="宋体" w:cs="Times New Roman"/>
                <w:b/>
                <w:bCs/>
                <w:color w:val="000000" w:themeColor="text1"/>
                <w:kern w:val="0"/>
                <w:sz w:val="24"/>
                <w14:textFill>
                  <w14:solidFill>
                    <w14:schemeClr w14:val="tx1"/>
                  </w14:solidFill>
                </w14:textFill>
              </w:rPr>
              <w:t>审查机关：</w:t>
            </w:r>
            <w:r>
              <w:rPr>
                <w:rFonts w:hint="default" w:ascii="Times New Roman" w:hAnsi="Times New Roman" w:eastAsia="宋体" w:cs="Times New Roman"/>
                <w:color w:val="000000" w:themeColor="text1"/>
                <w:kern w:val="0"/>
                <w:sz w:val="24"/>
                <w14:textFill>
                  <w14:solidFill>
                    <w14:schemeClr w14:val="tx1"/>
                  </w14:solidFill>
                </w14:textFill>
              </w:rPr>
              <w:t>宿州市生态环境局</w:t>
            </w:r>
          </w:p>
          <w:p w14:paraId="66F21019">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b/>
                <w:bCs/>
                <w:color w:val="000000" w:themeColor="text1"/>
                <w:kern w:val="0"/>
                <w:sz w:val="24"/>
                <w14:textFill>
                  <w14:solidFill>
                    <w14:schemeClr w14:val="tx1"/>
                  </w14:solidFill>
                </w14:textFill>
              </w:rPr>
              <w:t>审查文件名称及文号：</w:t>
            </w:r>
            <w:r>
              <w:rPr>
                <w:rFonts w:hint="default" w:ascii="Times New Roman" w:hAnsi="Times New Roman" w:eastAsia="宋体" w:cs="Times New Roman"/>
                <w:color w:val="000000" w:themeColor="text1"/>
                <w:kern w:val="0"/>
                <w:sz w:val="24"/>
                <w14:textFill>
                  <w14:solidFill>
                    <w14:schemeClr w14:val="tx1"/>
                  </w14:solidFill>
                </w14:textFill>
              </w:rPr>
              <w:t>《宿州市生态环境局关于宿州市循环经济示范园总体规划环境影响跟踪评价报告书审查意见》</w:t>
            </w:r>
            <w:r>
              <w:rPr>
                <w:rFonts w:hint="eastAsia" w:cs="Times New Roman"/>
                <w:color w:val="000000" w:themeColor="text1"/>
                <w:kern w:val="0"/>
                <w:sz w:val="24"/>
                <w:szCs w:val="24"/>
                <w:lang w:eastAsia="zh-CN"/>
                <w14:textFill>
                  <w14:solidFill>
                    <w14:schemeClr w14:val="tx1"/>
                  </w14:solidFill>
                </w14:textFill>
              </w:rPr>
              <w:t>（</w:t>
            </w:r>
            <w:r>
              <w:rPr>
                <w:rFonts w:hint="default" w:ascii="Times New Roman" w:hAnsi="Times New Roman" w:eastAsia="宋体" w:cs="Times New Roman"/>
                <w:color w:val="000000" w:themeColor="text1"/>
                <w:kern w:val="0"/>
                <w:sz w:val="24"/>
                <w14:textFill>
                  <w14:solidFill>
                    <w14:schemeClr w14:val="tx1"/>
                  </w14:solidFill>
                </w14:textFill>
              </w:rPr>
              <w:t>宿环函〔2020〕162号</w:t>
            </w:r>
            <w:r>
              <w:rPr>
                <w:rFonts w:hint="eastAsia" w:cs="Times New Roman"/>
                <w:color w:val="000000" w:themeColor="text1"/>
                <w:kern w:val="0"/>
                <w:sz w:val="24"/>
                <w:szCs w:val="24"/>
                <w:lang w:eastAsia="zh-CN"/>
                <w14:textFill>
                  <w14:solidFill>
                    <w14:schemeClr w14:val="tx1"/>
                  </w14:solidFill>
                </w14:textFill>
              </w:rPr>
              <w:t>）</w:t>
            </w:r>
          </w:p>
        </w:tc>
      </w:tr>
      <w:tr w14:paraId="73B0DB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9" w:type="dxa"/>
            <w:tcBorders>
              <w:tl2br w:val="nil"/>
              <w:tr2bl w:val="nil"/>
            </w:tcBorders>
            <w:noWrap w:val="0"/>
            <w:vAlign w:val="center"/>
          </w:tcPr>
          <w:p w14:paraId="35129145">
            <w:pPr>
              <w:autoSpaceDE w:val="0"/>
              <w:autoSpaceDN w:val="0"/>
              <w:adjustRightInd w:val="0"/>
              <w:snapToGrid w:val="0"/>
              <w:jc w:val="center"/>
              <w:rPr>
                <w:rFonts w:hint="default" w:ascii="Times New Roman" w:hAnsi="Times New Roman" w:eastAsia="宋体" w:cs="Times New Roman"/>
                <w:kern w:val="0"/>
                <w:sz w:val="24"/>
                <w:szCs w:val="24"/>
                <w:lang w:val="en-US"/>
              </w:rPr>
            </w:pPr>
            <w:r>
              <w:rPr>
                <w:rFonts w:hint="default" w:ascii="Times New Roman" w:hAnsi="Times New Roman" w:eastAsia="宋体" w:cs="Times New Roman"/>
                <w:kern w:val="0"/>
                <w:sz w:val="24"/>
                <w:szCs w:val="24"/>
              </w:rPr>
              <w:t>规划及规划环境影响评价符合性分析</w:t>
            </w:r>
          </w:p>
          <w:p w14:paraId="0875B0D4">
            <w:pPr>
              <w:snapToGrid w:val="0"/>
              <w:spacing w:before="120" w:beforeLines="50" w:line="360" w:lineRule="auto"/>
              <w:ind w:firstLine="480" w:firstLineChars="200"/>
              <w:rPr>
                <w:rFonts w:hint="default" w:ascii="Times New Roman" w:hAnsi="Times New Roman" w:eastAsia="宋体" w:cs="Times New Roman"/>
                <w:kern w:val="0"/>
                <w:sz w:val="24"/>
                <w:szCs w:val="24"/>
                <w:lang w:val="en-US"/>
              </w:rPr>
            </w:pPr>
          </w:p>
        </w:tc>
        <w:tc>
          <w:tcPr>
            <w:tcW w:w="7176" w:type="dxa"/>
            <w:gridSpan w:val="3"/>
            <w:tcBorders>
              <w:tl2br w:val="nil"/>
              <w:tr2bl w:val="nil"/>
            </w:tcBorders>
            <w:noWrap w:val="0"/>
            <w:vAlign w:val="top"/>
          </w:tcPr>
          <w:p w14:paraId="6ABFF273">
            <w:pPr>
              <w:spacing w:line="360" w:lineRule="auto"/>
              <w:jc w:val="left"/>
              <w:outlineLvl w:val="2"/>
              <w:rPr>
                <w:rFonts w:hint="default" w:ascii="Times New Roman" w:hAnsi="Times New Roman" w:eastAsia="宋体" w:cs="Times New Roman"/>
                <w:b/>
                <w:color w:val="000000" w:themeColor="text1"/>
                <w:kern w:val="0"/>
                <w:sz w:val="24"/>
                <w:szCs w:val="24"/>
                <w14:textFill>
                  <w14:solidFill>
                    <w14:schemeClr w14:val="tx1"/>
                  </w14:solidFill>
                </w14:textFill>
              </w:rPr>
            </w:pPr>
            <w:r>
              <w:rPr>
                <w:rFonts w:hint="eastAsia" w:cs="Times New Roman"/>
                <w:b/>
                <w:color w:val="000000" w:themeColor="text1"/>
                <w:kern w:val="0"/>
                <w:sz w:val="24"/>
                <w:szCs w:val="24"/>
                <w:lang w:val="en-US" w:eastAsia="zh-CN"/>
                <w14:textFill>
                  <w14:solidFill>
                    <w14:schemeClr w14:val="tx1"/>
                  </w14:solidFill>
                </w14:textFill>
              </w:rPr>
              <w:t>1.</w:t>
            </w:r>
            <w:r>
              <w:rPr>
                <w:rFonts w:hint="default" w:ascii="Times New Roman" w:hAnsi="Times New Roman" w:eastAsia="宋体" w:cs="Times New Roman"/>
                <w:b/>
                <w:color w:val="000000" w:themeColor="text1"/>
                <w:kern w:val="0"/>
                <w:sz w:val="24"/>
                <w:szCs w:val="24"/>
                <w14:textFill>
                  <w14:solidFill>
                    <w14:schemeClr w14:val="tx1"/>
                  </w14:solidFill>
                </w14:textFill>
              </w:rPr>
              <w:t>选址合理性及规划符合性分析</w:t>
            </w:r>
          </w:p>
          <w:p w14:paraId="58BD20C7">
            <w:pPr>
              <w:widowControl/>
              <w:spacing w:line="360" w:lineRule="auto"/>
              <w:ind w:firstLine="471"/>
              <w:rPr>
                <w:rFonts w:hint="default" w:ascii="Times New Roman" w:hAnsi="Times New Roman" w:eastAsia="宋体" w:cs="Times New Roman"/>
                <w:bCs/>
                <w:color w:val="auto"/>
                <w:kern w:val="0"/>
                <w:sz w:val="24"/>
                <w:szCs w:val="24"/>
              </w:rPr>
            </w:pPr>
            <w:r>
              <w:rPr>
                <w:rFonts w:hint="default" w:ascii="Times New Roman" w:hAnsi="Times New Roman" w:eastAsia="宋体" w:cs="Times New Roman"/>
                <w:color w:val="auto"/>
                <w:sz w:val="24"/>
                <w:szCs w:val="24"/>
                <w:lang w:val="en-US" w:eastAsia="zh-CN"/>
              </w:rPr>
              <w:t>安徽爱乐新材料科技有限公司</w:t>
            </w:r>
            <w:r>
              <w:rPr>
                <w:rFonts w:hint="default" w:ascii="Times New Roman" w:hAnsi="Times New Roman" w:eastAsia="宋体" w:cs="Times New Roman"/>
                <w:bCs/>
                <w:color w:val="auto"/>
                <w:kern w:val="0"/>
                <w:sz w:val="24"/>
                <w:szCs w:val="24"/>
              </w:rPr>
              <w:t>从事</w:t>
            </w:r>
            <w:r>
              <w:rPr>
                <w:rFonts w:hint="eastAsia" w:cs="Times New Roman"/>
                <w:bCs/>
                <w:color w:val="auto"/>
                <w:kern w:val="0"/>
                <w:sz w:val="24"/>
                <w:szCs w:val="24"/>
                <w:lang w:eastAsia="zh-CN"/>
              </w:rPr>
              <w:t>环保木塑</w:t>
            </w:r>
            <w:r>
              <w:rPr>
                <w:rFonts w:hint="default" w:ascii="Times New Roman" w:hAnsi="Times New Roman" w:eastAsia="宋体" w:cs="Times New Roman"/>
                <w:bCs/>
                <w:color w:val="auto"/>
                <w:kern w:val="0"/>
                <w:sz w:val="24"/>
                <w:szCs w:val="24"/>
              </w:rPr>
              <w:t>板材</w:t>
            </w:r>
            <w:r>
              <w:rPr>
                <w:rFonts w:hint="eastAsia" w:cs="Times New Roman"/>
                <w:bCs/>
                <w:color w:val="auto"/>
                <w:kern w:val="0"/>
                <w:sz w:val="24"/>
                <w:szCs w:val="24"/>
                <w:lang w:eastAsia="zh-CN"/>
              </w:rPr>
              <w:t>制造，年产</w:t>
            </w:r>
            <w:r>
              <w:rPr>
                <w:rFonts w:hint="eastAsia" w:cs="Times New Roman"/>
                <w:bCs/>
                <w:color w:val="auto"/>
                <w:kern w:val="0"/>
                <w:sz w:val="24"/>
                <w:szCs w:val="24"/>
                <w:lang w:val="en-US" w:eastAsia="zh-CN"/>
              </w:rPr>
              <w:t>3万吨环保木塑型材</w:t>
            </w:r>
            <w:r>
              <w:rPr>
                <w:rFonts w:hint="default" w:ascii="Times New Roman" w:hAnsi="Times New Roman" w:eastAsia="宋体" w:cs="Times New Roman"/>
                <w:bCs/>
                <w:color w:val="auto"/>
                <w:kern w:val="0"/>
                <w:sz w:val="24"/>
                <w:szCs w:val="24"/>
              </w:rPr>
              <w:t>。</w:t>
            </w:r>
            <w:r>
              <w:rPr>
                <w:rFonts w:hint="default" w:ascii="Times New Roman" w:hAnsi="Times New Roman" w:eastAsia="宋体" w:cs="Times New Roman"/>
                <w:bCs/>
                <w:color w:val="auto"/>
                <w:kern w:val="0"/>
                <w:sz w:val="24"/>
                <w:szCs w:val="24"/>
                <w:lang w:val="en-US" w:eastAsia="zh-CN"/>
              </w:rPr>
              <w:t>根据市场需求，</w:t>
            </w:r>
            <w:r>
              <w:rPr>
                <w:rFonts w:hint="eastAsia" w:cs="Times New Roman"/>
                <w:bCs/>
                <w:color w:val="auto"/>
                <w:kern w:val="0"/>
                <w:sz w:val="24"/>
                <w:szCs w:val="24"/>
                <w:lang w:val="en-US" w:eastAsia="zh-CN"/>
              </w:rPr>
              <w:t>扩建</w:t>
            </w:r>
            <w:r>
              <w:rPr>
                <w:rFonts w:hint="eastAsia" w:ascii="宋体" w:hAnsi="宋体" w:eastAsia="宋体" w:cs="宋体"/>
                <w:bCs/>
                <w:color w:val="auto"/>
                <w:kern w:val="0"/>
                <w:sz w:val="24"/>
                <w:szCs w:val="24"/>
                <w:lang w:val="en-US" w:eastAsia="zh-CN"/>
              </w:rPr>
              <w:t>“</w:t>
            </w:r>
            <w:r>
              <w:rPr>
                <w:rFonts w:hint="default" w:ascii="Times New Roman" w:hAnsi="Times New Roman" w:eastAsia="宋体" w:cs="Times New Roman"/>
                <w:color w:val="auto"/>
                <w:sz w:val="24"/>
                <w:szCs w:val="24"/>
                <w:lang w:val="en-US" w:eastAsia="zh-CN"/>
              </w:rPr>
              <w:t>安徽爱乐新材料科技有限公司年产一万吨高性能秸秆木塑型材智能制造项目</w:t>
            </w:r>
            <w:r>
              <w:rPr>
                <w:rFonts w:hint="eastAsia" w:ascii="宋体" w:hAnsi="宋体" w:eastAsia="宋体" w:cs="宋体"/>
                <w:bCs/>
                <w:color w:val="auto"/>
                <w:kern w:val="0"/>
                <w:sz w:val="24"/>
                <w:szCs w:val="24"/>
                <w:lang w:val="en-US" w:eastAsia="zh-CN"/>
              </w:rPr>
              <w:t>”</w:t>
            </w:r>
            <w:r>
              <w:rPr>
                <w:rFonts w:hint="default" w:ascii="Times New Roman" w:hAnsi="Times New Roman" w:eastAsia="宋体" w:cs="Times New Roman"/>
                <w:bCs/>
                <w:color w:val="auto"/>
                <w:kern w:val="0"/>
                <w:sz w:val="24"/>
                <w:szCs w:val="24"/>
                <w:lang w:eastAsia="zh-CN"/>
              </w:rPr>
              <w:t>，</w:t>
            </w:r>
            <w:r>
              <w:rPr>
                <w:rFonts w:hint="eastAsia" w:cs="Times New Roman"/>
                <w:bCs/>
                <w:color w:val="auto"/>
                <w:kern w:val="0"/>
                <w:sz w:val="24"/>
                <w:szCs w:val="24"/>
                <w:lang w:eastAsia="zh-CN"/>
              </w:rPr>
              <w:t>扩建项目</w:t>
            </w:r>
            <w:r>
              <w:rPr>
                <w:rFonts w:hint="eastAsia" w:cs="Times New Roman"/>
                <w:bCs/>
                <w:color w:val="auto"/>
                <w:kern w:val="0"/>
                <w:sz w:val="24"/>
                <w:szCs w:val="24"/>
                <w:lang w:val="en-US" w:eastAsia="zh-CN"/>
              </w:rPr>
              <w:t>位于宿州市埇桥区循环经济示范园</w:t>
            </w:r>
            <w:r>
              <w:rPr>
                <w:rFonts w:ascii="宋体" w:hAnsi="宋体" w:eastAsia="宋体" w:cs="宋体"/>
                <w:color w:val="auto"/>
                <w:sz w:val="24"/>
                <w:szCs w:val="24"/>
              </w:rPr>
              <w:t>东二环西侧</w:t>
            </w:r>
            <w:r>
              <w:rPr>
                <w:rFonts w:hint="default" w:ascii="Times New Roman" w:hAnsi="Times New Roman" w:eastAsia="宋体" w:cs="Times New Roman"/>
                <w:bCs/>
                <w:color w:val="auto"/>
                <w:kern w:val="0"/>
                <w:sz w:val="24"/>
                <w:szCs w:val="24"/>
              </w:rPr>
              <w:t>。</w:t>
            </w:r>
          </w:p>
          <w:p w14:paraId="0560A30E">
            <w:pPr>
              <w:widowControl/>
              <w:spacing w:line="360" w:lineRule="auto"/>
              <w:ind w:firstLine="471"/>
              <w:rPr>
                <w:rFonts w:hint="default" w:ascii="Times New Roman" w:hAnsi="Times New Roman" w:eastAsia="宋体" w:cs="Times New Roman"/>
                <w:bCs/>
                <w:color w:val="auto"/>
                <w:kern w:val="0"/>
                <w:sz w:val="24"/>
                <w:szCs w:val="24"/>
              </w:rPr>
            </w:pPr>
            <w:r>
              <w:rPr>
                <w:rFonts w:hint="default" w:ascii="Times New Roman" w:hAnsi="Times New Roman" w:eastAsia="宋体" w:cs="Times New Roman"/>
                <w:color w:val="auto"/>
                <w:sz w:val="24"/>
                <w:szCs w:val="24"/>
                <w:lang w:val="en-US" w:eastAsia="zh-CN"/>
              </w:rPr>
              <w:t>安徽爱乐新材料科技有限公司</w:t>
            </w:r>
            <w:r>
              <w:rPr>
                <w:rFonts w:hint="default" w:ascii="Times New Roman" w:hAnsi="Times New Roman" w:eastAsia="宋体" w:cs="Times New Roman"/>
                <w:bCs/>
                <w:color w:val="FF0000"/>
                <w:kern w:val="0"/>
                <w:sz w:val="24"/>
                <w:szCs w:val="24"/>
              </w:rPr>
              <w:t>，</w:t>
            </w:r>
            <w:r>
              <w:rPr>
                <w:rFonts w:hint="default" w:ascii="Times New Roman" w:hAnsi="Times New Roman" w:eastAsia="宋体" w:cs="Times New Roman"/>
                <w:bCs/>
                <w:color w:val="auto"/>
                <w:kern w:val="0"/>
                <w:sz w:val="24"/>
                <w:szCs w:val="24"/>
              </w:rPr>
              <w:t>地理位置优越，交通便利，区域供电、给水等基础设施完善。根据</w:t>
            </w:r>
            <w:r>
              <w:rPr>
                <w:rFonts w:hint="default" w:ascii="Times New Roman" w:hAnsi="Times New Roman" w:eastAsia="宋体" w:cs="Times New Roman"/>
                <w:color w:val="auto"/>
                <w:kern w:val="0"/>
                <w:sz w:val="24"/>
                <w:szCs w:val="24"/>
              </w:rPr>
              <w:t>《宿州市循环经济示范园总体规划（2012-2030）</w:t>
            </w:r>
            <w:r>
              <w:rPr>
                <w:rFonts w:hint="eastAsia" w:cs="Times New Roman"/>
                <w:color w:val="auto"/>
                <w:kern w:val="0"/>
                <w:sz w:val="24"/>
                <w:szCs w:val="24"/>
                <w:lang w:eastAsia="zh-CN"/>
              </w:rPr>
              <w:t>——</w:t>
            </w:r>
            <w:r>
              <w:rPr>
                <w:rFonts w:hint="default" w:ascii="Times New Roman" w:hAnsi="Times New Roman" w:eastAsia="宋体" w:cs="Times New Roman"/>
                <w:color w:val="auto"/>
                <w:kern w:val="0"/>
                <w:sz w:val="24"/>
                <w:szCs w:val="24"/>
              </w:rPr>
              <w:t>用地布局规划图》可知，本项目用地属于工业用地，</w:t>
            </w:r>
            <w:r>
              <w:rPr>
                <w:rFonts w:hint="default" w:ascii="Times New Roman" w:hAnsi="Times New Roman" w:eastAsia="宋体" w:cs="Times New Roman"/>
                <w:bCs/>
                <w:color w:val="auto"/>
                <w:kern w:val="0"/>
                <w:sz w:val="24"/>
                <w:szCs w:val="24"/>
              </w:rPr>
              <w:t>根据宿州市循环经济示范园总体发展规划可知，产业定位为：</w:t>
            </w:r>
            <w:r>
              <w:rPr>
                <w:rFonts w:hint="default" w:ascii="Times New Roman" w:hAnsi="Times New Roman" w:eastAsia="宋体" w:cs="Times New Roman"/>
                <w:color w:val="auto"/>
                <w:sz w:val="24"/>
                <w:szCs w:val="24"/>
              </w:rPr>
              <w:t>以纺织服装业、机械电子制造业、食品加工业为三大主导产业，以高新技术产业为辅</w:t>
            </w:r>
            <w:r>
              <w:rPr>
                <w:rFonts w:hint="default" w:ascii="Times New Roman" w:hAnsi="Times New Roman" w:eastAsia="宋体" w:cs="Times New Roman"/>
                <w:bCs/>
                <w:color w:val="auto"/>
                <w:kern w:val="0"/>
                <w:sz w:val="24"/>
                <w:szCs w:val="24"/>
              </w:rPr>
              <w:t>；</w:t>
            </w:r>
            <w:r>
              <w:rPr>
                <w:rFonts w:hint="default" w:ascii="Times New Roman" w:hAnsi="Times New Roman" w:eastAsia="宋体" w:cs="Times New Roman"/>
                <w:color w:val="auto"/>
                <w:sz w:val="24"/>
                <w:szCs w:val="24"/>
              </w:rPr>
              <w:t>宿州市循环经济示范园入园行业的控制建议表如下：</w:t>
            </w:r>
          </w:p>
          <w:p w14:paraId="02D5C942">
            <w:pPr>
              <w:spacing w:line="360" w:lineRule="auto"/>
              <w:jc w:val="center"/>
              <w:rPr>
                <w:rFonts w:hint="default" w:ascii="Times New Roman" w:hAnsi="Times New Roman" w:eastAsia="宋体" w:cs="Times New Roman"/>
                <w:b/>
                <w:bCs/>
                <w:color w:val="000000" w:themeColor="text1"/>
                <w:sz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表1</w:t>
            </w:r>
            <w:r>
              <w:rPr>
                <w:rFonts w:hint="eastAsia" w:cs="Times New Roman"/>
                <w:b/>
                <w:bCs/>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b/>
                <w:bCs/>
                <w:color w:val="000000" w:themeColor="text1"/>
                <w:sz w:val="24"/>
                <w:szCs w:val="24"/>
                <w14:textFill>
                  <w14:solidFill>
                    <w14:schemeClr w14:val="tx1"/>
                  </w14:solidFill>
                </w14:textFill>
              </w:rPr>
              <w:t>1  入园行业的控制建议表</w:t>
            </w:r>
          </w:p>
          <w:tbl>
            <w:tblPr>
              <w:tblStyle w:val="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6"/>
              <w:gridCol w:w="4100"/>
              <w:gridCol w:w="2014"/>
            </w:tblGrid>
            <w:tr w14:paraId="6836F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noWrap w:val="0"/>
                  <w:vAlign w:val="center"/>
                </w:tcPr>
                <w:p w14:paraId="0702EE85">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产业类型</w:t>
                  </w:r>
                </w:p>
              </w:tc>
              <w:tc>
                <w:tcPr>
                  <w:tcW w:w="5458" w:type="dxa"/>
                  <w:noWrap w:val="0"/>
                  <w:vAlign w:val="center"/>
                </w:tcPr>
                <w:p w14:paraId="37A10218">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行业名称</w:t>
                  </w:r>
                </w:p>
              </w:tc>
              <w:tc>
                <w:tcPr>
                  <w:tcW w:w="2678" w:type="dxa"/>
                  <w:noWrap w:val="0"/>
                  <w:vAlign w:val="center"/>
                </w:tcPr>
                <w:p w14:paraId="740CDFFA">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入区建议</w:t>
                  </w:r>
                </w:p>
              </w:tc>
            </w:tr>
            <w:tr w14:paraId="48C30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restart"/>
                  <w:noWrap w:val="0"/>
                  <w:vAlign w:val="center"/>
                </w:tcPr>
                <w:p w14:paraId="5AF69D2D">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机械电子业</w:t>
                  </w:r>
                </w:p>
              </w:tc>
              <w:tc>
                <w:tcPr>
                  <w:tcW w:w="5458" w:type="dxa"/>
                  <w:noWrap w:val="0"/>
                  <w:vAlign w:val="center"/>
                </w:tcPr>
                <w:p w14:paraId="47B01D49">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矿山机械</w:t>
                  </w:r>
                </w:p>
              </w:tc>
              <w:tc>
                <w:tcPr>
                  <w:tcW w:w="2678" w:type="dxa"/>
                  <w:noWrap w:val="0"/>
                  <w:vAlign w:val="center"/>
                </w:tcPr>
                <w:p w14:paraId="65E855E5">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6C0D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428C9FB8">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267917E0">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纺织、缝纫、服装专用设备</w:t>
                  </w:r>
                </w:p>
              </w:tc>
              <w:tc>
                <w:tcPr>
                  <w:tcW w:w="2678" w:type="dxa"/>
                  <w:noWrap w:val="0"/>
                  <w:vAlign w:val="center"/>
                </w:tcPr>
                <w:p w14:paraId="1BB2A830">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120D9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03283B81">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1F960BDD">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农副食品加工专用设备</w:t>
                  </w:r>
                </w:p>
              </w:tc>
              <w:tc>
                <w:tcPr>
                  <w:tcW w:w="2678" w:type="dxa"/>
                  <w:noWrap w:val="0"/>
                  <w:vAlign w:val="center"/>
                </w:tcPr>
                <w:p w14:paraId="45C90DA1">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5FA34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6F842005">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4FD4D0BA">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电子和电工机械专用设备制造</w:t>
                  </w:r>
                </w:p>
              </w:tc>
              <w:tc>
                <w:tcPr>
                  <w:tcW w:w="2678" w:type="dxa"/>
                  <w:noWrap w:val="0"/>
                  <w:vAlign w:val="center"/>
                </w:tcPr>
                <w:p w14:paraId="6E2848F2">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0F2CD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5CC67167">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63EC3609">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电气机械和器材制造业</w:t>
                  </w:r>
                </w:p>
              </w:tc>
              <w:tc>
                <w:tcPr>
                  <w:tcW w:w="2678" w:type="dxa"/>
                  <w:noWrap w:val="0"/>
                  <w:vAlign w:val="center"/>
                </w:tcPr>
                <w:p w14:paraId="088625B0">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72F52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384B29EF">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70E8EF2F">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汽摩配件</w:t>
                  </w:r>
                </w:p>
              </w:tc>
              <w:tc>
                <w:tcPr>
                  <w:tcW w:w="2678" w:type="dxa"/>
                  <w:noWrap w:val="0"/>
                  <w:vAlign w:val="center"/>
                </w:tcPr>
                <w:p w14:paraId="48D50F31">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1ABBF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2C470268">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3653AF0A">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电子基础材料和电子元器件</w:t>
                  </w:r>
                </w:p>
              </w:tc>
              <w:tc>
                <w:tcPr>
                  <w:tcW w:w="2678" w:type="dxa"/>
                  <w:noWrap w:val="0"/>
                  <w:vAlign w:val="center"/>
                </w:tcPr>
                <w:p w14:paraId="4CB9F59D">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556A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39D05E83">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1A83D184">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pt-BR" w:eastAsia="zh-CN"/>
                      <w14:textFill>
                        <w14:solidFill>
                          <w14:schemeClr w14:val="tx1"/>
                        </w14:solidFill>
                      </w14:textFill>
                    </w:rPr>
                  </w:pPr>
                  <w:r>
                    <w:rPr>
                      <w:rFonts w:hint="default" w:ascii="Times New Roman" w:hAnsi="Times New Roman" w:eastAsia="宋体" w:cs="Times New Roman"/>
                      <w:color w:val="000000" w:themeColor="text1"/>
                      <w:sz w:val="21"/>
                      <w:szCs w:val="21"/>
                      <w:lang w:val="pt-BR" w:eastAsia="zh-CN"/>
                      <w14:textFill>
                        <w14:solidFill>
                          <w14:schemeClr w14:val="tx1"/>
                        </w14:solidFill>
                      </w14:textFill>
                    </w:rPr>
                    <w:t>其他与机械电子类行业发展相配套污染小的行业</w:t>
                  </w:r>
                </w:p>
              </w:tc>
              <w:tc>
                <w:tcPr>
                  <w:tcW w:w="2678" w:type="dxa"/>
                  <w:noWrap w:val="0"/>
                  <w:vAlign w:val="center"/>
                </w:tcPr>
                <w:p w14:paraId="5DDD01D5">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pt-BR" w:eastAsia="zh-CN"/>
                      <w14:textFill>
                        <w14:solidFill>
                          <w14:schemeClr w14:val="tx1"/>
                        </w14:solidFill>
                      </w14:textFill>
                    </w:rPr>
                  </w:pPr>
                  <w:r>
                    <w:rPr>
                      <w:rFonts w:hint="default" w:ascii="Times New Roman" w:hAnsi="Times New Roman" w:eastAsia="宋体" w:cs="Times New Roman"/>
                      <w:color w:val="000000" w:themeColor="text1"/>
                      <w:sz w:val="21"/>
                      <w:szCs w:val="21"/>
                      <w:lang w:val="pt-BR" w:eastAsia="zh-CN"/>
                      <w14:textFill>
                        <w14:solidFill>
                          <w14:schemeClr w14:val="tx1"/>
                        </w14:solidFill>
                      </w14:textFill>
                    </w:rPr>
                    <w:t>控制进入</w:t>
                  </w:r>
                </w:p>
              </w:tc>
            </w:tr>
            <w:tr w14:paraId="43973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50DFC622">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25531FE1">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pt-BR" w:eastAsia="zh-CN"/>
                      <w14:textFill>
                        <w14:solidFill>
                          <w14:schemeClr w14:val="tx1"/>
                        </w14:solidFill>
                      </w14:textFill>
                    </w:rPr>
                  </w:pPr>
                  <w:r>
                    <w:rPr>
                      <w:rFonts w:hint="default" w:ascii="Times New Roman" w:hAnsi="Times New Roman" w:eastAsia="宋体" w:cs="Times New Roman"/>
                      <w:color w:val="000000" w:themeColor="text1"/>
                      <w:sz w:val="21"/>
                      <w:szCs w:val="21"/>
                      <w:lang w:val="pt-BR" w:eastAsia="zh-CN"/>
                      <w14:textFill>
                        <w14:solidFill>
                          <w14:schemeClr w14:val="tx1"/>
                        </w14:solidFill>
                      </w14:textFill>
                    </w:rPr>
                    <w:t>与机械加工行业配套的电镀行业</w:t>
                  </w:r>
                </w:p>
              </w:tc>
              <w:tc>
                <w:tcPr>
                  <w:tcW w:w="2678" w:type="dxa"/>
                  <w:noWrap w:val="0"/>
                  <w:vAlign w:val="center"/>
                </w:tcPr>
                <w:p w14:paraId="05CFEAC4">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pt-BR" w:eastAsia="zh-CN"/>
                      <w14:textFill>
                        <w14:solidFill>
                          <w14:schemeClr w14:val="tx1"/>
                        </w14:solidFill>
                      </w14:textFill>
                    </w:rPr>
                  </w:pPr>
                  <w:r>
                    <w:rPr>
                      <w:rFonts w:hint="default" w:ascii="Times New Roman" w:hAnsi="Times New Roman" w:eastAsia="宋体" w:cs="Times New Roman"/>
                      <w:color w:val="000000" w:themeColor="text1"/>
                      <w:sz w:val="21"/>
                      <w:szCs w:val="21"/>
                      <w:lang w:val="pt-BR" w:eastAsia="zh-CN"/>
                      <w14:textFill>
                        <w14:solidFill>
                          <w14:schemeClr w14:val="tx1"/>
                        </w14:solidFill>
                      </w14:textFill>
                    </w:rPr>
                    <w:t>禁止进入</w:t>
                  </w:r>
                </w:p>
              </w:tc>
            </w:tr>
            <w:tr w14:paraId="5C961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1AB79F7B">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4E2E2088">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高水耗、高能耗、高污染型行业的机械加工行业</w:t>
                  </w:r>
                </w:p>
              </w:tc>
              <w:tc>
                <w:tcPr>
                  <w:tcW w:w="2678" w:type="dxa"/>
                  <w:noWrap w:val="0"/>
                  <w:vAlign w:val="center"/>
                </w:tcPr>
                <w:p w14:paraId="09EDCE34">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禁止进入</w:t>
                  </w:r>
                </w:p>
              </w:tc>
            </w:tr>
            <w:tr w14:paraId="50703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restart"/>
                  <w:noWrap w:val="0"/>
                  <w:vAlign w:val="center"/>
                </w:tcPr>
                <w:p w14:paraId="39207013">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纺织服装业</w:t>
                  </w:r>
                </w:p>
              </w:tc>
              <w:tc>
                <w:tcPr>
                  <w:tcW w:w="5458" w:type="dxa"/>
                  <w:noWrap w:val="0"/>
                  <w:vAlign w:val="center"/>
                </w:tcPr>
                <w:p w14:paraId="53C0FFAA">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机织服装制造</w:t>
                  </w:r>
                </w:p>
              </w:tc>
              <w:tc>
                <w:tcPr>
                  <w:tcW w:w="2678" w:type="dxa"/>
                  <w:noWrap w:val="0"/>
                  <w:vAlign w:val="center"/>
                </w:tcPr>
                <w:p w14:paraId="2B22529F">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5E7E8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66B1EF79">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37D20082">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针织或钩针编织服装制造</w:t>
                  </w:r>
                </w:p>
              </w:tc>
              <w:tc>
                <w:tcPr>
                  <w:tcW w:w="2678" w:type="dxa"/>
                  <w:noWrap w:val="0"/>
                  <w:vAlign w:val="center"/>
                </w:tcPr>
                <w:p w14:paraId="7A74FD71">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66887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000CDA3E">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24061498">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服饰制造</w:t>
                  </w:r>
                </w:p>
              </w:tc>
              <w:tc>
                <w:tcPr>
                  <w:tcW w:w="2678" w:type="dxa"/>
                  <w:noWrap w:val="0"/>
                  <w:vAlign w:val="center"/>
                </w:tcPr>
                <w:p w14:paraId="5D8D2159">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4C3B3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6CBA8085">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5D2A00BC">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水洗、印染项目</w:t>
                  </w:r>
                </w:p>
              </w:tc>
              <w:tc>
                <w:tcPr>
                  <w:tcW w:w="2678" w:type="dxa"/>
                  <w:noWrap w:val="0"/>
                  <w:vAlign w:val="center"/>
                </w:tcPr>
                <w:p w14:paraId="3DA7938E">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禁止进入</w:t>
                  </w:r>
                </w:p>
              </w:tc>
            </w:tr>
            <w:tr w14:paraId="505BE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restart"/>
                  <w:noWrap w:val="0"/>
                  <w:vAlign w:val="center"/>
                </w:tcPr>
                <w:p w14:paraId="17D398CA">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食品加工业</w:t>
                  </w:r>
                </w:p>
              </w:tc>
              <w:tc>
                <w:tcPr>
                  <w:tcW w:w="5458" w:type="dxa"/>
                  <w:noWrap w:val="0"/>
                  <w:vAlign w:val="center"/>
                </w:tcPr>
                <w:p w14:paraId="3BF8A9E3">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小麦精深加工</w:t>
                  </w:r>
                </w:p>
              </w:tc>
              <w:tc>
                <w:tcPr>
                  <w:tcW w:w="2678" w:type="dxa"/>
                  <w:noWrap w:val="0"/>
                  <w:vAlign w:val="center"/>
                </w:tcPr>
                <w:p w14:paraId="4420DA2D">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77E84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642E6C7C">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6482793B">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禽畜产品加工</w:t>
                  </w:r>
                </w:p>
              </w:tc>
              <w:tc>
                <w:tcPr>
                  <w:tcW w:w="2678" w:type="dxa"/>
                  <w:noWrap w:val="0"/>
                  <w:vAlign w:val="center"/>
                </w:tcPr>
                <w:p w14:paraId="4985FC43">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40210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03C7A93A">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7D7126C7">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粮油深加工</w:t>
                  </w:r>
                </w:p>
              </w:tc>
              <w:tc>
                <w:tcPr>
                  <w:tcW w:w="2678" w:type="dxa"/>
                  <w:noWrap w:val="0"/>
                  <w:vAlign w:val="center"/>
                </w:tcPr>
                <w:p w14:paraId="41AC6F97">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0F8E9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32E0A6CF">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3EE4EA8B">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饲料加工</w:t>
                  </w:r>
                </w:p>
              </w:tc>
              <w:tc>
                <w:tcPr>
                  <w:tcW w:w="2678" w:type="dxa"/>
                  <w:noWrap w:val="0"/>
                  <w:vAlign w:val="center"/>
                </w:tcPr>
                <w:p w14:paraId="055B270D">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41BCF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02A59380">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59D731FE">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果蔬贮藏保鲜及加工</w:t>
                  </w:r>
                </w:p>
              </w:tc>
              <w:tc>
                <w:tcPr>
                  <w:tcW w:w="2678" w:type="dxa"/>
                  <w:noWrap w:val="0"/>
                  <w:vAlign w:val="center"/>
                </w:tcPr>
                <w:p w14:paraId="673D576A">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优先选择性入区</w:t>
                  </w:r>
                </w:p>
              </w:tc>
            </w:tr>
            <w:tr w14:paraId="19020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74A7086C">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47D8A74E">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酿造行业</w:t>
                  </w:r>
                </w:p>
              </w:tc>
              <w:tc>
                <w:tcPr>
                  <w:tcW w:w="2678" w:type="dxa"/>
                  <w:noWrap w:val="0"/>
                  <w:vAlign w:val="center"/>
                </w:tcPr>
                <w:p w14:paraId="16B8C01F">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限制进入</w:t>
                  </w:r>
                </w:p>
              </w:tc>
            </w:tr>
            <w:tr w14:paraId="053A2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62B7786D">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657DA418">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高水耗、高污染的食品加工行业</w:t>
                  </w:r>
                </w:p>
              </w:tc>
              <w:tc>
                <w:tcPr>
                  <w:tcW w:w="2678" w:type="dxa"/>
                  <w:noWrap w:val="0"/>
                  <w:vAlign w:val="center"/>
                </w:tcPr>
                <w:p w14:paraId="0C087D67">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禁止进入</w:t>
                  </w:r>
                </w:p>
              </w:tc>
            </w:tr>
            <w:tr w14:paraId="39859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619F8790">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56E92FFC">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乳制品行业</w:t>
                  </w:r>
                </w:p>
              </w:tc>
              <w:tc>
                <w:tcPr>
                  <w:tcW w:w="2678" w:type="dxa"/>
                  <w:noWrap w:val="0"/>
                  <w:vAlign w:val="center"/>
                </w:tcPr>
                <w:p w14:paraId="4E9B8A17">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禁止进入</w:t>
                  </w:r>
                </w:p>
              </w:tc>
            </w:tr>
            <w:tr w14:paraId="5D6F6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vMerge w:val="continue"/>
                  <w:noWrap w:val="0"/>
                  <w:vAlign w:val="center"/>
                </w:tcPr>
                <w:p w14:paraId="2A4327F5">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p>
              </w:tc>
              <w:tc>
                <w:tcPr>
                  <w:tcW w:w="5458" w:type="dxa"/>
                  <w:noWrap w:val="0"/>
                  <w:vAlign w:val="center"/>
                </w:tcPr>
                <w:p w14:paraId="466F71EC">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味精行业</w:t>
                  </w:r>
                </w:p>
              </w:tc>
              <w:tc>
                <w:tcPr>
                  <w:tcW w:w="2678" w:type="dxa"/>
                  <w:noWrap w:val="0"/>
                  <w:vAlign w:val="center"/>
                </w:tcPr>
                <w:p w14:paraId="51478D77">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禁止进入</w:t>
                  </w:r>
                </w:p>
              </w:tc>
            </w:tr>
            <w:tr w14:paraId="04018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10" w:type="dxa"/>
                  <w:noWrap w:val="0"/>
                  <w:vAlign w:val="center"/>
                </w:tcPr>
                <w:p w14:paraId="24B08F99">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物流业</w:t>
                  </w:r>
                </w:p>
              </w:tc>
              <w:tc>
                <w:tcPr>
                  <w:tcW w:w="5458" w:type="dxa"/>
                  <w:noWrap w:val="0"/>
                  <w:vAlign w:val="center"/>
                </w:tcPr>
                <w:p w14:paraId="2FB3FC43">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禁止贮存和输送有毒、有害化学品和危险品</w:t>
                  </w:r>
                </w:p>
              </w:tc>
              <w:tc>
                <w:tcPr>
                  <w:tcW w:w="2678" w:type="dxa"/>
                  <w:noWrap w:val="0"/>
                  <w:vAlign w:val="center"/>
                </w:tcPr>
                <w:p w14:paraId="55ACAE4C">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其他类型优先选择性入区</w:t>
                  </w:r>
                </w:p>
              </w:tc>
            </w:tr>
            <w:tr w14:paraId="0D0F4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9246" w:type="dxa"/>
                  <w:gridSpan w:val="3"/>
                  <w:noWrap w:val="0"/>
                  <w:vAlign w:val="center"/>
                </w:tcPr>
                <w:p w14:paraId="2AB5EF47">
                  <w:pPr>
                    <w:pStyle w:val="61"/>
                    <w:keepNext w:val="0"/>
                    <w:keepLines w:val="0"/>
                    <w:pageBreakBefore w:val="0"/>
                    <w:widowControl w:val="0"/>
                    <w:kinsoku/>
                    <w:wordWrap/>
                    <w:overflowPunct/>
                    <w:topLinePunct w:val="0"/>
                    <w:autoSpaceDE/>
                    <w:autoSpaceDN/>
                    <w:bidi w:val="0"/>
                    <w:adjustRightInd w:val="0"/>
                    <w:snapToGrid w:val="0"/>
                    <w:spacing w:before="0" w:line="240" w:lineRule="auto"/>
                    <w:ind w:left="0"/>
                    <w:jc w:val="center"/>
                    <w:textAlignment w:val="baseline"/>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禁止引进：不符合国家产业政策的项目、与园区产业定位不相符的行业；高能耗、高污染型行业；尚需要自行建设燃煤锅炉的企业；使用有毒、有害原料的项目；与《安徽省淮河流域水污染防治条例》和《</w:t>
                  </w:r>
                  <w:r>
                    <w:rPr>
                      <w:rFonts w:hint="default" w:ascii="Times New Roman" w:hAnsi="Times New Roman" w:eastAsia="宋体" w:cs="Times New Roman"/>
                      <w:color w:val="000000" w:themeColor="text1"/>
                      <w:spacing w:val="-2"/>
                      <w:sz w:val="21"/>
                      <w:szCs w:val="21"/>
                      <w:lang w:val="en-US" w:eastAsia="zh-CN"/>
                      <w14:textFill>
                        <w14:solidFill>
                          <w14:schemeClr w14:val="tx1"/>
                        </w14:solidFill>
                      </w14:textFill>
                    </w:rPr>
                    <w:t>安徽省城镇生活用水水源保护条例》相违背的项目</w:t>
                  </w:r>
                </w:p>
              </w:tc>
            </w:tr>
          </w:tbl>
          <w:p w14:paraId="10B31F14">
            <w:pPr>
              <w:keepNext w:val="0"/>
              <w:keepLines w:val="0"/>
              <w:pageBreakBefore w:val="0"/>
              <w:widowControl/>
              <w:kinsoku/>
              <w:wordWrap/>
              <w:overflowPunct/>
              <w:topLinePunct w:val="0"/>
              <w:autoSpaceDE/>
              <w:autoSpaceDN/>
              <w:bidi w:val="0"/>
              <w:adjustRightInd/>
              <w:snapToGrid w:val="0"/>
              <w:spacing w:before="157" w:beforeLines="50" w:line="360" w:lineRule="auto"/>
              <w:ind w:firstLine="471"/>
              <w:textAlignment w:val="auto"/>
              <w:rPr>
                <w:rFonts w:hint="default" w:ascii="Times New Roman" w:hAnsi="Times New Roman" w:eastAsia="宋体" w:cs="Times New Roman"/>
                <w:bCs/>
                <w:color w:val="auto"/>
                <w:kern w:val="0"/>
                <w:sz w:val="24"/>
              </w:rPr>
            </w:pPr>
            <w:r>
              <w:rPr>
                <w:rFonts w:hint="default" w:ascii="Times New Roman" w:hAnsi="Times New Roman" w:eastAsia="宋体" w:cs="Times New Roman"/>
                <w:bCs/>
                <w:color w:val="auto"/>
                <w:kern w:val="0"/>
                <w:sz w:val="24"/>
              </w:rPr>
              <w:t>本项目为C29</w:t>
            </w:r>
            <w:r>
              <w:rPr>
                <w:rFonts w:hint="eastAsia" w:cs="Times New Roman"/>
                <w:bCs/>
                <w:color w:val="auto"/>
                <w:kern w:val="0"/>
                <w:sz w:val="24"/>
                <w:lang w:val="en-US" w:eastAsia="zh-CN"/>
              </w:rPr>
              <w:t xml:space="preserve">22 </w:t>
            </w:r>
            <w:r>
              <w:rPr>
                <w:rFonts w:hint="default" w:ascii="Times New Roman" w:hAnsi="Times New Roman" w:eastAsia="宋体" w:cs="Times New Roman"/>
                <w:b w:val="0"/>
                <w:bCs w:val="0"/>
                <w:color w:val="auto"/>
                <w:sz w:val="24"/>
                <w:szCs w:val="24"/>
                <w:lang w:val="en-US" w:eastAsia="zh-CN"/>
              </w:rPr>
              <w:t>塑料板、管、型材制造</w:t>
            </w:r>
            <w:r>
              <w:rPr>
                <w:rFonts w:hint="default" w:ascii="Times New Roman" w:hAnsi="Times New Roman" w:eastAsia="宋体" w:cs="Times New Roman"/>
                <w:bCs/>
                <w:color w:val="auto"/>
                <w:kern w:val="0"/>
                <w:sz w:val="24"/>
              </w:rPr>
              <w:t>，</w:t>
            </w:r>
            <w:bookmarkStart w:id="1" w:name="OLE_LINK15"/>
            <w:bookmarkStart w:id="2" w:name="OLE_LINK14"/>
            <w:r>
              <w:rPr>
                <w:rFonts w:hint="default" w:ascii="Times New Roman" w:hAnsi="Times New Roman" w:eastAsia="宋体" w:cs="Times New Roman"/>
                <w:bCs/>
                <w:color w:val="auto"/>
                <w:kern w:val="0"/>
                <w:sz w:val="24"/>
              </w:rPr>
              <w:t>不属于</w:t>
            </w:r>
            <w:r>
              <w:rPr>
                <w:rFonts w:hint="default" w:ascii="Times New Roman" w:hAnsi="Times New Roman" w:eastAsia="宋体" w:cs="Times New Roman"/>
                <w:color w:val="auto"/>
                <w:sz w:val="24"/>
              </w:rPr>
              <w:t>宿州市循环经济示范园</w:t>
            </w:r>
            <w:r>
              <w:rPr>
                <w:rFonts w:hint="default" w:ascii="Times New Roman" w:hAnsi="Times New Roman" w:eastAsia="宋体" w:cs="Times New Roman"/>
                <w:bCs/>
                <w:color w:val="auto"/>
                <w:kern w:val="0"/>
                <w:sz w:val="24"/>
              </w:rPr>
              <w:t>限制进入、禁止进入项目</w:t>
            </w:r>
            <w:bookmarkEnd w:id="1"/>
            <w:bookmarkEnd w:id="2"/>
            <w:r>
              <w:rPr>
                <w:rFonts w:hint="default" w:ascii="Times New Roman" w:hAnsi="Times New Roman" w:eastAsia="宋体" w:cs="Times New Roman"/>
                <w:bCs/>
                <w:color w:val="auto"/>
                <w:kern w:val="0"/>
                <w:sz w:val="24"/>
              </w:rPr>
              <w:t>，本项目的建设符合宿州市循环经济示范园总体规划要求；根据工程分析可知，项目在严格落实各项污染防治措施并且各项污染物达标排放的情况下，对周围环境影响较小</w:t>
            </w:r>
            <w:r>
              <w:rPr>
                <w:rFonts w:hint="default" w:ascii="Times New Roman" w:hAnsi="Times New Roman" w:eastAsia="宋体" w:cs="Times New Roman"/>
                <w:color w:val="auto"/>
                <w:sz w:val="24"/>
              </w:rPr>
              <w:t>。</w:t>
            </w:r>
          </w:p>
          <w:p w14:paraId="3C5A84FB">
            <w:pPr>
              <w:numPr>
                <w:ilvl w:val="0"/>
                <w:numId w:val="0"/>
              </w:numPr>
              <w:autoSpaceDE w:val="0"/>
              <w:autoSpaceDN w:val="0"/>
              <w:adjustRightInd w:val="0"/>
              <w:snapToGrid w:val="0"/>
              <w:spacing w:line="360" w:lineRule="auto"/>
              <w:rPr>
                <w:rFonts w:hint="eastAsia" w:cs="宋体"/>
                <w:b/>
                <w:color w:val="auto"/>
                <w:sz w:val="24"/>
              </w:rPr>
            </w:pPr>
            <w:r>
              <w:rPr>
                <w:rFonts w:hint="eastAsia" w:cs="宋体"/>
                <w:b/>
                <w:color w:val="auto"/>
                <w:sz w:val="24"/>
                <w:lang w:val="en-US" w:eastAsia="zh-CN"/>
              </w:rPr>
              <w:t>2.</w:t>
            </w:r>
            <w:r>
              <w:rPr>
                <w:rFonts w:hint="eastAsia" w:cs="宋体"/>
                <w:b/>
                <w:color w:val="auto"/>
                <w:sz w:val="24"/>
              </w:rPr>
              <w:t>与规划环评审查意见的符合性分析</w:t>
            </w:r>
          </w:p>
          <w:p w14:paraId="42DA5BF6">
            <w:pPr>
              <w:autoSpaceDE w:val="0"/>
              <w:autoSpaceDN w:val="0"/>
              <w:adjustRightInd w:val="0"/>
              <w:snapToGrid w:val="0"/>
              <w:spacing w:line="360" w:lineRule="auto"/>
              <w:ind w:firstLine="480" w:firstLineChars="200"/>
              <w:rPr>
                <w:rFonts w:hint="default" w:ascii="Times New Roman" w:hAnsi="Times New Roman" w:eastAsia="宋体" w:cs="Times New Roman"/>
                <w:color w:val="000000" w:themeColor="text1"/>
                <w:kern w:val="0"/>
                <w:sz w:val="24"/>
                <w14:textFill>
                  <w14:solidFill>
                    <w14:schemeClr w14:val="tx1"/>
                  </w14:solidFill>
                </w14:textFill>
              </w:rPr>
            </w:pPr>
            <w:r>
              <w:rPr>
                <w:rFonts w:hint="default" w:ascii="Times New Roman" w:hAnsi="Times New Roman" w:eastAsia="宋体" w:cs="Times New Roman"/>
                <w:color w:val="000000" w:themeColor="text1"/>
                <w:kern w:val="0"/>
                <w:sz w:val="24"/>
                <w14:textFill>
                  <w14:solidFill>
                    <w14:schemeClr w14:val="tx1"/>
                  </w14:solidFill>
                </w14:textFill>
              </w:rPr>
              <w:t>本项目与《安徽省环保厅关于宿州市循环经济示范园总体规划环境影响报告书审查意见的函》（皖环函〔2014〕1367号）的符合性分析如下表所示：</w:t>
            </w:r>
          </w:p>
          <w:p w14:paraId="3077D729">
            <w:pPr>
              <w:autoSpaceDE w:val="0"/>
              <w:autoSpaceDN w:val="0"/>
              <w:adjustRightInd w:val="0"/>
              <w:snapToGrid w:val="0"/>
              <w:spacing w:line="360" w:lineRule="auto"/>
              <w:jc w:val="center"/>
              <w:rPr>
                <w:rFonts w:hint="default" w:ascii="Times New Roman" w:hAnsi="Times New Roman" w:eastAsia="宋体" w:cs="Times New Roman"/>
                <w:b/>
                <w:color w:val="000000" w:themeColor="text1"/>
                <w:kern w:val="0"/>
                <w:sz w:val="24"/>
                <w14:textFill>
                  <w14:solidFill>
                    <w14:schemeClr w14:val="tx1"/>
                  </w14:solidFill>
                </w14:textFill>
              </w:rPr>
            </w:pPr>
            <w:r>
              <w:rPr>
                <w:rFonts w:hint="default" w:ascii="Times New Roman" w:hAnsi="Times New Roman" w:eastAsia="宋体" w:cs="Times New Roman"/>
                <w:b/>
                <w:color w:val="000000" w:themeColor="text1"/>
                <w:kern w:val="0"/>
                <w:sz w:val="24"/>
                <w14:textFill>
                  <w14:solidFill>
                    <w14:schemeClr w14:val="tx1"/>
                  </w14:solidFill>
                </w14:textFill>
              </w:rPr>
              <w:t>表1</w:t>
            </w:r>
            <w:r>
              <w:rPr>
                <w:rFonts w:hint="eastAsia" w:cs="Times New Roman"/>
                <w:b/>
                <w:color w:val="000000" w:themeColor="text1"/>
                <w:kern w:val="0"/>
                <w:sz w:val="24"/>
                <w:lang w:val="en-US" w:eastAsia="zh-CN"/>
                <w14:textFill>
                  <w14:solidFill>
                    <w14:schemeClr w14:val="tx1"/>
                  </w14:solidFill>
                </w14:textFill>
              </w:rPr>
              <w:t>.</w:t>
            </w:r>
            <w:r>
              <w:rPr>
                <w:rFonts w:hint="default" w:ascii="Times New Roman" w:hAnsi="Times New Roman" w:eastAsia="宋体" w:cs="Times New Roman"/>
                <w:b/>
                <w:color w:val="000000" w:themeColor="text1"/>
                <w:kern w:val="0"/>
                <w:sz w:val="24"/>
                <w14:textFill>
                  <w14:solidFill>
                    <w14:schemeClr w14:val="tx1"/>
                  </w14:solidFill>
                </w14:textFill>
              </w:rPr>
              <w:t xml:space="preserve">2 </w:t>
            </w:r>
            <w:r>
              <w:rPr>
                <w:rFonts w:hint="eastAsia" w:cs="Times New Roman"/>
                <w:b/>
                <w:color w:val="000000" w:themeColor="text1"/>
                <w:kern w:val="0"/>
                <w:sz w:val="24"/>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kern w:val="0"/>
                <w:sz w:val="24"/>
                <w14:textFill>
                  <w14:solidFill>
                    <w14:schemeClr w14:val="tx1"/>
                  </w14:solidFill>
                </w14:textFill>
              </w:rPr>
              <w:t>本项目与区域规划环评审查意见的符合性分析一览表</w:t>
            </w:r>
          </w:p>
          <w:tbl>
            <w:tblPr>
              <w:tblStyle w:val="24"/>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3501"/>
              <w:gridCol w:w="2637"/>
              <w:gridCol w:w="799"/>
            </w:tblGrid>
            <w:tr w14:paraId="21303B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0728F78E">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相关要求</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70DAB9A6">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本项目情况</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1BDC0270">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符合性</w:t>
                  </w:r>
                </w:p>
              </w:tc>
            </w:tr>
            <w:tr w14:paraId="345EC1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01CF20AD">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一）进一步优化示范园空间布局和组团结构。充分考虑居住区域环境要求，进一步优化调整示范园空间布局、组团结构，必要时设置生态隔离措施，减轻和避免各功能区之间、项目之间在环境保护方面的相互影响。不符合功能分区和定位的已建项目，要逐步实施调整或搬迁，需要设置卫生防护距离的企业，应按有关规定严格设定。严格控制示范园周边用地规划，加强对环境敏感点的保护。示范园内现有天然水体应予以保留。</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0CB69F83">
                  <w:pPr>
                    <w:snapToGrid w:val="0"/>
                    <w:spacing w:line="276" w:lineRule="auto"/>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根据宿州市循环经济示范园总体发展规划入园行业的控制建议表可知，本项目为</w:t>
                  </w:r>
                  <w:r>
                    <w:rPr>
                      <w:rFonts w:hint="default" w:ascii="Times New Roman" w:hAnsi="Times New Roman" w:eastAsia="宋体" w:cs="Times New Roman"/>
                      <w:bCs/>
                      <w:color w:val="auto"/>
                      <w:kern w:val="0"/>
                      <w:sz w:val="21"/>
                      <w:szCs w:val="21"/>
                    </w:rPr>
                    <w:t>C29</w:t>
                  </w:r>
                  <w:r>
                    <w:rPr>
                      <w:rFonts w:hint="eastAsia" w:cs="Times New Roman"/>
                      <w:bCs/>
                      <w:color w:val="auto"/>
                      <w:kern w:val="0"/>
                      <w:sz w:val="21"/>
                      <w:szCs w:val="21"/>
                      <w:lang w:val="en-US" w:eastAsia="zh-CN"/>
                    </w:rPr>
                    <w:t xml:space="preserve">22 </w:t>
                  </w:r>
                  <w:r>
                    <w:rPr>
                      <w:rFonts w:hint="default" w:ascii="Times New Roman" w:hAnsi="Times New Roman" w:eastAsia="宋体" w:cs="Times New Roman"/>
                      <w:b w:val="0"/>
                      <w:bCs w:val="0"/>
                      <w:color w:val="auto"/>
                      <w:sz w:val="21"/>
                      <w:szCs w:val="21"/>
                      <w:lang w:val="en-US" w:eastAsia="zh-CN"/>
                    </w:rPr>
                    <w:t>塑料板、管、型材制造</w:t>
                  </w:r>
                  <w:r>
                    <w:rPr>
                      <w:rFonts w:hint="default" w:ascii="Times New Roman" w:hAnsi="Times New Roman" w:eastAsia="宋体" w:cs="Times New Roman"/>
                      <w:color w:val="000000" w:themeColor="text1"/>
                      <w:sz w:val="21"/>
                      <w:szCs w:val="21"/>
                      <w14:textFill>
                        <w14:solidFill>
                          <w14:schemeClr w14:val="tx1"/>
                        </w14:solidFill>
                      </w14:textFill>
                    </w:rPr>
                    <w:t>，本次为</w:t>
                  </w:r>
                  <w:r>
                    <w:rPr>
                      <w:rFonts w:hint="eastAsia" w:cs="Times New Roman"/>
                      <w:color w:val="000000" w:themeColor="text1"/>
                      <w:sz w:val="21"/>
                      <w:szCs w:val="21"/>
                      <w:lang w:val="en-US" w:eastAsia="zh-CN"/>
                      <w14:textFill>
                        <w14:solidFill>
                          <w14:schemeClr w14:val="tx1"/>
                        </w14:solidFill>
                      </w14:textFill>
                    </w:rPr>
                    <w:t>扩</w:t>
                  </w:r>
                  <w:r>
                    <w:rPr>
                      <w:rFonts w:hint="default" w:ascii="Times New Roman" w:hAnsi="Times New Roman" w:eastAsia="宋体" w:cs="Times New Roman"/>
                      <w:color w:val="000000" w:themeColor="text1"/>
                      <w:sz w:val="21"/>
                      <w:szCs w:val="21"/>
                      <w14:textFill>
                        <w14:solidFill>
                          <w14:schemeClr w14:val="tx1"/>
                        </w14:solidFill>
                      </w14:textFill>
                    </w:rPr>
                    <w:t>建，不属于宿州市循环经济示范园限制进入、禁止进入项目，本项目的建设符合宿州市循环经济示范园总体规划要求</w:t>
                  </w:r>
                  <w:r>
                    <w:rPr>
                      <w:rFonts w:hint="eastAsia" w:cs="Times New Roman"/>
                      <w:color w:val="000000" w:themeColor="text1"/>
                      <w:sz w:val="21"/>
                      <w:szCs w:val="21"/>
                      <w:lang w:eastAsia="zh-CN"/>
                      <w14:textFill>
                        <w14:solidFill>
                          <w14:schemeClr w14:val="tx1"/>
                        </w14:solidFill>
                      </w14:textFill>
                    </w:rPr>
                    <w:t>。</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4B0CF980">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29DBFC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2F0ACC30">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二</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实行最严格的水资源管理制度。对示范园实现水资源总量控制管理制度，制定并实施示范园节水和中水利用规划，积极推进企业内、企业间水资源的梯级利用和企业用水总量控制，认真研究分质供水并适时实施，切实提高水资源利用率。严禁建设国家明令禁止的项目，严格控制高耗水、高耗能、污水排放量大的项目建设；逐步取缔企业自备水井，新建项目一律不得开采地下水。已建和拟入园建设项目应严格执行水环境保护相关标准和要求。</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245EBEAF">
                  <w:pPr>
                    <w:snapToGrid w:val="0"/>
                    <w:spacing w:line="276" w:lineRule="auto"/>
                    <w:jc w:val="center"/>
                    <w:rPr>
                      <w:rFonts w:hint="eastAsia" w:ascii="Times New Roman" w:hAnsi="Times New Roman" w:eastAsia="宋体" w:cs="Times New Roman"/>
                      <w:color w:val="000000" w:themeColor="text1"/>
                      <w:sz w:val="21"/>
                      <w:szCs w:val="21"/>
                      <w:highlight w:val="yellow"/>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本项目采用区域供水管网供水；参照</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《产业结构调整指导目录（20</w:t>
                  </w:r>
                  <w:r>
                    <w:rPr>
                      <w:rFonts w:hint="eastAsia" w:eastAsia="宋体" w:cs="Times New Roman"/>
                      <w:color w:val="000000" w:themeColor="text1"/>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年本）》</w:t>
                  </w:r>
                  <w:r>
                    <w:rPr>
                      <w:rFonts w:hint="default" w:ascii="Times New Roman" w:hAnsi="Times New Roman" w:eastAsia="宋体" w:cs="Times New Roman"/>
                      <w:color w:val="000000" w:themeColor="text1"/>
                      <w:sz w:val="21"/>
                      <w:szCs w:val="21"/>
                      <w14:textFill>
                        <w14:solidFill>
                          <w14:schemeClr w14:val="tx1"/>
                        </w14:solidFill>
                      </w14:textFill>
                    </w:rPr>
                    <w:t>，本项目视为允许类；本项目不属于国家明令禁止的项目，不涉及《环境保护综合名录（2021年版）》中的</w:t>
                  </w:r>
                  <w:r>
                    <w:rPr>
                      <w:rFonts w:hint="eastAsia" w:ascii="宋体" w:hAnsi="宋体" w:eastAsia="宋体" w:cs="宋体"/>
                      <w:color w:val="000000" w:themeColor="text1"/>
                      <w:sz w:val="21"/>
                      <w:szCs w:val="21"/>
                      <w14:textFill>
                        <w14:solidFill>
                          <w14:schemeClr w14:val="tx1"/>
                        </w14:solidFill>
                      </w14:textFill>
                    </w:rPr>
                    <w:t>“高污染、高环境风险”产品名录中所述行业类别及产品；</w:t>
                  </w:r>
                  <w:r>
                    <w:rPr>
                      <w:rFonts w:hint="eastAsia" w:ascii="宋体" w:hAnsi="宋体" w:eastAsia="宋体" w:cs="宋体"/>
                      <w:bCs/>
                      <w:color w:val="000000" w:themeColor="text1"/>
                      <w:sz w:val="21"/>
                      <w:szCs w:val="21"/>
                      <w14:textFill>
                        <w14:solidFill>
                          <w14:schemeClr w14:val="tx1"/>
                        </w14:solidFill>
                      </w14:textFill>
                    </w:rPr>
                    <w:t>根据《安徽省“两高”项目管理目录（试行）》可知，本项目不属于“两高”</w:t>
                  </w:r>
                  <w:r>
                    <w:rPr>
                      <w:rFonts w:hint="default" w:ascii="Times New Roman" w:hAnsi="Times New Roman" w:eastAsia="宋体" w:cs="Times New Roman"/>
                      <w:bCs/>
                      <w:color w:val="000000" w:themeColor="text1"/>
                      <w:sz w:val="21"/>
                      <w:szCs w:val="21"/>
                      <w14:textFill>
                        <w14:solidFill>
                          <w14:schemeClr w14:val="tx1"/>
                        </w14:solidFill>
                      </w14:textFill>
                    </w:rPr>
                    <w:t>项目；</w:t>
                  </w:r>
                  <w:r>
                    <w:rPr>
                      <w:rFonts w:hint="default" w:ascii="Times New Roman" w:hAnsi="Times New Roman" w:eastAsia="宋体" w:cs="Times New Roman"/>
                      <w:color w:val="000000" w:themeColor="text1"/>
                      <w:sz w:val="21"/>
                      <w:szCs w:val="21"/>
                      <w14:textFill>
                        <w14:solidFill>
                          <w14:schemeClr w14:val="tx1"/>
                        </w14:solidFill>
                      </w14:textFill>
                    </w:rPr>
                    <w:t>不属于高耗水、高耗能、污水排放量大的项目</w:t>
                  </w:r>
                  <w:r>
                    <w:rPr>
                      <w:rFonts w:hint="eastAsia" w:cs="Times New Roman"/>
                      <w:color w:val="000000" w:themeColor="text1"/>
                      <w:sz w:val="21"/>
                      <w:szCs w:val="21"/>
                      <w:lang w:eastAsia="zh-CN"/>
                      <w14:textFill>
                        <w14:solidFill>
                          <w14:schemeClr w14:val="tx1"/>
                        </w14:solidFill>
                      </w14:textFill>
                    </w:rPr>
                    <w:t>。</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03FB2BA8">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7150D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1607FE67">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三</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在规划确定的示范园产业定位总体框架下，充分体现循环经济理念，并考虑与区域产业布局的互补，进一步优化发展重点，严格控制非主导产业项目入园。入园项目要采用先进的生产工艺和装备，采用高水平的污染治理措施。清洁生产水平现阶段按国内先进水平要求，并逐步提高，最大限度控制示范园污染物排放量和排放强度。建立并实施不符合规划、产业准入和环保准入项目的退出机制。示范园不得建设含电镀、印染工艺的项目，审慎研究并合理控制屠宰项目的规模。</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20708A94">
                  <w:pPr>
                    <w:snapToGrid w:val="0"/>
                    <w:spacing w:line="276" w:lineRule="auto"/>
                    <w:jc w:val="center"/>
                    <w:rPr>
                      <w:rFonts w:hint="default" w:ascii="Times New Roman" w:hAnsi="Times New Roman" w:eastAsia="宋体" w:cs="Times New Roman"/>
                      <w:color w:val="000000" w:themeColor="text1"/>
                      <w:sz w:val="21"/>
                      <w:szCs w:val="21"/>
                      <w:highlight w:val="yellow"/>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本项目为C2922塑料板、管、型材制造</w:t>
                  </w:r>
                  <w:r>
                    <w:rPr>
                      <w:rFonts w:hint="default" w:ascii="Times New Roman" w:hAnsi="Times New Roman" w:eastAsia="宋体" w:cs="Times New Roman"/>
                      <w:color w:val="000000" w:themeColor="text1"/>
                      <w:kern w:val="0"/>
                      <w:sz w:val="21"/>
                      <w:szCs w:val="21"/>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本次为</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扩建</w:t>
                  </w:r>
                  <w:r>
                    <w:rPr>
                      <w:rFonts w:hint="default" w:ascii="Times New Roman" w:hAnsi="Times New Roman" w:eastAsia="宋体" w:cs="Times New Roman"/>
                      <w:color w:val="000000" w:themeColor="text1"/>
                      <w:sz w:val="21"/>
                      <w:szCs w:val="21"/>
                      <w14:textFill>
                        <w14:solidFill>
                          <w14:schemeClr w14:val="tx1"/>
                        </w14:solidFill>
                      </w14:textFill>
                    </w:rPr>
                    <w:t>，不属于宿州市循环经济示范园限制进入、禁止进入项目，本项目的建设符合宿州市循环经济示范园总体规划要求；项目不含电镀及印染工艺；</w:t>
                  </w:r>
                  <w:r>
                    <w:rPr>
                      <w:rFonts w:hint="eastAsia" w:cs="Times New Roman"/>
                      <w:color w:val="000000" w:themeColor="text1"/>
                      <w:sz w:val="21"/>
                      <w:szCs w:val="21"/>
                      <w:lang w:eastAsia="zh-CN"/>
                      <w14:textFill>
                        <w14:solidFill>
                          <w14:schemeClr w14:val="tx1"/>
                        </w14:solidFill>
                      </w14:textFill>
                    </w:rPr>
                    <w:t>项目所产生的颗粒物采用布袋除尘器处理；挥发性有机物采用</w:t>
                  </w:r>
                  <w:r>
                    <w:rPr>
                      <w:rFonts w:hint="eastAsia" w:cs="Times New Roman"/>
                      <w:color w:val="000000" w:themeColor="text1"/>
                      <w:sz w:val="21"/>
                      <w:szCs w:val="21"/>
                      <w:lang w:val="en-US" w:eastAsia="zh-CN"/>
                      <w14:textFill>
                        <w14:solidFill>
                          <w14:schemeClr w14:val="tx1"/>
                        </w14:solidFill>
                      </w14:textFill>
                    </w:rPr>
                    <w:t>CO催化燃烧处理，均属于高水平污染处理措施。</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6BCEFF68">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718ABB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0A604EA8">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（四）坚持环保优先原则，强化环保基础设施建设。示范园污水依托</w:t>
                  </w:r>
                  <w:r>
                    <w:rPr>
                      <w:rFonts w:hint="eastAsia" w:cs="Times New Roman"/>
                      <w:color w:val="000000" w:themeColor="text1"/>
                      <w:sz w:val="21"/>
                      <w:szCs w:val="21"/>
                      <w:lang w:eastAsia="zh-CN"/>
                      <w14:textFill>
                        <w14:solidFill>
                          <w14:schemeClr w14:val="tx1"/>
                        </w14:solidFill>
                      </w14:textFill>
                    </w:rPr>
                    <w:t>埇桥区循环经济示范园污水处理厂</w:t>
                  </w:r>
                  <w:r>
                    <w:rPr>
                      <w:rFonts w:hint="default" w:ascii="Times New Roman" w:hAnsi="Times New Roman" w:eastAsia="宋体" w:cs="Times New Roman"/>
                      <w:color w:val="000000" w:themeColor="text1"/>
                      <w:sz w:val="21"/>
                      <w:szCs w:val="21"/>
                      <w14:textFill>
                        <w14:solidFill>
                          <w14:schemeClr w14:val="tx1"/>
                        </w14:solidFill>
                      </w14:textFill>
                    </w:rPr>
                    <w:t>处理，</w:t>
                  </w:r>
                  <w:r>
                    <w:rPr>
                      <w:rFonts w:hint="eastAsia" w:cs="Times New Roman"/>
                      <w:color w:val="000000" w:themeColor="text1"/>
                      <w:sz w:val="21"/>
                      <w:szCs w:val="21"/>
                      <w:lang w:eastAsia="zh-CN"/>
                      <w14:textFill>
                        <w14:solidFill>
                          <w14:schemeClr w14:val="tx1"/>
                        </w14:solidFill>
                      </w14:textFill>
                    </w:rPr>
                    <w:t>埇桥区循环经济示范园污水处理厂</w:t>
                  </w:r>
                  <w:r>
                    <w:rPr>
                      <w:rFonts w:hint="default" w:ascii="Times New Roman" w:hAnsi="Times New Roman" w:eastAsia="宋体" w:cs="Times New Roman"/>
                      <w:color w:val="000000" w:themeColor="text1"/>
                      <w:sz w:val="21"/>
                      <w:szCs w:val="21"/>
                      <w14:textFill>
                        <w14:solidFill>
                          <w14:schemeClr w14:val="tx1"/>
                        </w14:solidFill>
                      </w14:textFill>
                    </w:rPr>
                    <w:t>应于2014年底前投入运行，污水管网应与示范园开发建设同步进行或适度提前，确保示范园内污水全收集、全处理。在此之前，不得新建排放水污染物的项目﹐现有企业生产污水必须严格实行达标排放。落实各项水环境保护措施，确保示范园建设不降低水体功能及地表水和地下水环境质量。加快集中供热方案、燃气规划实施进度。全面落实《安徽省大气污染防治行动计划实施方案》的各项要求。禁止新建燃煤锅炉。环境保护规划中环境空气质量标准采用《环境空气质量标准》（GB3095-2012）。做好示范园建设中的水土保持工作。</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590748CC">
                  <w:pPr>
                    <w:snapToGrid w:val="0"/>
                    <w:spacing w:line="276" w:lineRule="auto"/>
                    <w:jc w:val="center"/>
                    <w:rPr>
                      <w:rFonts w:hint="default" w:ascii="Times New Roman" w:hAnsi="Times New Roman" w:eastAsia="宋体" w:cs="Times New Roman"/>
                      <w:color w:val="000000" w:themeColor="text1"/>
                      <w:sz w:val="21"/>
                      <w:szCs w:val="21"/>
                      <w:highlight w:val="yellow"/>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项目雨污分流，生活污水经化粪池预处理后纳管，进入</w:t>
                  </w:r>
                  <w:r>
                    <w:rPr>
                      <w:rFonts w:hint="eastAsia" w:cs="Times New Roman"/>
                      <w:color w:val="000000" w:themeColor="text1"/>
                      <w:sz w:val="21"/>
                      <w:szCs w:val="21"/>
                      <w:lang w:eastAsia="zh-CN"/>
                      <w14:textFill>
                        <w14:solidFill>
                          <w14:schemeClr w14:val="tx1"/>
                        </w14:solidFill>
                      </w14:textFill>
                    </w:rPr>
                    <w:t>城东</w:t>
                  </w:r>
                  <w:r>
                    <w:rPr>
                      <w:rFonts w:hint="default" w:ascii="Times New Roman" w:hAnsi="Times New Roman" w:eastAsia="宋体" w:cs="Times New Roman"/>
                      <w:color w:val="000000" w:themeColor="text1"/>
                      <w:sz w:val="21"/>
                      <w:szCs w:val="21"/>
                      <w14:textFill>
                        <w14:solidFill>
                          <w14:schemeClr w14:val="tx1"/>
                        </w14:solidFill>
                      </w14:textFill>
                    </w:rPr>
                    <w:t>污水处理厂集中处理；项目不使用锅炉</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4FBAEE5C">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79D688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13D55017">
                  <w:pPr>
                    <w:snapToGrid w:val="0"/>
                    <w:spacing w:line="276" w:lineRule="auto"/>
                    <w:jc w:val="center"/>
                    <w:rPr>
                      <w:rFonts w:hint="default" w:ascii="Times New Roman" w:hAnsi="Times New Roman" w:eastAsia="宋体" w:cs="Times New Roman"/>
                      <w:color w:val="auto"/>
                      <w:sz w:val="21"/>
                      <w:szCs w:val="21"/>
                    </w:rPr>
                  </w:pPr>
                  <w:r>
                    <w:rPr>
                      <w:rFonts w:hint="eastAsia" w:cs="Times New Roman"/>
                      <w:color w:val="auto"/>
                      <w:sz w:val="21"/>
                      <w:szCs w:val="21"/>
                      <w:lang w:eastAsia="zh-CN"/>
                    </w:rPr>
                    <w:t>（</w:t>
                  </w:r>
                  <w:r>
                    <w:rPr>
                      <w:rFonts w:hint="default" w:ascii="Times New Roman" w:hAnsi="Times New Roman" w:eastAsia="宋体" w:cs="Times New Roman"/>
                      <w:color w:val="auto"/>
                      <w:sz w:val="21"/>
                      <w:szCs w:val="21"/>
                    </w:rPr>
                    <w:t>五</w:t>
                  </w:r>
                  <w:r>
                    <w:rPr>
                      <w:rFonts w:hint="eastAsia" w:cs="Times New Roman"/>
                      <w:color w:val="auto"/>
                      <w:sz w:val="21"/>
                      <w:szCs w:val="21"/>
                      <w:lang w:eastAsia="zh-CN"/>
                    </w:rPr>
                    <w:t>）</w:t>
                  </w:r>
                  <w:r>
                    <w:rPr>
                      <w:rFonts w:hint="default" w:ascii="Times New Roman" w:hAnsi="Times New Roman" w:eastAsia="宋体" w:cs="Times New Roman"/>
                      <w:color w:val="auto"/>
                      <w:sz w:val="21"/>
                      <w:szCs w:val="21"/>
                    </w:rPr>
                    <w:t>加强各类固体废物的收集和处理处置。生活垃圾应集中收集后送环卫部门妥善处理；危险废物应按有关规定安全收集、暂存、处置。应确定专人对危险废物进行管理，建立危险废物环境管理台账和信息档案，严格执行危险废物转移联单制度。</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400E5F84">
                  <w:pPr>
                    <w:snapToGrid w:val="0"/>
                    <w:spacing w:line="276" w:lineRule="auto"/>
                    <w:jc w:val="center"/>
                    <w:rPr>
                      <w:rFonts w:hint="eastAsia" w:ascii="Times New Roman" w:hAnsi="Times New Roman" w:eastAsia="宋体" w:cs="Times New Roman"/>
                      <w:color w:val="auto"/>
                      <w:sz w:val="21"/>
                      <w:szCs w:val="21"/>
                      <w:highlight w:val="yellow"/>
                      <w:lang w:eastAsia="zh-CN"/>
                    </w:rPr>
                  </w:pPr>
                  <w:r>
                    <w:rPr>
                      <w:rFonts w:hint="default" w:ascii="Times New Roman" w:hAnsi="Times New Roman" w:eastAsia="宋体" w:cs="Times New Roman"/>
                      <w:color w:val="auto"/>
                      <w:sz w:val="21"/>
                      <w:szCs w:val="21"/>
                    </w:rPr>
                    <w:t>本项目产生的各类固体废物能得到有效处置，其中，本项目产生的</w:t>
                  </w:r>
                  <w:r>
                    <w:rPr>
                      <w:rFonts w:hint="default" w:ascii="Times New Roman" w:hAnsi="Times New Roman" w:eastAsia="宋体" w:cs="Times New Roman"/>
                      <w:color w:val="auto"/>
                      <w:sz w:val="21"/>
                      <w:szCs w:val="21"/>
                      <w:lang w:val="en-US" w:eastAsia="zh-CN"/>
                    </w:rPr>
                    <w:t>废包装袋</w:t>
                  </w:r>
                  <w:r>
                    <w:rPr>
                      <w:rFonts w:hint="default" w:ascii="Times New Roman" w:hAnsi="Times New Roman" w:eastAsia="宋体" w:cs="Times New Roman"/>
                      <w:color w:val="auto"/>
                      <w:sz w:val="21"/>
                      <w:szCs w:val="21"/>
                      <w:lang w:eastAsia="zh-CN"/>
                    </w:rPr>
                    <w:t>、</w:t>
                  </w:r>
                  <w:r>
                    <w:rPr>
                      <w:rFonts w:hint="eastAsia" w:cs="Times New Roman"/>
                      <w:color w:val="auto"/>
                      <w:sz w:val="21"/>
                      <w:szCs w:val="21"/>
                      <w:lang w:eastAsia="zh-CN"/>
                    </w:rPr>
                    <w:t>废边角料、</w:t>
                  </w:r>
                  <w:r>
                    <w:rPr>
                      <w:rFonts w:hint="default" w:ascii="Times New Roman" w:hAnsi="Times New Roman" w:eastAsia="宋体" w:cs="Times New Roman"/>
                      <w:color w:val="auto"/>
                      <w:sz w:val="21"/>
                      <w:szCs w:val="21"/>
                      <w:lang w:val="en-US" w:eastAsia="zh-CN"/>
                    </w:rPr>
                    <w:t>除尘器收集</w:t>
                  </w:r>
                  <w:r>
                    <w:rPr>
                      <w:rFonts w:hint="eastAsia" w:cs="Times New Roman"/>
                      <w:color w:val="auto"/>
                      <w:sz w:val="21"/>
                      <w:szCs w:val="21"/>
                      <w:lang w:val="en-US" w:eastAsia="zh-CN"/>
                    </w:rPr>
                    <w:t>颗粒物</w:t>
                  </w:r>
                  <w:r>
                    <w:rPr>
                      <w:rFonts w:hint="default" w:ascii="Times New Roman" w:hAnsi="Times New Roman" w:eastAsia="宋体" w:cs="Times New Roman"/>
                      <w:color w:val="auto"/>
                      <w:sz w:val="21"/>
                      <w:szCs w:val="21"/>
                      <w:lang w:val="en-US" w:eastAsia="zh-CN"/>
                    </w:rPr>
                    <w:t>统一收集后交由物资回收部门回收利用；废活性炭、废</w:t>
                  </w:r>
                  <w:r>
                    <w:rPr>
                      <w:rFonts w:hint="eastAsia" w:cs="Times New Roman"/>
                      <w:color w:val="auto"/>
                      <w:sz w:val="21"/>
                      <w:szCs w:val="21"/>
                      <w:lang w:val="en-US" w:eastAsia="zh-CN"/>
                    </w:rPr>
                    <w:t>催化剂</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废润滑油、</w:t>
                  </w:r>
                  <w:r>
                    <w:rPr>
                      <w:rFonts w:hint="default" w:ascii="Times New Roman" w:hAnsi="Times New Roman" w:eastAsia="宋体" w:cs="Times New Roman"/>
                      <w:color w:val="auto"/>
                      <w:sz w:val="21"/>
                      <w:szCs w:val="21"/>
                      <w:lang w:val="en-US" w:eastAsia="zh-CN"/>
                    </w:rPr>
                    <w:t>废</w:t>
                  </w:r>
                  <w:r>
                    <w:rPr>
                      <w:rFonts w:hint="eastAsia" w:cs="Times New Roman"/>
                      <w:color w:val="auto"/>
                      <w:sz w:val="21"/>
                      <w:szCs w:val="21"/>
                      <w:lang w:val="en-US" w:eastAsia="zh-CN"/>
                    </w:rPr>
                    <w:t>润滑油桶</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废喷淋水</w:t>
                  </w:r>
                  <w:r>
                    <w:rPr>
                      <w:rFonts w:hint="default" w:ascii="Times New Roman" w:hAnsi="Times New Roman" w:eastAsia="宋体" w:cs="Times New Roman"/>
                      <w:color w:val="auto"/>
                      <w:sz w:val="21"/>
                      <w:szCs w:val="21"/>
                      <w:lang w:val="en-US" w:eastAsia="zh-CN"/>
                    </w:rPr>
                    <w:t>于厂内危废暂存场所暂存后委托有资质单位妥善处置；</w:t>
                  </w:r>
                  <w:r>
                    <w:rPr>
                      <w:rFonts w:hint="default" w:ascii="Times New Roman" w:hAnsi="Times New Roman" w:eastAsia="宋体" w:cs="Times New Roman"/>
                      <w:color w:val="auto"/>
                      <w:sz w:val="21"/>
                      <w:szCs w:val="21"/>
                    </w:rPr>
                    <w:t>生活垃圾委托环卫部门统一处理。项目危险废物按有关规定收集、暂存及处置；同时项目确定专人对危险废物进行管理，建立危险废物环境管理台账和信息档案，并严格执行危险废物转移联单制度</w:t>
                  </w:r>
                  <w:r>
                    <w:rPr>
                      <w:rFonts w:hint="eastAsia" w:cs="Times New Roman"/>
                      <w:color w:val="auto"/>
                      <w:sz w:val="21"/>
                      <w:szCs w:val="21"/>
                      <w:lang w:eastAsia="zh-CN"/>
                    </w:rPr>
                    <w:t>。</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451E28EA">
                  <w:pPr>
                    <w:spacing w:line="276"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符合</w:t>
                  </w:r>
                </w:p>
              </w:tc>
            </w:tr>
            <w:tr w14:paraId="3C3050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1F82A1C7">
                  <w:pPr>
                    <w:snapToGrid w:val="0"/>
                    <w:spacing w:line="276" w:lineRule="auto"/>
                    <w:jc w:val="center"/>
                    <w:rPr>
                      <w:rFonts w:hint="default" w:ascii="Times New Roman" w:hAnsi="Times New Roman" w:eastAsia="宋体" w:cs="Times New Roman"/>
                      <w:color w:val="auto"/>
                      <w:sz w:val="21"/>
                      <w:szCs w:val="21"/>
                    </w:rPr>
                  </w:pPr>
                  <w:r>
                    <w:rPr>
                      <w:rFonts w:hint="eastAsia" w:cs="Times New Roman"/>
                      <w:color w:val="auto"/>
                      <w:sz w:val="21"/>
                      <w:szCs w:val="21"/>
                      <w:lang w:eastAsia="zh-CN"/>
                    </w:rPr>
                    <w:t>（</w:t>
                  </w:r>
                  <w:r>
                    <w:rPr>
                      <w:rFonts w:hint="default" w:ascii="Times New Roman" w:hAnsi="Times New Roman" w:eastAsia="宋体" w:cs="Times New Roman"/>
                      <w:color w:val="auto"/>
                      <w:sz w:val="21"/>
                      <w:szCs w:val="21"/>
                    </w:rPr>
                    <w:t>六</w:t>
                  </w:r>
                  <w:r>
                    <w:rPr>
                      <w:rFonts w:hint="eastAsia" w:cs="Times New Roman"/>
                      <w:color w:val="auto"/>
                      <w:sz w:val="21"/>
                      <w:szCs w:val="21"/>
                      <w:lang w:eastAsia="zh-CN"/>
                    </w:rPr>
                    <w:t>）</w:t>
                  </w:r>
                  <w:r>
                    <w:rPr>
                      <w:rFonts w:hint="default" w:ascii="Times New Roman" w:hAnsi="Times New Roman" w:eastAsia="宋体" w:cs="Times New Roman"/>
                      <w:color w:val="auto"/>
                      <w:sz w:val="21"/>
                      <w:szCs w:val="21"/>
                    </w:rPr>
                    <w:t>建立健全示范园环境监控体系。示范园和入园企业要按照有关规范要求，开展日常环境监控工作，建设完善的污染物排放在线监控系统，并与环保部门实现联网。</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62F66480">
                  <w:pPr>
                    <w:snapToGrid w:val="0"/>
                    <w:spacing w:line="276" w:lineRule="auto"/>
                    <w:jc w:val="center"/>
                    <w:rPr>
                      <w:rFonts w:hint="eastAsia" w:ascii="Times New Roman" w:hAnsi="Times New Roman" w:eastAsia="宋体" w:cs="Times New Roman"/>
                      <w:color w:val="auto"/>
                      <w:sz w:val="21"/>
                      <w:szCs w:val="21"/>
                      <w:highlight w:val="yellow"/>
                      <w:lang w:eastAsia="zh-CN"/>
                    </w:rPr>
                  </w:pPr>
                  <w:r>
                    <w:rPr>
                      <w:rFonts w:hint="default" w:ascii="Times New Roman" w:hAnsi="Times New Roman" w:eastAsia="宋体" w:cs="Times New Roman"/>
                      <w:color w:val="auto"/>
                      <w:sz w:val="21"/>
                      <w:szCs w:val="21"/>
                    </w:rPr>
                    <w:t>本环评要求建设单位按照有关规范要求，开展日常环境监控工作</w:t>
                  </w:r>
                  <w:r>
                    <w:rPr>
                      <w:rFonts w:hint="eastAsia" w:cs="Times New Roman"/>
                      <w:color w:val="auto"/>
                      <w:sz w:val="21"/>
                      <w:szCs w:val="21"/>
                      <w:lang w:eastAsia="zh-CN"/>
                    </w:rPr>
                    <w:t>。</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43FC08DD">
                  <w:pPr>
                    <w:spacing w:line="276"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符合</w:t>
                  </w:r>
                </w:p>
              </w:tc>
            </w:tr>
            <w:tr w14:paraId="71FF49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53AA84CF">
                  <w:pPr>
                    <w:snapToGrid w:val="0"/>
                    <w:spacing w:line="276" w:lineRule="auto"/>
                    <w:jc w:val="center"/>
                    <w:rPr>
                      <w:rFonts w:hint="default" w:ascii="Times New Roman" w:hAnsi="Times New Roman" w:eastAsia="宋体" w:cs="Times New Roman"/>
                      <w:color w:val="auto"/>
                      <w:sz w:val="21"/>
                      <w:szCs w:val="21"/>
                    </w:rPr>
                  </w:pPr>
                  <w:r>
                    <w:rPr>
                      <w:rFonts w:hint="eastAsia" w:cs="Times New Roman"/>
                      <w:color w:val="auto"/>
                      <w:sz w:val="21"/>
                      <w:szCs w:val="21"/>
                      <w:lang w:eastAsia="zh-CN"/>
                    </w:rPr>
                    <w:t>（</w:t>
                  </w:r>
                  <w:r>
                    <w:rPr>
                      <w:rFonts w:hint="default" w:ascii="Times New Roman" w:hAnsi="Times New Roman" w:eastAsia="宋体" w:cs="Times New Roman"/>
                      <w:color w:val="auto"/>
                      <w:sz w:val="21"/>
                      <w:szCs w:val="21"/>
                    </w:rPr>
                    <w:t>七</w:t>
                  </w:r>
                  <w:r>
                    <w:rPr>
                      <w:rFonts w:hint="eastAsia" w:cs="Times New Roman"/>
                      <w:color w:val="auto"/>
                      <w:sz w:val="21"/>
                      <w:szCs w:val="21"/>
                      <w:lang w:eastAsia="zh-CN"/>
                    </w:rPr>
                    <w:t>）</w:t>
                  </w:r>
                  <w:r>
                    <w:rPr>
                      <w:rFonts w:hint="default" w:ascii="Times New Roman" w:hAnsi="Times New Roman" w:eastAsia="宋体" w:cs="Times New Roman"/>
                      <w:color w:val="auto"/>
                      <w:sz w:val="21"/>
                      <w:szCs w:val="21"/>
                    </w:rPr>
                    <w:t>坚持预防为主、防治结合，制定并落实示范园综合环境风险防范、预警和应急体系，及时更新升级各类突发环境事件应急预案，做好应急软硬件建设和储备。建立环境风险单位信息库，入园企业要在示范园环境风险应急处置框架下，制定环境风险应急预案，在具体项目建设中细化落实。</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0963BFCF">
                  <w:pPr>
                    <w:snapToGrid w:val="0"/>
                    <w:spacing w:line="276" w:lineRule="auto"/>
                    <w:jc w:val="center"/>
                    <w:rPr>
                      <w:rFonts w:hint="eastAsia" w:ascii="Times New Roman" w:hAnsi="Times New Roman" w:eastAsia="宋体" w:cs="Times New Roman"/>
                      <w:color w:val="auto"/>
                      <w:sz w:val="21"/>
                      <w:szCs w:val="21"/>
                      <w:highlight w:val="yellow"/>
                      <w:lang w:eastAsia="zh-CN"/>
                    </w:rPr>
                  </w:pPr>
                  <w:r>
                    <w:rPr>
                      <w:rFonts w:hint="default" w:ascii="Times New Roman" w:hAnsi="Times New Roman" w:eastAsia="宋体" w:cs="Times New Roman"/>
                      <w:color w:val="auto"/>
                      <w:sz w:val="21"/>
                      <w:szCs w:val="21"/>
                    </w:rPr>
                    <w:t>建设单位在示范园环境风险应急处置框架下，制定环境风险应急预案，做好应急软硬件建设和储备，并细化落实</w:t>
                  </w:r>
                  <w:r>
                    <w:rPr>
                      <w:rFonts w:hint="eastAsia" w:cs="Times New Roman"/>
                      <w:color w:val="auto"/>
                      <w:sz w:val="21"/>
                      <w:szCs w:val="21"/>
                      <w:lang w:eastAsia="zh-CN"/>
                    </w:rPr>
                    <w:t>。</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586F3FC4">
                  <w:pPr>
                    <w:spacing w:line="276"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符合</w:t>
                  </w:r>
                </w:p>
              </w:tc>
            </w:tr>
            <w:tr w14:paraId="42EC36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4"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615B06FE">
                  <w:pPr>
                    <w:snapToGrid w:val="0"/>
                    <w:spacing w:line="276" w:lineRule="auto"/>
                    <w:jc w:val="center"/>
                    <w:rPr>
                      <w:rFonts w:hint="default" w:ascii="Times New Roman" w:hAnsi="Times New Roman" w:eastAsia="宋体" w:cs="Times New Roman"/>
                      <w:color w:val="auto"/>
                      <w:sz w:val="21"/>
                      <w:szCs w:val="21"/>
                    </w:rPr>
                  </w:pPr>
                  <w:r>
                    <w:rPr>
                      <w:rFonts w:hint="eastAsia" w:cs="Times New Roman"/>
                      <w:color w:val="auto"/>
                      <w:sz w:val="21"/>
                      <w:szCs w:val="21"/>
                      <w:lang w:eastAsia="zh-CN"/>
                    </w:rPr>
                    <w:t>（</w:t>
                  </w:r>
                  <w:r>
                    <w:rPr>
                      <w:rFonts w:hint="default" w:ascii="Times New Roman" w:hAnsi="Times New Roman" w:eastAsia="宋体" w:cs="Times New Roman"/>
                      <w:color w:val="auto"/>
                      <w:sz w:val="21"/>
                      <w:szCs w:val="21"/>
                    </w:rPr>
                    <w:t>八</w:t>
                  </w:r>
                  <w:r>
                    <w:rPr>
                      <w:rFonts w:hint="eastAsia" w:cs="Times New Roman"/>
                      <w:color w:val="auto"/>
                      <w:sz w:val="21"/>
                      <w:szCs w:val="21"/>
                      <w:lang w:eastAsia="zh-CN"/>
                    </w:rPr>
                    <w:t>）</w:t>
                  </w:r>
                  <w:r>
                    <w:rPr>
                      <w:rFonts w:hint="default" w:ascii="Times New Roman" w:hAnsi="Times New Roman" w:eastAsia="宋体" w:cs="Times New Roman"/>
                      <w:color w:val="auto"/>
                      <w:sz w:val="21"/>
                      <w:szCs w:val="21"/>
                    </w:rPr>
                    <w:t>加强环境保护制度建设和管理。入园建设项目应认真履行环保法律法规要求，严格执行环境环境影响评价制度和环保“三同时”制度；新增大气污染物、水污染物和重金属排放总量的应按照总量控制要求严格执行。</w:t>
                  </w:r>
                </w:p>
              </w:tc>
              <w:tc>
                <w:tcPr>
                  <w:tcW w:w="1900" w:type="pct"/>
                  <w:tcBorders>
                    <w:top w:val="single" w:color="000000" w:sz="8" w:space="0"/>
                    <w:left w:val="single" w:color="000000" w:sz="8" w:space="0"/>
                    <w:bottom w:val="single" w:color="000000" w:sz="8" w:space="0"/>
                    <w:right w:val="single" w:color="000000" w:sz="8" w:space="0"/>
                  </w:tcBorders>
                  <w:noWrap w:val="0"/>
                  <w:vAlign w:val="center"/>
                </w:tcPr>
                <w:p w14:paraId="547E9139">
                  <w:pPr>
                    <w:snapToGrid w:val="0"/>
                    <w:spacing w:line="276" w:lineRule="auto"/>
                    <w:jc w:val="center"/>
                    <w:rPr>
                      <w:rFonts w:hint="eastAsia" w:ascii="Times New Roman" w:hAnsi="Times New Roman" w:eastAsia="宋体" w:cs="Times New Roman"/>
                      <w:color w:val="auto"/>
                      <w:sz w:val="21"/>
                      <w:szCs w:val="21"/>
                      <w:highlight w:val="yellow"/>
                      <w:lang w:eastAsia="zh-CN"/>
                    </w:rPr>
                  </w:pPr>
                  <w:r>
                    <w:rPr>
                      <w:rFonts w:hint="default" w:ascii="Times New Roman" w:hAnsi="Times New Roman" w:eastAsia="宋体" w:cs="Times New Roman"/>
                      <w:color w:val="auto"/>
                      <w:sz w:val="21"/>
                      <w:szCs w:val="21"/>
                    </w:rPr>
                    <w:t>建设单位应认真履行环保法律法规要求，严格执行环境影响评价制度和环</w:t>
                  </w:r>
                  <w:r>
                    <w:rPr>
                      <w:rFonts w:hint="eastAsia" w:ascii="宋体" w:hAnsi="宋体" w:eastAsia="宋体" w:cs="宋体"/>
                      <w:color w:val="auto"/>
                      <w:sz w:val="21"/>
                      <w:szCs w:val="21"/>
                    </w:rPr>
                    <w:t>保“三同时”制度</w:t>
                  </w:r>
                  <w:r>
                    <w:rPr>
                      <w:rFonts w:hint="default" w:ascii="Times New Roman" w:hAnsi="Times New Roman" w:eastAsia="宋体" w:cs="Times New Roman"/>
                      <w:color w:val="auto"/>
                      <w:sz w:val="21"/>
                      <w:szCs w:val="21"/>
                    </w:rPr>
                    <w:t>；本项目严格执行污染物排放总量控制相关要求</w:t>
                  </w:r>
                  <w:r>
                    <w:rPr>
                      <w:rFonts w:hint="eastAsia" w:cs="Times New Roman"/>
                      <w:color w:val="auto"/>
                      <w:sz w:val="21"/>
                      <w:szCs w:val="21"/>
                      <w:lang w:eastAsia="zh-CN"/>
                    </w:rPr>
                    <w:t>。</w:t>
                  </w:r>
                </w:p>
              </w:tc>
              <w:tc>
                <w:tcPr>
                  <w:tcW w:w="576" w:type="pct"/>
                  <w:tcBorders>
                    <w:top w:val="single" w:color="000000" w:sz="8" w:space="0"/>
                    <w:left w:val="single" w:color="000000" w:sz="8" w:space="0"/>
                    <w:bottom w:val="single" w:color="000000" w:sz="8" w:space="0"/>
                    <w:right w:val="single" w:color="000000" w:sz="8" w:space="0"/>
                  </w:tcBorders>
                  <w:noWrap w:val="0"/>
                  <w:vAlign w:val="center"/>
                </w:tcPr>
                <w:p w14:paraId="733737FF">
                  <w:pPr>
                    <w:spacing w:line="276"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符合</w:t>
                  </w:r>
                </w:p>
              </w:tc>
            </w:tr>
          </w:tbl>
          <w:p w14:paraId="6F16F63B">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textAlignment w:val="auto"/>
              <w:rPr>
                <w:rFonts w:hint="eastAsia" w:cs="宋体"/>
                <w:color w:val="auto"/>
                <w:sz w:val="24"/>
              </w:rPr>
            </w:pPr>
            <w:r>
              <w:rPr>
                <w:rFonts w:hint="eastAsia" w:cs="宋体"/>
                <w:color w:val="auto"/>
                <w:sz w:val="24"/>
              </w:rPr>
              <w:t>由上表可知，本项目与</w:t>
            </w:r>
            <w:r>
              <w:rPr>
                <w:rFonts w:hint="default" w:ascii="Times New Roman" w:hAnsi="Times New Roman" w:eastAsia="宋体" w:cs="Times New Roman"/>
                <w:color w:val="auto"/>
                <w:kern w:val="0"/>
                <w:sz w:val="24"/>
              </w:rPr>
              <w:t>《宿州市循环经济示范园总体规划环境影响报告书》</w:t>
            </w:r>
            <w:r>
              <w:rPr>
                <w:rFonts w:hint="eastAsia" w:cs="宋体"/>
                <w:color w:val="auto"/>
                <w:sz w:val="24"/>
              </w:rPr>
              <w:t>及批复（</w:t>
            </w:r>
            <w:r>
              <w:rPr>
                <w:rFonts w:hint="default" w:ascii="Times New Roman" w:hAnsi="Times New Roman" w:eastAsia="宋体" w:cs="Times New Roman"/>
                <w:color w:val="auto"/>
                <w:kern w:val="0"/>
                <w:sz w:val="24"/>
              </w:rPr>
              <w:t>皖环函〔2014〕1367号</w:t>
            </w:r>
            <w:r>
              <w:rPr>
                <w:rFonts w:hint="eastAsia" w:cs="宋体"/>
                <w:color w:val="auto"/>
                <w:sz w:val="24"/>
              </w:rPr>
              <w:t>）相符合。</w:t>
            </w:r>
          </w:p>
          <w:p w14:paraId="7A58CA3A">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kern w:val="0"/>
                <w:sz w:val="24"/>
                <w14:textFill>
                  <w14:solidFill>
                    <w14:schemeClr w14:val="tx1"/>
                  </w14:solidFill>
                </w14:textFill>
              </w:rPr>
            </w:pPr>
            <w:r>
              <w:rPr>
                <w:rFonts w:hint="default" w:ascii="Times New Roman" w:hAnsi="Times New Roman" w:eastAsia="宋体" w:cs="Times New Roman"/>
                <w:color w:val="auto"/>
                <w:kern w:val="0"/>
                <w:sz w:val="24"/>
              </w:rPr>
              <w:t>本项目与《宿州市生态环境局关于宿州市循环经济示范园总体规划环境影响跟踪评价报告书审查意见》（宿环函〔2020〕162号</w:t>
            </w:r>
            <w:r>
              <w:rPr>
                <w:rFonts w:hint="default" w:ascii="Times New Roman" w:hAnsi="Times New Roman" w:eastAsia="宋体" w:cs="Times New Roman"/>
                <w:color w:val="000000" w:themeColor="text1"/>
                <w:kern w:val="0"/>
                <w:sz w:val="24"/>
                <w14:textFill>
                  <w14:solidFill>
                    <w14:schemeClr w14:val="tx1"/>
                  </w14:solidFill>
                </w14:textFill>
              </w:rPr>
              <w:t>）的符合性分析如下表所示：</w:t>
            </w:r>
          </w:p>
          <w:p w14:paraId="75B4212B">
            <w:pPr>
              <w:autoSpaceDE w:val="0"/>
              <w:autoSpaceDN w:val="0"/>
              <w:adjustRightInd w:val="0"/>
              <w:snapToGrid w:val="0"/>
              <w:spacing w:line="360" w:lineRule="auto"/>
              <w:jc w:val="center"/>
              <w:rPr>
                <w:rFonts w:hint="default" w:ascii="Times New Roman" w:hAnsi="Times New Roman" w:eastAsia="宋体" w:cs="Times New Roman"/>
                <w:b/>
                <w:color w:val="000000" w:themeColor="text1"/>
                <w:kern w:val="0"/>
                <w:sz w:val="24"/>
                <w14:textFill>
                  <w14:solidFill>
                    <w14:schemeClr w14:val="tx1"/>
                  </w14:solidFill>
                </w14:textFill>
              </w:rPr>
            </w:pPr>
            <w:r>
              <w:rPr>
                <w:rFonts w:hint="default" w:ascii="Times New Roman" w:hAnsi="Times New Roman" w:eastAsia="宋体" w:cs="Times New Roman"/>
                <w:b/>
                <w:color w:val="000000" w:themeColor="text1"/>
                <w:kern w:val="0"/>
                <w:sz w:val="24"/>
                <w14:textFill>
                  <w14:solidFill>
                    <w14:schemeClr w14:val="tx1"/>
                  </w14:solidFill>
                </w14:textFill>
              </w:rPr>
              <w:t>表</w:t>
            </w:r>
            <w:r>
              <w:rPr>
                <w:rFonts w:hint="eastAsia" w:cs="Times New Roman"/>
                <w:b/>
                <w:color w:val="000000" w:themeColor="text1"/>
                <w:kern w:val="0"/>
                <w:sz w:val="24"/>
                <w:lang w:val="en-US" w:eastAsia="zh-CN"/>
                <w14:textFill>
                  <w14:solidFill>
                    <w14:schemeClr w14:val="tx1"/>
                  </w14:solidFill>
                </w14:textFill>
              </w:rPr>
              <w:t>1.3</w:t>
            </w:r>
            <w:r>
              <w:rPr>
                <w:rFonts w:hint="default" w:ascii="Times New Roman" w:hAnsi="Times New Roman" w:eastAsia="宋体" w:cs="Times New Roman"/>
                <w:b/>
                <w:color w:val="000000" w:themeColor="text1"/>
                <w:kern w:val="0"/>
                <w:sz w:val="24"/>
                <w14:textFill>
                  <w14:solidFill>
                    <w14:schemeClr w14:val="tx1"/>
                  </w14:solidFill>
                </w14:textFill>
              </w:rPr>
              <w:t xml:space="preserve"> </w:t>
            </w:r>
            <w:r>
              <w:rPr>
                <w:rFonts w:hint="eastAsia" w:cs="Times New Roman"/>
                <w:b/>
                <w:color w:val="000000" w:themeColor="text1"/>
                <w:kern w:val="0"/>
                <w:sz w:val="24"/>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kern w:val="0"/>
                <w:sz w:val="24"/>
                <w14:textFill>
                  <w14:solidFill>
                    <w14:schemeClr w14:val="tx1"/>
                  </w14:solidFill>
                </w14:textFill>
              </w:rPr>
              <w:t>本项目与区域规划环评跟踪评价审查意见符合性分析表</w:t>
            </w:r>
          </w:p>
          <w:tbl>
            <w:tblPr>
              <w:tblStyle w:val="24"/>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3502"/>
              <w:gridCol w:w="2626"/>
              <w:gridCol w:w="812"/>
            </w:tblGrid>
            <w:tr w14:paraId="166242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57277610">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相关要求</w:t>
                  </w:r>
                </w:p>
              </w:tc>
              <w:tc>
                <w:tcPr>
                  <w:tcW w:w="1891" w:type="pct"/>
                  <w:tcBorders>
                    <w:top w:val="single" w:color="000000" w:sz="8" w:space="0"/>
                    <w:left w:val="single" w:color="000000" w:sz="8" w:space="0"/>
                    <w:bottom w:val="single" w:color="000000" w:sz="8" w:space="0"/>
                    <w:right w:val="single" w:color="000000" w:sz="8" w:space="0"/>
                  </w:tcBorders>
                  <w:noWrap w:val="0"/>
                  <w:vAlign w:val="center"/>
                </w:tcPr>
                <w:p w14:paraId="45D07ADC">
                  <w:pPr>
                    <w:snapToGrid w:val="0"/>
                    <w:spacing w:line="276" w:lineRule="auto"/>
                    <w:jc w:val="center"/>
                    <w:rPr>
                      <w:rFonts w:hint="default" w:ascii="Times New Roman" w:hAnsi="Times New Roman" w:eastAsia="宋体" w:cs="Times New Roman"/>
                      <w:color w:val="000000" w:themeColor="text1"/>
                      <w:sz w:val="21"/>
                      <w:szCs w:val="21"/>
                      <w:highlight w:val="yellow"/>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本项目情况</w:t>
                  </w:r>
                </w:p>
              </w:tc>
              <w:tc>
                <w:tcPr>
                  <w:tcW w:w="585" w:type="pct"/>
                  <w:tcBorders>
                    <w:top w:val="single" w:color="000000" w:sz="8" w:space="0"/>
                    <w:left w:val="single" w:color="000000" w:sz="8" w:space="0"/>
                    <w:bottom w:val="single" w:color="000000" w:sz="8" w:space="0"/>
                    <w:right w:val="single" w:color="000000" w:sz="8" w:space="0"/>
                  </w:tcBorders>
                  <w:noWrap w:val="0"/>
                  <w:vAlign w:val="center"/>
                </w:tcPr>
                <w:p w14:paraId="50B59176">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符合性</w:t>
                  </w:r>
                </w:p>
              </w:tc>
            </w:tr>
            <w:tr w14:paraId="680F4F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05766D16">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一</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应坚持高质量发展、协调发展理念，强化规划引领，夯实主导产业定位，严格控制非主导产业项目入园，建立并实施不符合规划、产业准入和环保准入条件项目搬迁或退出机制。进一步优化用地布局，合理、集约、高效利用土地资源，加强基础设施建设。着力推动园区产业转型升级，促进实现产业发展与生态环境保护、人居环境安全相协调。</w:t>
                  </w:r>
                </w:p>
              </w:tc>
              <w:tc>
                <w:tcPr>
                  <w:tcW w:w="1891" w:type="pct"/>
                  <w:tcBorders>
                    <w:top w:val="single" w:color="000000" w:sz="8" w:space="0"/>
                    <w:left w:val="single" w:color="000000" w:sz="8" w:space="0"/>
                    <w:bottom w:val="single" w:color="000000" w:sz="8" w:space="0"/>
                    <w:right w:val="single" w:color="000000" w:sz="8" w:space="0"/>
                  </w:tcBorders>
                  <w:noWrap w:val="0"/>
                  <w:vAlign w:val="center"/>
                </w:tcPr>
                <w:p w14:paraId="0A219F09">
                  <w:pPr>
                    <w:snapToGrid w:val="0"/>
                    <w:spacing w:line="276" w:lineRule="auto"/>
                    <w:jc w:val="center"/>
                    <w:rPr>
                      <w:rFonts w:hint="eastAsia" w:ascii="Times New Roman" w:hAnsi="Times New Roman" w:eastAsia="宋体" w:cs="Times New Roman"/>
                      <w:color w:val="000000" w:themeColor="text1"/>
                      <w:sz w:val="21"/>
                      <w:szCs w:val="21"/>
                      <w:highlight w:val="yellow"/>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本项目为C2922塑料板、管、型材制造</w:t>
                  </w:r>
                  <w:r>
                    <w:rPr>
                      <w:rFonts w:hint="default" w:ascii="Times New Roman" w:hAnsi="Times New Roman" w:eastAsia="宋体" w:cs="Times New Roman"/>
                      <w:color w:val="000000" w:themeColor="text1"/>
                      <w:kern w:val="0"/>
                      <w:sz w:val="21"/>
                      <w:szCs w:val="21"/>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本次为</w:t>
                  </w:r>
                  <w:r>
                    <w:rPr>
                      <w:rFonts w:hint="eastAsia" w:cs="Times New Roman"/>
                      <w:color w:val="000000" w:themeColor="text1"/>
                      <w:sz w:val="21"/>
                      <w:szCs w:val="21"/>
                      <w:lang w:val="en-US" w:eastAsia="zh-CN"/>
                      <w14:textFill>
                        <w14:solidFill>
                          <w14:schemeClr w14:val="tx1"/>
                        </w14:solidFill>
                      </w14:textFill>
                    </w:rPr>
                    <w:t>扩</w:t>
                  </w:r>
                  <w:r>
                    <w:rPr>
                      <w:rFonts w:hint="default" w:ascii="Times New Roman" w:hAnsi="Times New Roman" w:eastAsia="宋体" w:cs="Times New Roman"/>
                      <w:color w:val="000000" w:themeColor="text1"/>
                      <w:sz w:val="21"/>
                      <w:szCs w:val="21"/>
                      <w14:textFill>
                        <w14:solidFill>
                          <w14:schemeClr w14:val="tx1"/>
                        </w14:solidFill>
                      </w14:textFill>
                    </w:rPr>
                    <w:t>建，不属于宿州市循环经济示范园限制进入、禁止进入项目，本项目的建设符合宿州市循环经济示范园总体规划要求</w:t>
                  </w:r>
                  <w:r>
                    <w:rPr>
                      <w:rFonts w:hint="eastAsia" w:cs="Times New Roman"/>
                      <w:color w:val="000000" w:themeColor="text1"/>
                      <w:sz w:val="21"/>
                      <w:szCs w:val="21"/>
                      <w:lang w:eastAsia="zh-CN"/>
                      <w14:textFill>
                        <w14:solidFill>
                          <w14:schemeClr w14:val="tx1"/>
                        </w14:solidFill>
                      </w14:textFill>
                    </w:rPr>
                    <w:t>。</w:t>
                  </w:r>
                </w:p>
              </w:tc>
              <w:tc>
                <w:tcPr>
                  <w:tcW w:w="585" w:type="pct"/>
                  <w:tcBorders>
                    <w:top w:val="single" w:color="000000" w:sz="8" w:space="0"/>
                    <w:left w:val="single" w:color="000000" w:sz="8" w:space="0"/>
                    <w:bottom w:val="single" w:color="000000" w:sz="8" w:space="0"/>
                    <w:right w:val="single" w:color="000000" w:sz="8" w:space="0"/>
                  </w:tcBorders>
                  <w:noWrap w:val="0"/>
                  <w:vAlign w:val="center"/>
                </w:tcPr>
                <w:p w14:paraId="58A1C1DA">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5FE76F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636F5EE5">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二</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严格空间管控</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强化生态系统整体性保护。进一步优化园区内的空间布局</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加强区内河道、绿地等生态空间保护</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加快落实居住与工业布局管控要求。</w:t>
                  </w:r>
                </w:p>
              </w:tc>
              <w:tc>
                <w:tcPr>
                  <w:tcW w:w="1891" w:type="pct"/>
                  <w:tcBorders>
                    <w:top w:val="single" w:color="000000" w:sz="8" w:space="0"/>
                    <w:left w:val="single" w:color="000000" w:sz="8" w:space="0"/>
                    <w:bottom w:val="single" w:color="000000" w:sz="8" w:space="0"/>
                    <w:right w:val="single" w:color="000000" w:sz="8" w:space="0"/>
                  </w:tcBorders>
                  <w:noWrap w:val="0"/>
                  <w:vAlign w:val="center"/>
                </w:tcPr>
                <w:p w14:paraId="5F005D59">
                  <w:pPr>
                    <w:snapToGrid w:val="0"/>
                    <w:spacing w:line="276" w:lineRule="auto"/>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bCs/>
                      <w:color w:val="000000" w:themeColor="text1"/>
                      <w:sz w:val="21"/>
                      <w:szCs w:val="21"/>
                      <w14:textFill>
                        <w14:solidFill>
                          <w14:schemeClr w14:val="tx1"/>
                        </w14:solidFill>
                      </w14:textFill>
                    </w:rPr>
                    <w:t>项目建设符合</w:t>
                  </w:r>
                  <w:r>
                    <w:rPr>
                      <w:rFonts w:hint="default" w:ascii="Times New Roman" w:hAnsi="Times New Roman" w:eastAsia="宋体" w:cs="Times New Roman"/>
                      <w:color w:val="000000" w:themeColor="text1"/>
                      <w:sz w:val="21"/>
                      <w:szCs w:val="21"/>
                      <w14:textFill>
                        <w14:solidFill>
                          <w14:schemeClr w14:val="tx1"/>
                        </w14:solidFill>
                      </w14:textFill>
                    </w:rPr>
                    <w:t>安徽省生态环境厅文件皖环发〔2022〕5号《安徽</w:t>
                  </w:r>
                  <w:r>
                    <w:rPr>
                      <w:rFonts w:hint="eastAsia" w:ascii="宋体" w:hAnsi="宋体" w:eastAsia="宋体" w:cs="宋体"/>
                      <w:color w:val="000000" w:themeColor="text1"/>
                      <w:sz w:val="21"/>
                      <w:szCs w:val="21"/>
                      <w14:textFill>
                        <w14:solidFill>
                          <w14:schemeClr w14:val="tx1"/>
                        </w14:solidFill>
                      </w14:textFill>
                    </w:rPr>
                    <w:t>省生态环境厅关于印发安徽省“三线一单”生</w:t>
                  </w:r>
                  <w:r>
                    <w:rPr>
                      <w:rFonts w:hint="default" w:ascii="Times New Roman" w:hAnsi="Times New Roman" w:eastAsia="宋体" w:cs="Times New Roman"/>
                      <w:color w:val="000000" w:themeColor="text1"/>
                      <w:sz w:val="21"/>
                      <w:szCs w:val="21"/>
                      <w14:textFill>
                        <w14:solidFill>
                          <w14:schemeClr w14:val="tx1"/>
                        </w14:solidFill>
                      </w14:textFill>
                    </w:rPr>
                    <w:t>态环境分区管控管理办法（暂行）的通知》要求</w:t>
                  </w:r>
                  <w:r>
                    <w:rPr>
                      <w:rFonts w:hint="eastAsia" w:cs="Times New Roman"/>
                      <w:color w:val="000000" w:themeColor="text1"/>
                      <w:sz w:val="21"/>
                      <w:szCs w:val="21"/>
                      <w:lang w:eastAsia="zh-CN"/>
                      <w14:textFill>
                        <w14:solidFill>
                          <w14:schemeClr w14:val="tx1"/>
                        </w14:solidFill>
                      </w14:textFill>
                    </w:rPr>
                    <w:t>。</w:t>
                  </w:r>
                </w:p>
              </w:tc>
              <w:tc>
                <w:tcPr>
                  <w:tcW w:w="585" w:type="pct"/>
                  <w:tcBorders>
                    <w:top w:val="single" w:color="000000" w:sz="8" w:space="0"/>
                    <w:left w:val="single" w:color="000000" w:sz="8" w:space="0"/>
                    <w:bottom w:val="single" w:color="000000" w:sz="8" w:space="0"/>
                    <w:right w:val="single" w:color="000000" w:sz="8" w:space="0"/>
                  </w:tcBorders>
                  <w:noWrap w:val="0"/>
                  <w:vAlign w:val="center"/>
                </w:tcPr>
                <w:p w14:paraId="6CB58D83">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42AF27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0B0CF43A">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三</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推动产业绿色转型、高质量发展。严格控制园区规模和范围</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以环境友好、绿色发展为指导</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严格项目行业准入和生态环境准入，积极推进循环经济发展，按照污染源</w:t>
                  </w:r>
                  <w:r>
                    <w:rPr>
                      <w:rFonts w:hint="eastAsia" w:ascii="宋体" w:hAnsi="宋体" w:eastAsia="宋体" w:cs="宋体"/>
                      <w:color w:val="000000" w:themeColor="text1"/>
                      <w:sz w:val="21"/>
                      <w:szCs w:val="21"/>
                      <w14:textFill>
                        <w14:solidFill>
                          <w14:schemeClr w14:val="tx1"/>
                        </w14:solidFill>
                      </w14:textFill>
                    </w:rPr>
                    <w:t>“梯度分布、边界控制”</w:t>
                  </w:r>
                  <w:r>
                    <w:rPr>
                      <w:rFonts w:hint="default" w:ascii="Times New Roman" w:hAnsi="Times New Roman" w:eastAsia="宋体" w:cs="Times New Roman"/>
                      <w:color w:val="000000" w:themeColor="text1"/>
                      <w:sz w:val="21"/>
                      <w:szCs w:val="21"/>
                      <w14:textFill>
                        <w14:solidFill>
                          <w14:schemeClr w14:val="tx1"/>
                        </w14:solidFill>
                      </w14:textFill>
                    </w:rPr>
                    <w:t>的原则</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对园区功能布局和污染源分布进行调整优化。</w:t>
                  </w:r>
                </w:p>
              </w:tc>
              <w:tc>
                <w:tcPr>
                  <w:tcW w:w="1891" w:type="pct"/>
                  <w:tcBorders>
                    <w:top w:val="single" w:color="000000" w:sz="8" w:space="0"/>
                    <w:left w:val="single" w:color="000000" w:sz="8" w:space="0"/>
                    <w:bottom w:val="single" w:color="000000" w:sz="8" w:space="0"/>
                    <w:right w:val="single" w:color="000000" w:sz="8" w:space="0"/>
                  </w:tcBorders>
                  <w:noWrap w:val="0"/>
                  <w:vAlign w:val="center"/>
                </w:tcPr>
                <w:p w14:paraId="42B6580B">
                  <w:pPr>
                    <w:snapToGrid w:val="0"/>
                    <w:spacing w:line="276" w:lineRule="auto"/>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本项目为C2922塑料板、管、型材制造</w:t>
                  </w:r>
                  <w:r>
                    <w:rPr>
                      <w:rFonts w:hint="default" w:ascii="Times New Roman" w:hAnsi="Times New Roman" w:eastAsia="宋体" w:cs="Times New Roman"/>
                      <w:color w:val="000000" w:themeColor="text1"/>
                      <w:kern w:val="0"/>
                      <w:sz w:val="21"/>
                      <w:szCs w:val="21"/>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本次为</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扩</w:t>
                  </w:r>
                  <w:r>
                    <w:rPr>
                      <w:rFonts w:hint="default" w:ascii="Times New Roman" w:hAnsi="Times New Roman" w:eastAsia="宋体" w:cs="Times New Roman"/>
                      <w:color w:val="000000" w:themeColor="text1"/>
                      <w:sz w:val="21"/>
                      <w:szCs w:val="21"/>
                      <w14:textFill>
                        <w14:solidFill>
                          <w14:schemeClr w14:val="tx1"/>
                        </w14:solidFill>
                      </w14:textFill>
                    </w:rPr>
                    <w:t>建，不属于宿州市循环经济示范园限制进入、禁止进入项目，本项目的建设符合宿州市循环经济示范园总体规划要求</w:t>
                  </w:r>
                  <w:r>
                    <w:rPr>
                      <w:rFonts w:hint="eastAsia" w:cs="Times New Roman"/>
                      <w:color w:val="000000" w:themeColor="text1"/>
                      <w:sz w:val="21"/>
                      <w:szCs w:val="21"/>
                      <w:lang w:eastAsia="zh-CN"/>
                      <w14:textFill>
                        <w14:solidFill>
                          <w14:schemeClr w14:val="tx1"/>
                        </w14:solidFill>
                      </w14:textFill>
                    </w:rPr>
                    <w:t>。</w:t>
                  </w:r>
                </w:p>
              </w:tc>
              <w:tc>
                <w:tcPr>
                  <w:tcW w:w="585" w:type="pct"/>
                  <w:tcBorders>
                    <w:top w:val="single" w:color="000000" w:sz="8" w:space="0"/>
                    <w:left w:val="single" w:color="000000" w:sz="8" w:space="0"/>
                    <w:bottom w:val="single" w:color="000000" w:sz="8" w:space="0"/>
                    <w:right w:val="single" w:color="000000" w:sz="8" w:space="0"/>
                  </w:tcBorders>
                  <w:noWrap w:val="0"/>
                  <w:vAlign w:val="center"/>
                </w:tcPr>
                <w:p w14:paraId="3A4338AA">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4C2A3D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3E350537">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四</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严守环境质量底线。根据大气、水、土壤污染防治攻坚战及相关要求，明确园区环境质量改善的阶段目标，制定区域污染物允许排放总量管控要求及污染减排方案，采取有效措施减少主要污染物和挥发性有机物等特征污染物的排放总量，确保实现区域环境质量持续改善的目标。</w:t>
                  </w:r>
                </w:p>
              </w:tc>
              <w:tc>
                <w:tcPr>
                  <w:tcW w:w="1891" w:type="pct"/>
                  <w:tcBorders>
                    <w:top w:val="single" w:color="000000" w:sz="8" w:space="0"/>
                    <w:left w:val="single" w:color="000000" w:sz="8" w:space="0"/>
                    <w:bottom w:val="single" w:color="000000" w:sz="8" w:space="0"/>
                    <w:right w:val="single" w:color="000000" w:sz="8" w:space="0"/>
                  </w:tcBorders>
                  <w:noWrap w:val="0"/>
                  <w:vAlign w:val="center"/>
                </w:tcPr>
                <w:p w14:paraId="10C08EDF">
                  <w:pPr>
                    <w:snapToGrid w:val="0"/>
                    <w:spacing w:line="276" w:lineRule="auto"/>
                    <w:jc w:val="center"/>
                    <w:rPr>
                      <w:rFonts w:hint="eastAsia" w:ascii="Times New Roman" w:hAnsi="Times New Roman" w:eastAsia="宋体" w:cs="Times New Roman"/>
                      <w:color w:val="000000" w:themeColor="text1"/>
                      <w:sz w:val="21"/>
                      <w:szCs w:val="21"/>
                      <w:highlight w:val="yellow"/>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建设单位在加强企业环境管理并落实本评价要求的各项环保措施的情况下，本项目废水、废气、固废均得到合理处置，噪声经隔声、减震、衰减降噪后对周边环境影响较小，不会突破项目所在地的环境质量底线</w:t>
                  </w:r>
                  <w:r>
                    <w:rPr>
                      <w:rFonts w:hint="eastAsia" w:cs="Times New Roman"/>
                      <w:color w:val="000000" w:themeColor="text1"/>
                      <w:sz w:val="21"/>
                      <w:szCs w:val="21"/>
                      <w:lang w:eastAsia="zh-CN"/>
                      <w14:textFill>
                        <w14:solidFill>
                          <w14:schemeClr w14:val="tx1"/>
                        </w14:solidFill>
                      </w14:textFill>
                    </w:rPr>
                    <w:t>。</w:t>
                  </w:r>
                </w:p>
              </w:tc>
              <w:tc>
                <w:tcPr>
                  <w:tcW w:w="585" w:type="pct"/>
                  <w:tcBorders>
                    <w:top w:val="single" w:color="000000" w:sz="8" w:space="0"/>
                    <w:left w:val="single" w:color="000000" w:sz="8" w:space="0"/>
                    <w:bottom w:val="single" w:color="000000" w:sz="8" w:space="0"/>
                    <w:right w:val="single" w:color="000000" w:sz="8" w:space="0"/>
                  </w:tcBorders>
                  <w:noWrap w:val="0"/>
                  <w:vAlign w:val="center"/>
                </w:tcPr>
                <w:p w14:paraId="4A81801F">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610FFA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645BF829">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五</w:t>
                  </w:r>
                  <w:r>
                    <w:rPr>
                      <w:rFonts w:hint="eastAsia"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完善区域环境监测体系。根据园区功能分区、产业布局、重点企业分布、特征污染物的排放种类和状况、环境敏感目标分布等情况，建立包括环境空气、地表水、地下水、噪声、土壤等环境要素的监控体系，做好长期跟踪监测与管理。</w:t>
                  </w:r>
                </w:p>
              </w:tc>
              <w:tc>
                <w:tcPr>
                  <w:tcW w:w="1891" w:type="pct"/>
                  <w:tcBorders>
                    <w:top w:val="single" w:color="000000" w:sz="8" w:space="0"/>
                    <w:left w:val="single" w:color="000000" w:sz="8" w:space="0"/>
                    <w:bottom w:val="single" w:color="000000" w:sz="8" w:space="0"/>
                    <w:right w:val="single" w:color="000000" w:sz="8" w:space="0"/>
                  </w:tcBorders>
                  <w:noWrap w:val="0"/>
                  <w:vAlign w:val="center"/>
                </w:tcPr>
                <w:p w14:paraId="7FE8777D">
                  <w:pPr>
                    <w:snapToGrid w:val="0"/>
                    <w:spacing w:line="276" w:lineRule="auto"/>
                    <w:jc w:val="center"/>
                    <w:rPr>
                      <w:rFonts w:hint="eastAsia" w:ascii="Times New Roman" w:hAnsi="Times New Roman" w:eastAsia="宋体" w:cs="Times New Roman"/>
                      <w:color w:val="000000" w:themeColor="text1"/>
                      <w:sz w:val="21"/>
                      <w:szCs w:val="21"/>
                      <w:highlight w:val="yellow"/>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本次评价根据本项目废气、废水、噪声等污染源特征，按照有关规范要求，制定相应的污染源监测计划</w:t>
                  </w:r>
                  <w:r>
                    <w:rPr>
                      <w:rFonts w:hint="eastAsia" w:cs="Times New Roman"/>
                      <w:color w:val="000000" w:themeColor="text1"/>
                      <w:sz w:val="21"/>
                      <w:szCs w:val="21"/>
                      <w:lang w:eastAsia="zh-CN"/>
                      <w14:textFill>
                        <w14:solidFill>
                          <w14:schemeClr w14:val="tx1"/>
                        </w14:solidFill>
                      </w14:textFill>
                    </w:rPr>
                    <w:t>。</w:t>
                  </w:r>
                </w:p>
              </w:tc>
              <w:tc>
                <w:tcPr>
                  <w:tcW w:w="585" w:type="pct"/>
                  <w:tcBorders>
                    <w:top w:val="single" w:color="000000" w:sz="8" w:space="0"/>
                    <w:left w:val="single" w:color="000000" w:sz="8" w:space="0"/>
                    <w:bottom w:val="single" w:color="000000" w:sz="8" w:space="0"/>
                    <w:right w:val="single" w:color="000000" w:sz="8" w:space="0"/>
                  </w:tcBorders>
                  <w:noWrap w:val="0"/>
                  <w:vAlign w:val="center"/>
                </w:tcPr>
                <w:p w14:paraId="7589DF3C">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r w14:paraId="3BE40F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7" w:hRule="atLeast"/>
                <w:jc w:val="center"/>
              </w:trPr>
              <w:tc>
                <w:tcPr>
                  <w:tcW w:w="2522" w:type="pct"/>
                  <w:tcBorders>
                    <w:top w:val="single" w:color="000000" w:sz="8" w:space="0"/>
                    <w:left w:val="single" w:color="000000" w:sz="8" w:space="0"/>
                    <w:bottom w:val="single" w:color="000000" w:sz="8" w:space="0"/>
                    <w:right w:val="single" w:color="000000" w:sz="8" w:space="0"/>
                  </w:tcBorders>
                  <w:noWrap w:val="0"/>
                  <w:vAlign w:val="center"/>
                </w:tcPr>
                <w:p w14:paraId="200FF8D4">
                  <w:pPr>
                    <w:snapToGrid w:val="0"/>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（六）完善园区环境基础设施建设。固体废物、危险废物应依法依规集中收集、处理处置。</w:t>
                  </w:r>
                </w:p>
              </w:tc>
              <w:tc>
                <w:tcPr>
                  <w:tcW w:w="1891" w:type="pct"/>
                  <w:tcBorders>
                    <w:top w:val="single" w:color="000000" w:sz="8" w:space="0"/>
                    <w:left w:val="single" w:color="000000" w:sz="8" w:space="0"/>
                    <w:bottom w:val="single" w:color="000000" w:sz="8" w:space="0"/>
                    <w:right w:val="single" w:color="000000" w:sz="8" w:space="0"/>
                  </w:tcBorders>
                  <w:noWrap w:val="0"/>
                  <w:vAlign w:val="center"/>
                </w:tcPr>
                <w:p w14:paraId="38C3939E">
                  <w:pPr>
                    <w:snapToGrid w:val="0"/>
                    <w:spacing w:line="276" w:lineRule="auto"/>
                    <w:jc w:val="center"/>
                    <w:rPr>
                      <w:rFonts w:hint="eastAsia" w:ascii="Times New Roman" w:hAnsi="Times New Roman" w:eastAsia="宋体" w:cs="Times New Roman"/>
                      <w:color w:val="000000" w:themeColor="text1"/>
                      <w:sz w:val="21"/>
                      <w:szCs w:val="21"/>
                      <w:highlight w:val="yellow"/>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本项目固体废物及危险废物按照相应标准要求妥善处置</w:t>
                  </w:r>
                  <w:r>
                    <w:rPr>
                      <w:rFonts w:hint="eastAsia" w:cs="Times New Roman"/>
                      <w:color w:val="000000" w:themeColor="text1"/>
                      <w:sz w:val="21"/>
                      <w:szCs w:val="21"/>
                      <w:lang w:eastAsia="zh-CN"/>
                      <w14:textFill>
                        <w14:solidFill>
                          <w14:schemeClr w14:val="tx1"/>
                        </w14:solidFill>
                      </w14:textFill>
                    </w:rPr>
                    <w:t>。</w:t>
                  </w:r>
                </w:p>
              </w:tc>
              <w:tc>
                <w:tcPr>
                  <w:tcW w:w="585" w:type="pct"/>
                  <w:tcBorders>
                    <w:top w:val="single" w:color="000000" w:sz="8" w:space="0"/>
                    <w:left w:val="single" w:color="000000" w:sz="8" w:space="0"/>
                    <w:bottom w:val="single" w:color="000000" w:sz="8" w:space="0"/>
                    <w:right w:val="single" w:color="000000" w:sz="8" w:space="0"/>
                  </w:tcBorders>
                  <w:noWrap w:val="0"/>
                  <w:vAlign w:val="center"/>
                </w:tcPr>
                <w:p w14:paraId="409DCA6B">
                  <w:pPr>
                    <w:spacing w:line="276" w:lineRule="auto"/>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符合</w:t>
                  </w:r>
                </w:p>
              </w:tc>
            </w:tr>
          </w:tbl>
          <w:p w14:paraId="741B3230">
            <w:pPr>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jc w:val="left"/>
              <w:textAlignment w:val="auto"/>
              <w:rPr>
                <w:rFonts w:hint="eastAsia" w:cs="宋体"/>
                <w:color w:val="auto"/>
                <w:sz w:val="24"/>
              </w:rPr>
            </w:pPr>
            <w:r>
              <w:rPr>
                <w:rFonts w:hint="eastAsia" w:cs="宋体"/>
                <w:color w:val="auto"/>
                <w:sz w:val="24"/>
              </w:rPr>
              <w:t>由上表可知，本项目与</w:t>
            </w:r>
            <w:r>
              <w:rPr>
                <w:rFonts w:hint="default" w:ascii="Times New Roman" w:hAnsi="Times New Roman" w:eastAsia="宋体" w:cs="Times New Roman"/>
                <w:color w:val="auto"/>
                <w:kern w:val="0"/>
                <w:sz w:val="24"/>
              </w:rPr>
              <w:t>《宿州市循环经济示范园总体规划环境影响跟踪评价报告书》</w:t>
            </w:r>
            <w:r>
              <w:rPr>
                <w:rFonts w:hint="eastAsia" w:cs="宋体"/>
                <w:color w:val="auto"/>
                <w:sz w:val="24"/>
              </w:rPr>
              <w:t>及批复</w:t>
            </w:r>
            <w:r>
              <w:rPr>
                <w:rFonts w:hint="default" w:ascii="Times New Roman" w:hAnsi="Times New Roman" w:eastAsia="宋体" w:cs="Times New Roman"/>
                <w:color w:val="auto"/>
                <w:kern w:val="0"/>
                <w:sz w:val="24"/>
              </w:rPr>
              <w:t>（宿环函〔2020〕162号）</w:t>
            </w:r>
            <w:r>
              <w:rPr>
                <w:rFonts w:hint="eastAsia" w:cs="宋体"/>
                <w:color w:val="auto"/>
                <w:sz w:val="24"/>
              </w:rPr>
              <w:t>相符合。</w:t>
            </w:r>
          </w:p>
          <w:p w14:paraId="562B31E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kern w:val="0"/>
                <w:sz w:val="24"/>
                <w:szCs w:val="24"/>
                <w:lang w:val="en-US"/>
              </w:rPr>
            </w:pPr>
            <w:r>
              <w:rPr>
                <w:rFonts w:hint="default" w:ascii="Times New Roman" w:hAnsi="Times New Roman" w:eastAsia="宋体" w:cs="Times New Roman"/>
                <w:bCs/>
                <w:color w:val="auto"/>
                <w:sz w:val="24"/>
              </w:rPr>
              <w:t>综上，本项目选址合理，项目建设与周边环境相容，符合</w:t>
            </w:r>
            <w:r>
              <w:rPr>
                <w:rFonts w:hint="default" w:ascii="Times New Roman" w:hAnsi="Times New Roman" w:eastAsia="宋体" w:cs="Times New Roman"/>
                <w:color w:val="auto"/>
                <w:kern w:val="0"/>
                <w:sz w:val="24"/>
              </w:rPr>
              <w:t>宿州市循环经济示范园总体规划要求</w:t>
            </w:r>
            <w:r>
              <w:rPr>
                <w:rFonts w:hint="default" w:ascii="Times New Roman" w:hAnsi="Times New Roman" w:eastAsia="宋体" w:cs="Times New Roman"/>
                <w:bCs/>
                <w:color w:val="auto"/>
                <w:sz w:val="24"/>
              </w:rPr>
              <w:t>。</w:t>
            </w:r>
          </w:p>
        </w:tc>
      </w:tr>
      <w:tr w14:paraId="34CC5C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72" w:hRule="atLeast"/>
          <w:jc w:val="center"/>
        </w:trPr>
        <w:tc>
          <w:tcPr>
            <w:tcW w:w="1699" w:type="dxa"/>
            <w:tcBorders>
              <w:tl2br w:val="nil"/>
              <w:tr2bl w:val="nil"/>
            </w:tcBorders>
            <w:noWrap w:val="0"/>
            <w:vAlign w:val="center"/>
          </w:tcPr>
          <w:p w14:paraId="19CEE92B">
            <w:pPr>
              <w:autoSpaceDE w:val="0"/>
              <w:autoSpaceDN w:val="0"/>
              <w:adjustRightInd w:val="0"/>
              <w:snapToGrid w:val="0"/>
              <w:jc w:val="center"/>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其他符合性分析</w:t>
            </w:r>
          </w:p>
        </w:tc>
        <w:tc>
          <w:tcPr>
            <w:tcW w:w="7176" w:type="dxa"/>
            <w:gridSpan w:val="3"/>
            <w:tcBorders>
              <w:tl2br w:val="nil"/>
              <w:tr2bl w:val="nil"/>
            </w:tcBorders>
            <w:noWrap w:val="0"/>
            <w:vAlign w:val="center"/>
          </w:tcPr>
          <w:p w14:paraId="790EDA48">
            <w:pPr>
              <w:numPr>
                <w:ilvl w:val="0"/>
                <w:numId w:val="0"/>
              </w:numPr>
              <w:autoSpaceDE w:val="0"/>
              <w:autoSpaceDN w:val="0"/>
              <w:adjustRightInd w:val="0"/>
              <w:snapToGrid w:val="0"/>
              <w:spacing w:beforeLines="50" w:line="360" w:lineRule="auto"/>
              <w:jc w:val="left"/>
              <w:rPr>
                <w:rFonts w:hint="default" w:ascii="Times New Roman" w:hAnsi="Times New Roman" w:eastAsia="宋体" w:cs="Times New Roman"/>
                <w:b/>
                <w:bCs/>
                <w:color w:val="auto"/>
                <w:sz w:val="24"/>
                <w:szCs w:val="24"/>
                <w:lang w:val="en-US" w:eastAsia="zh-CN"/>
              </w:rPr>
            </w:pPr>
            <w:r>
              <w:rPr>
                <w:rFonts w:hint="eastAsia" w:cs="Times New Roman"/>
                <w:b/>
                <w:bCs/>
                <w:color w:val="auto"/>
                <w:sz w:val="24"/>
                <w:szCs w:val="24"/>
                <w:lang w:val="en-US" w:eastAsia="zh-CN"/>
              </w:rPr>
              <w:t>1.</w:t>
            </w:r>
            <w:r>
              <w:rPr>
                <w:rFonts w:hint="default" w:ascii="Times New Roman" w:hAnsi="Times New Roman" w:eastAsia="宋体" w:cs="Times New Roman"/>
                <w:b/>
                <w:bCs/>
                <w:color w:val="auto"/>
                <w:sz w:val="24"/>
                <w:szCs w:val="24"/>
                <w:lang w:val="en-US" w:eastAsia="zh-CN"/>
              </w:rPr>
              <w:t>与“三线一单”相符性分析</w:t>
            </w:r>
          </w:p>
          <w:p w14:paraId="05DD58F7">
            <w:pPr>
              <w:pStyle w:val="3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安徽省生态环境厅皖环发〔2026〕1号发布了《安徽省生态环境厅关于印发安徽省生态环境分区管控管理实施细则的通知》，为贯彻落实《中共安徽省委办公厅 安徽省人民政府办公厅关于加强生态环境分区管控的实施意见》，强化我省生态环境分区管控管理，完善生态环境分区管控体系，根据《生态环境部关于印发〈生态环境分区管控管理暂行规定〉的通知》等要求，结合我省实际，实施生态环境分区管控。</w:t>
            </w:r>
          </w:p>
          <w:p w14:paraId="3D0CED3C">
            <w:pPr>
              <w:pStyle w:val="3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（1）</w:t>
            </w:r>
            <w:r>
              <w:rPr>
                <w:rFonts w:hint="default" w:ascii="Times New Roman" w:hAnsi="Times New Roman" w:eastAsia="宋体" w:cs="Times New Roman"/>
                <w:color w:val="auto"/>
                <w:kern w:val="2"/>
                <w:sz w:val="24"/>
                <w:szCs w:val="24"/>
                <w:lang w:val="en-US" w:eastAsia="zh-CN" w:bidi="ar-SA"/>
              </w:rPr>
              <w:t>生态保护红线</w:t>
            </w:r>
          </w:p>
          <w:p w14:paraId="57DB5F42">
            <w:pPr>
              <w:keepNext w:val="0"/>
              <w:keepLines w:val="0"/>
              <w:widowControl/>
              <w:suppressLineNumbers w:val="0"/>
              <w:spacing w:line="360" w:lineRule="auto"/>
              <w:ind w:firstLine="480" w:firstLineChars="200"/>
              <w:jc w:val="left"/>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本项目位于</w:t>
            </w:r>
            <w:r>
              <w:rPr>
                <w:rFonts w:ascii="宋体" w:hAnsi="宋体" w:eastAsia="宋体" w:cs="宋体"/>
                <w:sz w:val="24"/>
                <w:szCs w:val="24"/>
              </w:rPr>
              <w:t>宿州经济技术开发区</w:t>
            </w:r>
            <w:r>
              <w:rPr>
                <w:rFonts w:hint="eastAsia" w:ascii="宋体" w:hAnsi="宋体" w:cs="宋体"/>
                <w:sz w:val="24"/>
                <w:szCs w:val="24"/>
                <w:lang w:eastAsia="zh-CN"/>
              </w:rPr>
              <w:t>宿州市埇桥区循环经济示范园</w:t>
            </w:r>
            <w:r>
              <w:rPr>
                <w:rFonts w:ascii="宋体" w:hAnsi="宋体" w:eastAsia="宋体" w:cs="宋体"/>
                <w:sz w:val="24"/>
                <w:szCs w:val="24"/>
              </w:rPr>
              <w:t>东二环西侧</w:t>
            </w:r>
            <w:r>
              <w:rPr>
                <w:rFonts w:hint="default" w:ascii="Times New Roman" w:hAnsi="Times New Roman" w:eastAsia="宋体" w:cs="Times New Roman"/>
                <w:color w:val="auto"/>
                <w:kern w:val="2"/>
                <w:sz w:val="24"/>
                <w:szCs w:val="24"/>
                <w:lang w:val="en-US" w:eastAsia="zh-CN" w:bidi="ar-SA"/>
              </w:rPr>
              <w:t>，根据宿州市“三线一单”文本，对照宿州市生态保护红线和宿州市生态空间图，本项目不涉及生态保护红线。详见附图2区域生态红线图。</w:t>
            </w:r>
          </w:p>
          <w:p w14:paraId="3EDF14D4">
            <w:pPr>
              <w:pStyle w:val="3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eastAsia="宋体" w:cs="Times New Roman"/>
                <w:color w:val="000000" w:themeColor="text1"/>
                <w:kern w:val="2"/>
                <w:sz w:val="24"/>
                <w:szCs w:val="24"/>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环境质量底线</w:t>
            </w:r>
          </w:p>
          <w:p w14:paraId="2C594716">
            <w:pPr>
              <w:pStyle w:val="3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①大气环境质量底线</w:t>
            </w:r>
          </w:p>
          <w:p w14:paraId="37A94B94">
            <w:pPr>
              <w:pStyle w:val="3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lang w:val="en-US" w:eastAsia="zh-CN" w:bidi="ar-SA"/>
              </w:rPr>
              <w:t>根据《宿州市202</w:t>
            </w:r>
            <w:r>
              <w:rPr>
                <w:rFonts w:hint="eastAsia" w:cs="Times New Roman"/>
                <w:color w:val="auto"/>
                <w:kern w:val="2"/>
                <w:sz w:val="24"/>
                <w:szCs w:val="24"/>
                <w:lang w:val="en-US" w:eastAsia="zh-CN" w:bidi="ar-SA"/>
              </w:rPr>
              <w:t>4</w:t>
            </w:r>
            <w:r>
              <w:rPr>
                <w:rFonts w:hint="default" w:ascii="Times New Roman" w:hAnsi="Times New Roman" w:eastAsia="宋体" w:cs="Times New Roman"/>
                <w:color w:val="auto"/>
                <w:kern w:val="2"/>
                <w:sz w:val="24"/>
                <w:szCs w:val="24"/>
                <w:lang w:val="en-US" w:eastAsia="zh-CN" w:bidi="ar-SA"/>
              </w:rPr>
              <w:t>年环境质量公报》，PM</w:t>
            </w:r>
            <w:r>
              <w:rPr>
                <w:rFonts w:hint="default" w:ascii="Times New Roman" w:hAnsi="Times New Roman" w:eastAsia="宋体" w:cs="Times New Roman"/>
                <w:color w:val="auto"/>
                <w:kern w:val="2"/>
                <w:sz w:val="24"/>
                <w:szCs w:val="24"/>
                <w:vertAlign w:val="subscript"/>
                <w:lang w:val="en-US" w:eastAsia="zh-CN" w:bidi="ar-SA"/>
              </w:rPr>
              <w:t>10</w:t>
            </w:r>
            <w:r>
              <w:rPr>
                <w:rFonts w:hint="default" w:ascii="Times New Roman" w:hAnsi="Times New Roman" w:eastAsia="宋体" w:cs="Times New Roman"/>
                <w:color w:val="auto"/>
                <w:kern w:val="2"/>
                <w:sz w:val="24"/>
                <w:szCs w:val="24"/>
                <w:lang w:val="en-US" w:eastAsia="zh-CN" w:bidi="ar-SA"/>
              </w:rPr>
              <w:t>、PM</w:t>
            </w:r>
            <w:r>
              <w:rPr>
                <w:rFonts w:hint="default" w:ascii="Times New Roman" w:hAnsi="Times New Roman" w:eastAsia="宋体" w:cs="Times New Roman"/>
                <w:color w:val="auto"/>
                <w:kern w:val="2"/>
                <w:sz w:val="24"/>
                <w:szCs w:val="24"/>
                <w:vertAlign w:val="subscript"/>
                <w:lang w:val="en-US" w:eastAsia="zh-CN" w:bidi="ar-SA"/>
              </w:rPr>
              <w:t>2.5</w:t>
            </w:r>
            <w:r>
              <w:rPr>
                <w:rFonts w:hint="default" w:ascii="Times New Roman" w:hAnsi="Times New Roman" w:eastAsia="宋体" w:cs="Times New Roman"/>
                <w:color w:val="auto"/>
                <w:kern w:val="2"/>
                <w:sz w:val="24"/>
                <w:szCs w:val="24"/>
                <w:lang w:val="en-US" w:eastAsia="zh-CN" w:bidi="ar-SA"/>
              </w:rPr>
              <w:t>、</w:t>
            </w:r>
            <w:r>
              <w:rPr>
                <w:rFonts w:hint="default" w:ascii="Times New Roman" w:hAnsi="Times New Roman" w:eastAsia="宋体" w:cs="Times New Roman"/>
                <w:color w:val="auto"/>
                <w:sz w:val="24"/>
                <w:lang w:val="en-US" w:eastAsia="zh-CN"/>
              </w:rPr>
              <w:t>O</w:t>
            </w:r>
            <w:r>
              <w:rPr>
                <w:rFonts w:hint="default" w:ascii="Times New Roman" w:hAnsi="Times New Roman" w:eastAsia="宋体" w:cs="Times New Roman"/>
                <w:color w:val="auto"/>
                <w:sz w:val="24"/>
                <w:vertAlign w:val="subscript"/>
                <w:lang w:val="en-US" w:eastAsia="zh-CN"/>
              </w:rPr>
              <w:t>3</w:t>
            </w:r>
            <w:r>
              <w:rPr>
                <w:rFonts w:hint="default" w:ascii="Times New Roman" w:hAnsi="Times New Roman" w:eastAsia="宋体" w:cs="Times New Roman"/>
                <w:color w:val="auto"/>
                <w:kern w:val="2"/>
                <w:sz w:val="24"/>
                <w:szCs w:val="24"/>
                <w:lang w:val="en-US" w:eastAsia="zh-CN" w:bidi="ar-SA"/>
              </w:rPr>
              <w:t>超过《环境空气质量标准》（GB3095-20</w:t>
            </w:r>
            <w:r>
              <w:rPr>
                <w:rFonts w:hint="eastAsia" w:cs="Times New Roman"/>
                <w:color w:val="auto"/>
                <w:kern w:val="2"/>
                <w:sz w:val="24"/>
                <w:szCs w:val="24"/>
                <w:lang w:val="en-US" w:eastAsia="zh-CN" w:bidi="ar-SA"/>
              </w:rPr>
              <w:t>26</w:t>
            </w:r>
            <w:r>
              <w:rPr>
                <w:rFonts w:hint="default" w:ascii="Times New Roman" w:hAnsi="Times New Roman" w:eastAsia="宋体" w:cs="Times New Roman"/>
                <w:color w:val="auto"/>
                <w:kern w:val="2"/>
                <w:sz w:val="24"/>
                <w:szCs w:val="24"/>
                <w:lang w:val="en-US" w:eastAsia="zh-CN" w:bidi="ar-SA"/>
              </w:rPr>
              <w:t>）中二级标准限值，</w:t>
            </w:r>
            <w:r>
              <w:rPr>
                <w:rFonts w:hint="default" w:ascii="Times New Roman" w:hAnsi="Times New Roman" w:eastAsia="宋体" w:cs="Times New Roman"/>
                <w:color w:val="auto"/>
                <w:kern w:val="2"/>
                <w:sz w:val="24"/>
                <w:szCs w:val="24"/>
                <w:highlight w:val="none"/>
                <w:lang w:val="en-US" w:eastAsia="zh-CN" w:bidi="ar-SA"/>
              </w:rPr>
              <w:t>因此，项目所在区域为环境空气质量不达标区。</w:t>
            </w:r>
          </w:p>
          <w:p w14:paraId="7F14D75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本项目涉及</w:t>
            </w:r>
            <w:r>
              <w:rPr>
                <w:rFonts w:hint="eastAsia" w:cs="Times New Roman"/>
                <w:color w:val="000000" w:themeColor="text1"/>
                <w:kern w:val="2"/>
                <w:sz w:val="24"/>
                <w:szCs w:val="24"/>
                <w:lang w:val="en-US" w:eastAsia="zh-CN" w:bidi="ar-SA"/>
                <w14:textFill>
                  <w14:solidFill>
                    <w14:schemeClr w14:val="tx1"/>
                  </w14:solidFill>
                </w14:textFill>
              </w:rPr>
              <w:t>的主要</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大气污染物为</w:t>
            </w:r>
            <w:r>
              <w:rPr>
                <w:rFonts w:hint="eastAsia" w:cs="Times New Roman"/>
                <w:color w:val="000000" w:themeColor="text1"/>
                <w:kern w:val="2"/>
                <w:sz w:val="24"/>
                <w:szCs w:val="24"/>
                <w:lang w:val="en-US" w:eastAsia="zh-CN" w:bidi="ar-SA"/>
                <w14:textFill>
                  <w14:solidFill>
                    <w14:schemeClr w14:val="tx1"/>
                  </w14:solidFill>
                </w14:textFill>
              </w:rPr>
              <w:t>混料、牵引切割、精确切割、砂光打磨工艺产生的颗粒物，以及熔融</w:t>
            </w:r>
            <w:r>
              <w:rPr>
                <w:rFonts w:hint="eastAsia" w:cs="Times New Roman"/>
                <w:b w:val="0"/>
                <w:bCs w:val="0"/>
                <w:color w:val="000000" w:themeColor="text1"/>
                <w:sz w:val="24"/>
                <w:szCs w:val="24"/>
                <w:lang w:val="en-US" w:eastAsia="zh-CN"/>
                <w14:textFill>
                  <w14:solidFill>
                    <w14:schemeClr w14:val="tx1"/>
                  </w14:solidFill>
                </w14:textFill>
              </w:rPr>
              <w:t>挤出工艺产生的挥发性有机物。</w:t>
            </w:r>
            <w:r>
              <w:rPr>
                <w:rFonts w:hint="eastAsia" w:cs="Times New Roman"/>
                <w:color w:val="000000" w:themeColor="text1"/>
                <w:kern w:val="2"/>
                <w:sz w:val="24"/>
                <w:szCs w:val="24"/>
                <w:lang w:val="en-US" w:eastAsia="zh-CN" w:bidi="ar-SA"/>
                <w14:textFill>
                  <w14:solidFill>
                    <w14:schemeClr w14:val="tx1"/>
                  </w14:solidFill>
                </w14:textFill>
              </w:rPr>
              <w:t>混料、牵引切割、精确切割、砂光打磨废气采用集气罩收集后经布袋除尘器处理，通过15m高排气筒（DA006）排放；熔融挤出废气采用集气罩收集后经碱液喷淋+除雾器+CO催化燃烧装置处理</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w:t>
            </w:r>
            <w:r>
              <w:rPr>
                <w:rFonts w:hint="eastAsia" w:cs="Times New Roman"/>
                <w:color w:val="000000" w:themeColor="text1"/>
                <w:kern w:val="2"/>
                <w:sz w:val="24"/>
                <w:szCs w:val="24"/>
                <w:lang w:val="en-US" w:eastAsia="zh-CN" w:bidi="ar-SA"/>
                <w14:textFill>
                  <w14:solidFill>
                    <w14:schemeClr w14:val="tx1"/>
                  </w14:solidFill>
                </w14:textFill>
              </w:rPr>
              <w:t>通过15m高排气筒（DA007）排放；</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本项</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目废气均采用可行性技术，总量实行“倍量替代”，本项目的建设对大气环境影响较小，符合环境质量底线要求。</w:t>
            </w:r>
          </w:p>
          <w:p w14:paraId="42A19AA8">
            <w:pPr>
              <w:pStyle w:val="3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②水环境质量底线</w:t>
            </w:r>
          </w:p>
          <w:p w14:paraId="270F9BCD">
            <w:pPr>
              <w:pStyle w:val="3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根据《宿州市202</w:t>
            </w:r>
            <w:r>
              <w:rPr>
                <w:rFonts w:hint="eastAsia" w:cs="Times New Roman"/>
                <w:color w:val="auto"/>
                <w:kern w:val="2"/>
                <w:sz w:val="24"/>
                <w:szCs w:val="24"/>
                <w:lang w:val="en-US" w:eastAsia="zh-CN" w:bidi="ar-SA"/>
              </w:rPr>
              <w:t>4</w:t>
            </w:r>
            <w:r>
              <w:rPr>
                <w:rFonts w:hint="default" w:ascii="Times New Roman" w:hAnsi="Times New Roman" w:eastAsia="宋体" w:cs="Times New Roman"/>
                <w:color w:val="auto"/>
                <w:kern w:val="2"/>
                <w:sz w:val="24"/>
                <w:szCs w:val="24"/>
                <w:lang w:val="en-US" w:eastAsia="zh-CN" w:bidi="ar-SA"/>
              </w:rPr>
              <w:t>年环境质量公报》，本项目评价区域内地表水满足《地表水环境质量标准》（GB3838-2002）中Ⅳ类标准要求。</w:t>
            </w:r>
          </w:p>
          <w:p w14:paraId="57F69FF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snapToGrid/>
                <w:color w:val="000000" w:themeColor="text1"/>
                <w:spacing w:val="0"/>
                <w:kern w:val="0"/>
                <w:position w:val="0"/>
                <w:sz w:val="24"/>
                <w:szCs w:val="24"/>
                <w:lang w:val="en-US" w:eastAsia="zh-CN"/>
                <w14:textFill>
                  <w14:solidFill>
                    <w14:schemeClr w14:val="tx1"/>
                  </w14:solidFill>
                </w14:textFill>
              </w:rPr>
            </w:pPr>
            <w:r>
              <w:rPr>
                <w:rFonts w:hint="eastAsia" w:cs="Times New Roman"/>
                <w:color w:val="000000" w:themeColor="text1"/>
                <w:kern w:val="2"/>
                <w:sz w:val="24"/>
                <w:szCs w:val="24"/>
                <w:lang w:val="en-US" w:eastAsia="zh-CN" w:bidi="ar-SA"/>
                <w14:textFill>
                  <w14:solidFill>
                    <w14:schemeClr w14:val="tx1"/>
                  </w14:solidFill>
                </w14:textFill>
              </w:rPr>
              <w:t>本</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项目冷却废水循环使用不外排，喷淋废水经收集后作为危废</w:t>
            </w:r>
            <w:r>
              <w:rPr>
                <w:rFonts w:hint="eastAsia" w:cs="Times New Roman"/>
                <w:color w:val="000000" w:themeColor="text1"/>
                <w:kern w:val="2"/>
                <w:sz w:val="24"/>
                <w:szCs w:val="24"/>
                <w:lang w:val="en-US" w:eastAsia="zh-CN" w:bidi="ar-SA"/>
                <w14:textFill>
                  <w14:solidFill>
                    <w14:schemeClr w14:val="tx1"/>
                  </w14:solidFill>
                </w14:textFill>
              </w:rPr>
              <w:t>交由</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资质单位处理，生活污水经化粪池预处理</w:t>
            </w:r>
            <w:r>
              <w:rPr>
                <w:rFonts w:hint="eastAsia" w:cs="Times New Roman"/>
                <w:color w:val="000000" w:themeColor="text1"/>
                <w:kern w:val="2"/>
                <w:sz w:val="24"/>
                <w:szCs w:val="24"/>
                <w:lang w:val="en-US" w:eastAsia="zh-CN" w:bidi="ar-SA"/>
                <w14:textFill>
                  <w14:solidFill>
                    <w14:schemeClr w14:val="tx1"/>
                  </w14:solidFill>
                </w14:textFill>
              </w:rPr>
              <w:t>；</w:t>
            </w:r>
            <w:r>
              <w:rPr>
                <w:rFonts w:hint="eastAsia"/>
                <w:snapToGrid/>
                <w:color w:val="000000" w:themeColor="text1"/>
                <w:spacing w:val="0"/>
                <w:kern w:val="0"/>
                <w:position w:val="0"/>
                <w:sz w:val="24"/>
                <w:szCs w:val="24"/>
                <w:lang w:val="en-US" w:eastAsia="zh-CN"/>
                <w14:textFill>
                  <w14:solidFill>
                    <w14:schemeClr w14:val="tx1"/>
                  </w14:solidFill>
                </w14:textFill>
              </w:rPr>
              <w:t>排水满足</w:t>
            </w:r>
            <w:r>
              <w:rPr>
                <w:rFonts w:hint="default"/>
                <w:snapToGrid/>
                <w:color w:val="000000" w:themeColor="text1"/>
                <w:spacing w:val="0"/>
                <w:kern w:val="0"/>
                <w:position w:val="0"/>
                <w:sz w:val="24"/>
                <w:szCs w:val="24"/>
                <w:lang w:val="zh-CN" w:eastAsia="zh-CN"/>
                <w14:textFill>
                  <w14:solidFill>
                    <w14:schemeClr w14:val="tx1"/>
                  </w14:solidFill>
                </w14:textFill>
              </w:rPr>
              <w:t>《</w:t>
            </w:r>
            <w:r>
              <w:rPr>
                <w:rFonts w:hint="eastAsia"/>
                <w:snapToGrid/>
                <w:color w:val="000000" w:themeColor="text1"/>
                <w:spacing w:val="0"/>
                <w:kern w:val="0"/>
                <w:position w:val="0"/>
                <w:sz w:val="24"/>
                <w:szCs w:val="24"/>
                <w:lang w:val="zh-CN" w:eastAsia="zh-CN"/>
                <w14:textFill>
                  <w14:solidFill>
                    <w14:schemeClr w14:val="tx1"/>
                  </w14:solidFill>
                </w14:textFill>
              </w:rPr>
              <w:t>污水综合</w:t>
            </w:r>
            <w:r>
              <w:rPr>
                <w:rFonts w:hint="default"/>
                <w:snapToGrid/>
                <w:color w:val="000000" w:themeColor="text1"/>
                <w:spacing w:val="0"/>
                <w:kern w:val="0"/>
                <w:position w:val="0"/>
                <w:sz w:val="24"/>
                <w:szCs w:val="24"/>
                <w:lang w:val="zh-CN" w:eastAsia="zh-CN"/>
                <w14:textFill>
                  <w14:solidFill>
                    <w14:schemeClr w14:val="tx1"/>
                  </w14:solidFill>
                </w14:textFill>
              </w:rPr>
              <w:t>排放标准》（GB</w:t>
            </w:r>
            <w:r>
              <w:rPr>
                <w:rFonts w:hint="eastAsia"/>
                <w:snapToGrid/>
                <w:color w:val="000000" w:themeColor="text1"/>
                <w:spacing w:val="0"/>
                <w:kern w:val="0"/>
                <w:position w:val="0"/>
                <w:sz w:val="24"/>
                <w:szCs w:val="24"/>
                <w:lang w:val="en-US" w:eastAsia="zh-CN"/>
                <w14:textFill>
                  <w14:solidFill>
                    <w14:schemeClr w14:val="tx1"/>
                  </w14:solidFill>
                </w14:textFill>
              </w:rPr>
              <w:t>8978</w:t>
            </w:r>
            <w:r>
              <w:rPr>
                <w:rFonts w:hint="default"/>
                <w:snapToGrid/>
                <w:color w:val="000000" w:themeColor="text1"/>
                <w:spacing w:val="0"/>
                <w:kern w:val="0"/>
                <w:position w:val="0"/>
                <w:sz w:val="24"/>
                <w:szCs w:val="24"/>
                <w:lang w:val="zh-CN" w:eastAsia="zh-CN"/>
                <w14:textFill>
                  <w14:solidFill>
                    <w14:schemeClr w14:val="tx1"/>
                  </w14:solidFill>
                </w14:textFill>
              </w:rPr>
              <w:t>-</w:t>
            </w:r>
            <w:r>
              <w:rPr>
                <w:rFonts w:hint="eastAsia"/>
                <w:snapToGrid/>
                <w:color w:val="000000" w:themeColor="text1"/>
                <w:spacing w:val="0"/>
                <w:kern w:val="0"/>
                <w:position w:val="0"/>
                <w:sz w:val="24"/>
                <w:szCs w:val="24"/>
                <w:lang w:val="en-US" w:eastAsia="zh-CN"/>
                <w14:textFill>
                  <w14:solidFill>
                    <w14:schemeClr w14:val="tx1"/>
                  </w14:solidFill>
                </w14:textFill>
              </w:rPr>
              <w:t>1996</w:t>
            </w:r>
            <w:r>
              <w:rPr>
                <w:rFonts w:hint="default"/>
                <w:snapToGrid/>
                <w:color w:val="000000" w:themeColor="text1"/>
                <w:spacing w:val="0"/>
                <w:kern w:val="0"/>
                <w:position w:val="0"/>
                <w:sz w:val="24"/>
                <w:szCs w:val="24"/>
                <w:lang w:val="zh-CN" w:eastAsia="zh-CN"/>
                <w14:textFill>
                  <w14:solidFill>
                    <w14:schemeClr w14:val="tx1"/>
                  </w14:solidFill>
                </w14:textFill>
              </w:rPr>
              <w:t>）表</w:t>
            </w:r>
            <w:r>
              <w:rPr>
                <w:rFonts w:hint="eastAsia"/>
                <w:snapToGrid/>
                <w:color w:val="000000" w:themeColor="text1"/>
                <w:spacing w:val="0"/>
                <w:kern w:val="0"/>
                <w:position w:val="0"/>
                <w:sz w:val="24"/>
                <w:szCs w:val="24"/>
                <w:lang w:val="en-US" w:eastAsia="zh-CN"/>
                <w14:textFill>
                  <w14:solidFill>
                    <w14:schemeClr w14:val="tx1"/>
                  </w14:solidFill>
                </w14:textFill>
              </w:rPr>
              <w:t>4</w:t>
            </w:r>
            <w:r>
              <w:rPr>
                <w:rFonts w:hint="default"/>
                <w:snapToGrid/>
                <w:color w:val="000000" w:themeColor="text1"/>
                <w:spacing w:val="0"/>
                <w:kern w:val="0"/>
                <w:position w:val="0"/>
                <w:sz w:val="24"/>
                <w:szCs w:val="24"/>
                <w:lang w:val="zh-CN" w:eastAsia="zh-CN"/>
                <w14:textFill>
                  <w14:solidFill>
                    <w14:schemeClr w14:val="tx1"/>
                  </w14:solidFill>
                </w14:textFill>
              </w:rPr>
              <w:t>中</w:t>
            </w:r>
            <w:r>
              <w:rPr>
                <w:rFonts w:hint="eastAsia"/>
                <w:snapToGrid/>
                <w:color w:val="000000" w:themeColor="text1"/>
                <w:spacing w:val="0"/>
                <w:kern w:val="0"/>
                <w:position w:val="0"/>
                <w:sz w:val="24"/>
                <w:szCs w:val="24"/>
                <w:lang w:val="zh-CN" w:eastAsia="zh-CN"/>
                <w14:textFill>
                  <w14:solidFill>
                    <w14:schemeClr w14:val="tx1"/>
                  </w14:solidFill>
                </w14:textFill>
              </w:rPr>
              <w:t>的三级标准</w:t>
            </w:r>
            <w:r>
              <w:rPr>
                <w:rFonts w:hint="eastAsia"/>
                <w:snapToGrid/>
                <w:color w:val="000000" w:themeColor="text1"/>
                <w:spacing w:val="0"/>
                <w:kern w:val="0"/>
                <w:position w:val="0"/>
                <w:sz w:val="24"/>
                <w:szCs w:val="24"/>
                <w:lang w:val="en-US" w:eastAsia="zh-CN"/>
                <w14:textFill>
                  <w14:solidFill>
                    <w14:schemeClr w14:val="tx1"/>
                  </w14:solidFill>
                </w14:textFill>
              </w:rPr>
              <w:t>及城东污水处理厂</w:t>
            </w:r>
            <w:r>
              <w:rPr>
                <w:rFonts w:hint="default" w:ascii="Times New Roman" w:hAnsi="Times New Roman" w:eastAsia="宋体" w:cs="Times New Roman"/>
                <w:color w:val="000000" w:themeColor="text1"/>
                <w:sz w:val="24"/>
                <w:szCs w:val="24"/>
                <w14:textFill>
                  <w14:solidFill>
                    <w14:schemeClr w14:val="tx1"/>
                  </w14:solidFill>
                </w14:textFill>
              </w:rPr>
              <w:t>接管限值后排入</w:t>
            </w:r>
            <w:r>
              <w:rPr>
                <w:rFonts w:hint="eastAsia" w:cs="Times New Roman"/>
                <w:color w:val="000000" w:themeColor="text1"/>
                <w:sz w:val="24"/>
                <w:szCs w:val="24"/>
                <w:lang w:eastAsia="zh-CN"/>
                <w14:textFill>
                  <w14:solidFill>
                    <w14:schemeClr w14:val="tx1"/>
                  </w14:solidFill>
                </w14:textFill>
              </w:rPr>
              <w:t>污水处理厂</w:t>
            </w:r>
            <w:r>
              <w:rPr>
                <w:rFonts w:hint="default" w:ascii="Times New Roman" w:hAnsi="Times New Roman" w:eastAsia="宋体" w:cs="Times New Roman"/>
                <w:color w:val="000000" w:themeColor="text1"/>
                <w:sz w:val="24"/>
                <w:szCs w:val="24"/>
                <w14:textFill>
                  <w14:solidFill>
                    <w14:schemeClr w14:val="tx1"/>
                  </w14:solidFill>
                </w14:textFill>
              </w:rPr>
              <w:t>集中处理</w:t>
            </w:r>
            <w:r>
              <w:rPr>
                <w:rFonts w:hint="eastAsia"/>
                <w:snapToGrid/>
                <w:color w:val="000000" w:themeColor="text1"/>
                <w:spacing w:val="0"/>
                <w:kern w:val="0"/>
                <w:position w:val="0"/>
                <w:sz w:val="24"/>
                <w:szCs w:val="24"/>
                <w:lang w:val="en-US" w:eastAsia="zh-CN"/>
                <w14:textFill>
                  <w14:solidFill>
                    <w14:schemeClr w14:val="tx1"/>
                  </w14:solidFill>
                </w14:textFill>
              </w:rPr>
              <w:t>。</w:t>
            </w:r>
          </w:p>
          <w:p w14:paraId="34191970">
            <w:pPr>
              <w:pStyle w:val="31"/>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③土壤环境风险防控底线</w:t>
            </w:r>
          </w:p>
          <w:p w14:paraId="730978C7">
            <w:pPr>
              <w:pStyle w:val="30"/>
              <w:spacing w:line="360" w:lineRule="auto"/>
              <w:ind w:firstLine="480" w:firstLineChars="200"/>
              <w:jc w:val="both"/>
              <w:rPr>
                <w:rFonts w:hint="default" w:ascii="Times New Roman" w:hAnsi="Times New Roman" w:eastAsia="宋体" w:cs="Times New Roman"/>
                <w:color w:val="auto"/>
              </w:rPr>
            </w:pPr>
            <w:r>
              <w:rPr>
                <w:rFonts w:hint="eastAsia" w:cs="Times New Roman"/>
                <w:color w:val="000000" w:themeColor="text1"/>
                <w:kern w:val="2"/>
                <w:sz w:val="24"/>
                <w:szCs w:val="24"/>
                <w:lang w:val="en-US" w:eastAsia="zh-CN" w:bidi="ar-SA"/>
                <w14:textFill>
                  <w14:solidFill>
                    <w14:schemeClr w14:val="tx1"/>
                  </w14:solidFill>
                </w14:textFill>
              </w:rPr>
              <w:t>本</w:t>
            </w:r>
            <w:r>
              <w:rPr>
                <w:rFonts w:hint="default" w:ascii="Times New Roman" w:hAnsi="Times New Roman" w:eastAsia="宋体" w:cs="Times New Roman"/>
                <w:color w:val="auto"/>
              </w:rPr>
              <w:t>项目对可能产生土壤影响的各项途径均进行有效预防，避免污染土壤，因此本项目不会对区域土壤环境产生影响。</w:t>
            </w:r>
          </w:p>
          <w:p w14:paraId="523AC7AE">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综上所述，本项目在加强环境管理并落实本评价要求的各项环保措施的情况下，本项目废水、废气、固废均得到合理处置，符合环境质量底线要求。</w:t>
            </w:r>
          </w:p>
          <w:p w14:paraId="54EDAC2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auto"/>
                <w:sz w:val="24"/>
                <w:szCs w:val="24"/>
              </w:rPr>
              <w:t>（3）与资源利用上线相符性分析</w:t>
            </w:r>
          </w:p>
          <w:p w14:paraId="31EE8920">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rPr>
            </w:pPr>
            <w:r>
              <w:rPr>
                <w:rFonts w:hint="default" w:ascii="Times New Roman" w:hAnsi="Times New Roman" w:eastAsia="宋体" w:cs="Times New Roman"/>
                <w:color w:val="auto"/>
                <w:kern w:val="0"/>
                <w:sz w:val="24"/>
              </w:rPr>
              <w:t>项目用水、用电由市政供水管网和供电管网提供，用地为工业用地，土地资源消耗符合要求。项目建成运营后资源消耗相对区域资源利用总量较少，符合资源利用上线的要求。</w:t>
            </w:r>
          </w:p>
          <w:p w14:paraId="7FE2E0B8">
            <w:pPr>
              <w:autoSpaceDE w:val="0"/>
              <w:autoSpaceDN w:val="0"/>
              <w:adjustRightInd w:val="0"/>
              <w:snapToGrid w:val="0"/>
              <w:spacing w:line="360" w:lineRule="auto"/>
              <w:ind w:firstLine="480" w:firstLineChars="200"/>
              <w:jc w:val="left"/>
              <w:rPr>
                <w:sz w:val="24"/>
              </w:rPr>
            </w:pPr>
            <w:r>
              <w:rPr>
                <w:sz w:val="24"/>
              </w:rPr>
              <w:t>（4）与环境准入清单相符性分析</w:t>
            </w:r>
          </w:p>
          <w:p w14:paraId="3F8689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4"/>
                <w:szCs w:val="24"/>
                <w14:textFill>
                  <w14:solidFill>
                    <w14:schemeClr w14:val="tx1"/>
                  </w14:solidFill>
                </w14:textFill>
              </w:rPr>
              <w:t>本项目</w:t>
            </w:r>
            <w:r>
              <w:rPr>
                <w:rFonts w:hint="default" w:ascii="Times New Roman" w:hAnsi="Times New Roman" w:eastAsia="宋体" w:cs="Times New Roman"/>
                <w:snapToGrid/>
                <w:color w:val="000000" w:themeColor="text1"/>
                <w:spacing w:val="0"/>
                <w:kern w:val="0"/>
                <w:position w:val="0"/>
                <w:sz w:val="24"/>
                <w:szCs w:val="24"/>
                <w:lang w:eastAsia="zh-CN"/>
                <w14:textFill>
                  <w14:solidFill>
                    <w14:schemeClr w14:val="tx1"/>
                  </w14:solidFill>
                </w14:textFill>
              </w:rPr>
              <w:t>位于</w:t>
            </w:r>
            <w:r>
              <w:rPr>
                <w:rFonts w:ascii="宋体" w:hAnsi="宋体" w:eastAsia="宋体" w:cs="宋体"/>
                <w:sz w:val="24"/>
                <w:szCs w:val="24"/>
              </w:rPr>
              <w:t>宿州</w:t>
            </w:r>
            <w:r>
              <w:rPr>
                <w:rFonts w:hint="eastAsia" w:ascii="宋体" w:hAnsi="宋体" w:cs="宋体"/>
                <w:sz w:val="24"/>
                <w:szCs w:val="24"/>
                <w:lang w:eastAsia="zh-CN"/>
              </w:rPr>
              <w:t>市</w:t>
            </w:r>
            <w:r>
              <w:rPr>
                <w:rFonts w:ascii="宋体" w:hAnsi="宋体" w:eastAsia="宋体" w:cs="宋体"/>
                <w:sz w:val="24"/>
                <w:szCs w:val="24"/>
              </w:rPr>
              <w:t>埇桥</w:t>
            </w:r>
            <w:r>
              <w:rPr>
                <w:rFonts w:hint="eastAsia" w:ascii="宋体" w:hAnsi="宋体" w:cs="宋体"/>
                <w:sz w:val="24"/>
                <w:szCs w:val="24"/>
                <w:lang w:eastAsia="zh-CN"/>
              </w:rPr>
              <w:t>区</w:t>
            </w:r>
            <w:r>
              <w:rPr>
                <w:rFonts w:ascii="宋体" w:hAnsi="宋体" w:eastAsia="宋体" w:cs="宋体"/>
                <w:sz w:val="24"/>
                <w:szCs w:val="24"/>
              </w:rPr>
              <w:t>循环经济示范园东二环西侧</w:t>
            </w:r>
            <w:r>
              <w:rPr>
                <w:rFonts w:hint="default" w:ascii="Times New Roman" w:hAnsi="Times New Roman" w:eastAsia="宋体" w:cs="Times New Roman"/>
                <w:snapToGrid/>
                <w:color w:val="000000" w:themeColor="text1"/>
                <w:spacing w:val="0"/>
                <w:kern w:val="0"/>
                <w:position w:val="0"/>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项目所属地区为</w:t>
            </w:r>
            <w:r>
              <w:rPr>
                <w:rFonts w:hint="eastAsia" w:cs="Times New Roman"/>
                <w:color w:val="000000" w:themeColor="text1"/>
                <w:sz w:val="24"/>
                <w:szCs w:val="24"/>
                <w:lang w:val="en-US" w:eastAsia="zh-CN"/>
                <w14:textFill>
                  <w14:solidFill>
                    <w14:schemeClr w14:val="tx1"/>
                  </w14:solidFill>
                </w14:textFill>
              </w:rPr>
              <w:t>宿州市循环经济示范园</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对照</w:t>
            </w:r>
            <w:r>
              <w:rPr>
                <w:rFonts w:hint="eastAsia" w:ascii="宋体" w:hAnsi="宋体" w:eastAsia="宋体" w:cs="宋体"/>
                <w:color w:val="000000" w:themeColor="text1"/>
                <w:sz w:val="24"/>
                <w:szCs w:val="24"/>
                <w:lang w:eastAsia="zh-CN"/>
                <w14:textFill>
                  <w14:solidFill>
                    <w14:schemeClr w14:val="tx1"/>
                  </w14:solidFill>
                </w14:textFill>
              </w:rPr>
              <w:t>《宿州市“三线一单”生态环境准入清单》</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开发区生态环境准入清单中宿州市循环经济示范园产业准入要求</w:t>
            </w:r>
            <w:r>
              <w:rPr>
                <w:rFonts w:hint="eastAsia" w:ascii="宋体" w:hAnsi="宋体" w:eastAsia="宋体" w:cs="宋体"/>
                <w:color w:val="000000" w:themeColor="text1"/>
                <w:sz w:val="24"/>
                <w:szCs w:val="24"/>
                <w14:textFill>
                  <w14:solidFill>
                    <w14:schemeClr w14:val="tx1"/>
                  </w14:solidFill>
                </w14:textFill>
              </w:rPr>
              <w:t>进行说明</w:t>
            </w:r>
            <w:r>
              <w:rPr>
                <w:rFonts w:hint="eastAsia" w:ascii="宋体" w:hAnsi="宋体" w:eastAsia="宋体" w:cs="宋体"/>
                <w:color w:val="000000" w:themeColor="text1"/>
                <w:sz w:val="24"/>
                <w:szCs w:val="24"/>
                <w:lang w:eastAsia="zh-CN"/>
                <w14:textFill>
                  <w14:solidFill>
                    <w14:schemeClr w14:val="tx1"/>
                  </w14:solidFill>
                </w14:textFill>
              </w:rPr>
              <w:t>：</w:t>
            </w:r>
          </w:p>
          <w:p w14:paraId="3CD12DD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rPr>
                <w:rFonts w:hint="default"/>
                <w:color w:val="000000" w:themeColor="text1"/>
                <w:sz w:val="24"/>
                <w:szCs w:val="24"/>
                <w:lang w:val="en-US" w:eastAsia="zh-CN"/>
                <w14:textFill>
                  <w14:solidFill>
                    <w14:schemeClr w14:val="tx1"/>
                  </w14:solidFill>
                </w14:textFill>
              </w:rPr>
            </w:pPr>
            <w:r>
              <w:rPr>
                <w:rFonts w:hint="default"/>
                <w:b/>
                <w:bCs/>
                <w:color w:val="000000" w:themeColor="text1"/>
                <w:sz w:val="24"/>
                <w:szCs w:val="24"/>
                <w:lang w:val="en-US" w:eastAsia="zh-CN"/>
                <w14:textFill>
                  <w14:solidFill>
                    <w14:schemeClr w14:val="tx1"/>
                  </w14:solidFill>
                </w14:textFill>
              </w:rPr>
              <w:t>限制</w:t>
            </w:r>
            <w:r>
              <w:rPr>
                <w:rFonts w:hint="eastAsia"/>
                <w:b/>
                <w:bCs/>
                <w:color w:val="000000" w:themeColor="text1"/>
                <w:sz w:val="24"/>
                <w:szCs w:val="24"/>
                <w:lang w:val="en-US" w:eastAsia="zh-CN"/>
                <w14:textFill>
                  <w14:solidFill>
                    <w14:schemeClr w14:val="tx1"/>
                  </w14:solidFill>
                </w14:textFill>
              </w:rPr>
              <w:t>发展项目</w:t>
            </w:r>
            <w:r>
              <w:rPr>
                <w:rFonts w:hint="default"/>
                <w:b/>
                <w:bCs/>
                <w:color w:val="000000" w:themeColor="text1"/>
                <w:sz w:val="24"/>
                <w:szCs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一、机械电子业：其他与机械电子类行业发展相配套污染小的行业</w:t>
            </w:r>
            <w:r>
              <w:rPr>
                <w:rFonts w:hint="default"/>
                <w:color w:val="000000" w:themeColor="text1"/>
                <w:sz w:val="24"/>
                <w:szCs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二、食品加工业：酿造行业</w:t>
            </w:r>
            <w:r>
              <w:rPr>
                <w:rFonts w:hint="default"/>
                <w:color w:val="000000" w:themeColor="text1"/>
                <w:sz w:val="24"/>
                <w:szCs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三、</w:t>
            </w:r>
            <w:r>
              <w:rPr>
                <w:rFonts w:hint="default"/>
                <w:color w:val="000000" w:themeColor="text1"/>
                <w:sz w:val="24"/>
                <w:szCs w:val="24"/>
                <w:lang w:val="en-US" w:eastAsia="zh-CN"/>
                <w14:textFill>
                  <w14:solidFill>
                    <w14:schemeClr w14:val="tx1"/>
                  </w14:solidFill>
                </w14:textFill>
              </w:rPr>
              <w:t>限制类项目、工艺和产品</w:t>
            </w:r>
            <w:r>
              <w:rPr>
                <w:rFonts w:hint="eastAsia"/>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snapToGrid/>
                <w:color w:val="000000" w:themeColor="text1"/>
                <w:spacing w:val="0"/>
                <w:kern w:val="0"/>
                <w:position w:val="0"/>
                <w:sz w:val="24"/>
                <w:szCs w:val="24"/>
                <w:highlight w:val="none"/>
                <w:lang w:val="en-US" w:eastAsia="zh-CN" w:bidi="ar-SA"/>
                <w14:textFill>
                  <w14:solidFill>
                    <w14:schemeClr w14:val="tx1"/>
                  </w14:solidFill>
                </w14:textFill>
              </w:rPr>
              <w:t>《产业结构调整指导目录</w:t>
            </w:r>
            <w:r>
              <w:rPr>
                <w:rFonts w:hint="eastAsia" w:ascii="Times New Roman" w:hAnsi="Times New Roman" w:cs="Times New Roman"/>
                <w:snapToGrid/>
                <w:color w:val="000000" w:themeColor="text1"/>
                <w:spacing w:val="0"/>
                <w:kern w:val="0"/>
                <w:position w:val="0"/>
                <w:sz w:val="24"/>
                <w:szCs w:val="24"/>
                <w:highlight w:val="none"/>
                <w:lang w:val="en-US" w:eastAsia="zh-CN" w:bidi="ar-SA"/>
                <w14:textFill>
                  <w14:solidFill>
                    <w14:schemeClr w14:val="tx1"/>
                  </w14:solidFill>
                </w14:textFill>
              </w:rPr>
              <w:t>（2024年本）</w:t>
            </w:r>
            <w:r>
              <w:rPr>
                <w:rFonts w:hint="eastAsia" w:cs="Times New Roman"/>
                <w:snapToGrid/>
                <w:color w:val="000000" w:themeColor="text1"/>
                <w:spacing w:val="0"/>
                <w:kern w:val="0"/>
                <w:position w:val="0"/>
                <w:sz w:val="24"/>
                <w:szCs w:val="24"/>
                <w:highlight w:val="none"/>
                <w:lang w:val="en-US" w:eastAsia="zh-CN" w:bidi="ar-SA"/>
                <w14:textFill>
                  <w14:solidFill>
                    <w14:schemeClr w14:val="tx1"/>
                  </w14:solidFill>
                </w14:textFill>
              </w:rPr>
              <w:t>》《</w:t>
            </w:r>
            <w:r>
              <w:rPr>
                <w:rFonts w:hint="default"/>
                <w:color w:val="000000" w:themeColor="text1"/>
                <w:sz w:val="24"/>
                <w:szCs w:val="24"/>
                <w:lang w:val="en-US" w:eastAsia="zh-CN"/>
                <w14:textFill>
                  <w14:solidFill>
                    <w14:schemeClr w14:val="tx1"/>
                  </w14:solidFill>
                </w14:textFill>
              </w:rPr>
              <w:t>外商投资产业指导目录（2017年修订）》等（以下简称《指导目录》）中限制类；《指导目录》中鼓励类，在开发区所在区域具备一定资源要素禀赋，但与所处重点生态功能区主体功能定位和发展方向不相符合的产业。</w:t>
            </w:r>
          </w:p>
          <w:p w14:paraId="3A5D1C58">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jc w:val="left"/>
              <w:textAlignment w:val="auto"/>
              <w:rPr>
                <w:rFonts w:hint="default" w:ascii="Times New Roman" w:hAnsi="Times New Roman" w:eastAsia="宋体" w:cs="Times New Roman"/>
                <w:snapToGrid/>
                <w:color w:val="000000" w:themeColor="text1"/>
                <w:spacing w:val="0"/>
                <w:kern w:val="0"/>
                <w:position w:val="0"/>
                <w:sz w:val="24"/>
                <w:szCs w:val="24"/>
                <w:lang w:val="en-US" w:eastAsia="zh-CN"/>
                <w14:textFill>
                  <w14:solidFill>
                    <w14:schemeClr w14:val="tx1"/>
                  </w14:solidFill>
                </w14:textFill>
              </w:rPr>
            </w:pPr>
            <w:r>
              <w:rPr>
                <w:rFonts w:hint="default"/>
                <w:b/>
                <w:bCs/>
                <w:color w:val="000000" w:themeColor="text1"/>
                <w:sz w:val="24"/>
                <w:szCs w:val="24"/>
                <w:lang w:val="en-US" w:eastAsia="zh-CN"/>
                <w14:textFill>
                  <w14:solidFill>
                    <w14:schemeClr w14:val="tx1"/>
                  </w14:solidFill>
                </w14:textFill>
              </w:rPr>
              <w:t>禁止发展项目</w:t>
            </w:r>
            <w:r>
              <w:rPr>
                <w:rFonts w:hint="eastAsia"/>
                <w:b/>
                <w:bCs/>
                <w:color w:val="000000" w:themeColor="text1"/>
                <w:sz w:val="24"/>
                <w:szCs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一、不符合国家产业政策的项目、与园区产业定位不相符的行业；高能耗、高水耗、高污染型行业；尚需要自行建设燃煤锅炉的企业；使用有毒、有害原料的项目；与《安徽省淮河流域水污染防治条例》和《安徽省城镇生活用水水源保护条例》相违背的项目。禁止引入与园区产业定位不相符合的项目；物流业禁止贮存和输送有毒、有害化学品和危险品</w:t>
            </w:r>
            <w:r>
              <w:rPr>
                <w:rFonts w:hint="default"/>
                <w:color w:val="000000" w:themeColor="text1"/>
                <w:sz w:val="24"/>
                <w:szCs w:val="24"/>
                <w:lang w:val="en-US"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二、禁止进入（1）机械电子业：与机械加工行业配套的电镀行业，高水耗、高能耗、高污染型行业的机械加工行业（2）纺织服装业：水洗、印染项目（3）食品加工业：高水耗、高污染的食品加工行业，乳制品行业，味精行业。三、物流业禁止贮存和输送有毒、有害化学品和危险品。</w:t>
            </w:r>
          </w:p>
          <w:p w14:paraId="4B040A9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eastAsia="宋体" w:cs="Times New Roman"/>
                <w:snapToGrid/>
                <w:color w:val="000000" w:themeColor="text1"/>
                <w:spacing w:val="0"/>
                <w:kern w:val="0"/>
                <w:position w:val="0"/>
                <w:sz w:val="24"/>
                <w:szCs w:val="24"/>
                <w14:textFill>
                  <w14:solidFill>
                    <w14:schemeClr w14:val="tx1"/>
                  </w14:solidFill>
                </w14:textFill>
              </w:rPr>
            </w:pPr>
            <w:r>
              <w:rPr>
                <w:rFonts w:hint="eastAsia" w:ascii="宋体" w:hAnsi="宋体" w:cs="宋体"/>
                <w:snapToGrid/>
                <w:color w:val="000000" w:themeColor="text1"/>
                <w:spacing w:val="0"/>
                <w:kern w:val="0"/>
                <w:position w:val="0"/>
                <w:sz w:val="24"/>
                <w:szCs w:val="24"/>
                <w:lang w:val="en-US" w:eastAsia="zh-CN"/>
                <w14:textFill>
                  <w14:solidFill>
                    <w14:schemeClr w14:val="tx1"/>
                  </w14:solidFill>
                </w14:textFill>
              </w:rPr>
              <w:t>本项目为</w:t>
            </w:r>
            <w:r>
              <w:rPr>
                <w:rFonts w:hint="default" w:ascii="Times New Roman" w:hAnsi="Times New Roman" w:eastAsia="宋体" w:cs="Times New Roman"/>
                <w:b w:val="0"/>
                <w:bCs w:val="0"/>
                <w:sz w:val="24"/>
                <w:szCs w:val="24"/>
                <w:lang w:val="en-US" w:eastAsia="zh-CN"/>
              </w:rPr>
              <w:t>塑料板、管、型材制造</w:t>
            </w:r>
            <w:r>
              <w:rPr>
                <w:rFonts w:hint="eastAsia" w:ascii="宋体" w:hAnsi="宋体" w:eastAsia="宋体" w:cs="宋体"/>
                <w:snapToGrid/>
                <w:color w:val="000000" w:themeColor="text1"/>
                <w:spacing w:val="0"/>
                <w:kern w:val="0"/>
                <w:position w:val="0"/>
                <w:sz w:val="24"/>
                <w:szCs w:val="24"/>
                <w:lang w:eastAsia="zh-CN"/>
                <w14:textFill>
                  <w14:solidFill>
                    <w14:schemeClr w14:val="tx1"/>
                  </w14:solidFill>
                </w14:textFill>
              </w:rPr>
              <w:t>，不属于</w:t>
            </w:r>
            <w:r>
              <w:rPr>
                <w:rFonts w:hint="default" w:ascii="Times New Roman" w:hAnsi="Times New Roman" w:eastAsia="宋体" w:cs="Times New Roman"/>
                <w:snapToGrid/>
                <w:color w:val="000000" w:themeColor="text1"/>
                <w:spacing w:val="0"/>
                <w:kern w:val="0"/>
                <w:position w:val="0"/>
                <w:sz w:val="24"/>
                <w:szCs w:val="24"/>
                <w:highlight w:val="none"/>
                <w:lang w:val="en-US" w:eastAsia="zh-CN" w:bidi="ar-SA"/>
                <w14:textFill>
                  <w14:solidFill>
                    <w14:schemeClr w14:val="tx1"/>
                  </w14:solidFill>
                </w14:textFill>
              </w:rPr>
              <w:t>《产业结构调整指导目录（</w:t>
            </w:r>
            <w:r>
              <w:rPr>
                <w:rFonts w:hint="eastAsia" w:ascii="Times New Roman" w:hAnsi="Times New Roman" w:cs="Times New Roman"/>
                <w:snapToGrid/>
                <w:color w:val="000000" w:themeColor="text1"/>
                <w:spacing w:val="0"/>
                <w:kern w:val="0"/>
                <w:position w:val="0"/>
                <w:sz w:val="24"/>
                <w:szCs w:val="24"/>
                <w:highlight w:val="none"/>
                <w:lang w:val="en-US" w:eastAsia="zh-CN" w:bidi="ar-SA"/>
                <w14:textFill>
                  <w14:solidFill>
                    <w14:schemeClr w14:val="tx1"/>
                  </w14:solidFill>
                </w14:textFill>
              </w:rPr>
              <w:t>2024</w:t>
            </w:r>
            <w:r>
              <w:rPr>
                <w:rFonts w:hint="default" w:ascii="Times New Roman" w:hAnsi="Times New Roman" w:eastAsia="宋体" w:cs="Times New Roman"/>
                <w:snapToGrid/>
                <w:color w:val="000000" w:themeColor="text1"/>
                <w:spacing w:val="0"/>
                <w:kern w:val="0"/>
                <w:position w:val="0"/>
                <w:sz w:val="24"/>
                <w:szCs w:val="24"/>
                <w:highlight w:val="none"/>
                <w:lang w:val="en-US" w:eastAsia="zh-CN" w:bidi="ar-SA"/>
                <w14:textFill>
                  <w14:solidFill>
                    <w14:schemeClr w14:val="tx1"/>
                  </w14:solidFill>
                </w14:textFill>
              </w:rPr>
              <w:t>年本）》</w:t>
            </w:r>
            <w:r>
              <w:rPr>
                <w:rFonts w:hint="eastAsia" w:ascii="宋体" w:hAnsi="宋体" w:eastAsia="宋体" w:cs="宋体"/>
                <w:snapToGrid/>
                <w:color w:val="000000" w:themeColor="text1"/>
                <w:spacing w:val="0"/>
                <w:kern w:val="0"/>
                <w:position w:val="0"/>
                <w:sz w:val="24"/>
                <w:szCs w:val="24"/>
                <w:lang w:eastAsia="zh-CN"/>
                <w14:textFill>
                  <w14:solidFill>
                    <w14:schemeClr w14:val="tx1"/>
                  </w14:solidFill>
                </w14:textFill>
              </w:rPr>
              <w:t>中</w:t>
            </w:r>
            <w:r>
              <w:rPr>
                <w:rFonts w:hint="eastAsia" w:ascii="宋体" w:hAnsi="宋体" w:eastAsia="宋体" w:cs="宋体"/>
                <w:snapToGrid/>
                <w:color w:val="000000" w:themeColor="text1"/>
                <w:spacing w:val="0"/>
                <w:kern w:val="0"/>
                <w:position w:val="0"/>
                <w:sz w:val="24"/>
                <w:szCs w:val="24"/>
                <w14:textFill>
                  <w14:solidFill>
                    <w14:schemeClr w14:val="tx1"/>
                  </w14:solidFill>
                </w14:textFill>
              </w:rPr>
              <w:t>限制类和淘汰类</w:t>
            </w:r>
            <w:r>
              <w:rPr>
                <w:rFonts w:hint="eastAsia" w:ascii="宋体" w:hAnsi="宋体" w:eastAsia="宋体" w:cs="宋体"/>
                <w:snapToGrid/>
                <w:color w:val="000000" w:themeColor="text1"/>
                <w:spacing w:val="0"/>
                <w:kern w:val="0"/>
                <w:position w:val="0"/>
                <w:sz w:val="24"/>
                <w:szCs w:val="24"/>
                <w:lang w:eastAsia="zh-CN"/>
                <w14:textFill>
                  <w14:solidFill>
                    <w14:schemeClr w14:val="tx1"/>
                  </w14:solidFill>
                </w14:textFill>
              </w:rPr>
              <w:t>项目，不属于上述</w:t>
            </w:r>
            <w:r>
              <w:rPr>
                <w:rFonts w:hint="default" w:ascii="Times New Roman" w:hAnsi="Times New Roman" w:eastAsia="宋体" w:cs="Times New Roman"/>
                <w:snapToGrid/>
                <w:color w:val="000000" w:themeColor="text1"/>
                <w:spacing w:val="0"/>
                <w:kern w:val="0"/>
                <w:position w:val="0"/>
                <w:sz w:val="24"/>
                <w:szCs w:val="24"/>
                <w:lang w:eastAsia="zh-CN"/>
                <w14:textFill>
                  <w14:solidFill>
                    <w14:schemeClr w14:val="tx1"/>
                  </w14:solidFill>
                </w14:textFill>
              </w:rPr>
              <w:t>限制入区</w:t>
            </w:r>
            <w:r>
              <w:rPr>
                <w:rFonts w:hint="eastAsia" w:ascii="Times New Roman" w:hAnsi="Times New Roman" w:eastAsia="宋体" w:cs="Times New Roman"/>
                <w:snapToGrid/>
                <w:color w:val="000000" w:themeColor="text1"/>
                <w:spacing w:val="0"/>
                <w:kern w:val="0"/>
                <w:position w:val="0"/>
                <w:sz w:val="24"/>
                <w:szCs w:val="24"/>
                <w:lang w:eastAsia="zh-CN"/>
                <w14:textFill>
                  <w14:solidFill>
                    <w14:schemeClr w14:val="tx1"/>
                  </w14:solidFill>
                </w14:textFill>
              </w:rPr>
              <w:t>和</w:t>
            </w:r>
            <w:r>
              <w:rPr>
                <w:rFonts w:hint="default" w:ascii="Times New Roman" w:hAnsi="Times New Roman" w:eastAsia="宋体" w:cs="Times New Roman"/>
                <w:snapToGrid/>
                <w:color w:val="000000" w:themeColor="text1"/>
                <w:spacing w:val="0"/>
                <w:kern w:val="0"/>
                <w:position w:val="0"/>
                <w:sz w:val="24"/>
                <w:szCs w:val="24"/>
                <w:lang w:eastAsia="zh-CN"/>
                <w14:textFill>
                  <w14:solidFill>
                    <w14:schemeClr w14:val="tx1"/>
                  </w14:solidFill>
                </w14:textFill>
              </w:rPr>
              <w:t>禁止入区项目</w:t>
            </w:r>
            <w:r>
              <w:rPr>
                <w:rFonts w:hint="eastAsia" w:ascii="Times New Roman" w:hAnsi="Times New Roman" w:eastAsia="宋体" w:cs="Times New Roman"/>
                <w:snapToGrid/>
                <w:color w:val="000000" w:themeColor="text1"/>
                <w:spacing w:val="0"/>
                <w:kern w:val="0"/>
                <w:position w:val="0"/>
                <w:sz w:val="24"/>
                <w:szCs w:val="24"/>
                <w:lang w:eastAsia="zh-CN"/>
                <w14:textFill>
                  <w14:solidFill>
                    <w14:schemeClr w14:val="tx1"/>
                  </w14:solidFill>
                </w14:textFill>
              </w:rPr>
              <w:t>，</w:t>
            </w:r>
            <w:r>
              <w:rPr>
                <w:rFonts w:hint="default" w:ascii="Times New Roman" w:hAnsi="Times New Roman" w:eastAsia="宋体" w:cs="Times New Roman"/>
                <w:snapToGrid/>
                <w:color w:val="000000" w:themeColor="text1"/>
                <w:spacing w:val="0"/>
                <w:kern w:val="0"/>
                <w:position w:val="0"/>
                <w:sz w:val="24"/>
                <w:szCs w:val="24"/>
                <w:lang w:val="en-US" w:eastAsia="zh-CN"/>
                <w14:textFill>
                  <w14:solidFill>
                    <w14:schemeClr w14:val="tx1"/>
                  </w14:solidFill>
                </w14:textFill>
              </w:rPr>
              <w:t>符合</w:t>
            </w:r>
            <w:r>
              <w:rPr>
                <w:rFonts w:hint="eastAsia" w:cs="Times New Roman"/>
                <w:color w:val="000000" w:themeColor="text1"/>
                <w:sz w:val="24"/>
                <w:szCs w:val="24"/>
                <w:lang w:val="en-US" w:eastAsia="zh-CN"/>
                <w14:textFill>
                  <w14:solidFill>
                    <w14:schemeClr w14:val="tx1"/>
                  </w14:solidFill>
                </w14:textFill>
              </w:rPr>
              <w:t>宿州市循环经济示范园</w:t>
            </w:r>
            <w:r>
              <w:rPr>
                <w:rFonts w:hint="default" w:ascii="Times New Roman" w:hAnsi="Times New Roman" w:eastAsia="宋体" w:cs="Times New Roman"/>
                <w:snapToGrid/>
                <w:color w:val="000000" w:themeColor="text1"/>
                <w:spacing w:val="0"/>
                <w:kern w:val="0"/>
                <w:position w:val="0"/>
                <w:sz w:val="24"/>
                <w:szCs w:val="24"/>
                <w:lang w:val="en-US" w:eastAsia="zh-CN"/>
                <w14:textFill>
                  <w14:solidFill>
                    <w14:schemeClr w14:val="tx1"/>
                  </w14:solidFill>
                </w14:textFill>
              </w:rPr>
              <w:t>产业准入要求</w:t>
            </w:r>
            <w:r>
              <w:rPr>
                <w:rFonts w:hint="default" w:ascii="Times New Roman" w:hAnsi="Times New Roman" w:eastAsia="宋体" w:cs="Times New Roman"/>
                <w:snapToGrid/>
                <w:color w:val="000000" w:themeColor="text1"/>
                <w:spacing w:val="0"/>
                <w:kern w:val="0"/>
                <w:position w:val="0"/>
                <w:sz w:val="24"/>
                <w:szCs w:val="24"/>
                <w14:textFill>
                  <w14:solidFill>
                    <w14:schemeClr w14:val="tx1"/>
                  </w14:solidFill>
                </w14:textFill>
              </w:rPr>
              <w:t>。</w:t>
            </w:r>
          </w:p>
          <w:p w14:paraId="2FC93B4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b w:val="0"/>
                <w:bCs w:val="0"/>
                <w:color w:val="auto"/>
              </w:rPr>
            </w:pPr>
            <w:r>
              <w:rPr>
                <w:rFonts w:hint="eastAsia" w:ascii="宋体" w:hAnsi="宋体" w:eastAsia="宋体" w:cs="宋体"/>
                <w:b w:val="0"/>
                <w:bCs w:val="0"/>
                <w:color w:val="auto"/>
                <w:kern w:val="0"/>
                <w:sz w:val="24"/>
                <w:szCs w:val="24"/>
                <w:lang w:val="en-US" w:eastAsia="zh-CN" w:bidi="ar"/>
              </w:rPr>
              <w:t>（</w:t>
            </w:r>
            <w:r>
              <w:rPr>
                <w:rFonts w:hint="default" w:ascii="Times New Roman" w:hAnsi="Times New Roman" w:eastAsia="宋体" w:cs="Times New Roman"/>
                <w:b w:val="0"/>
                <w:bCs w:val="0"/>
                <w:color w:val="auto"/>
                <w:kern w:val="0"/>
                <w:sz w:val="24"/>
                <w:szCs w:val="24"/>
                <w:lang w:val="en-US" w:eastAsia="zh-CN" w:bidi="ar"/>
              </w:rPr>
              <w:t>5</w:t>
            </w:r>
            <w:r>
              <w:rPr>
                <w:rFonts w:hint="eastAsia" w:ascii="宋体" w:hAnsi="宋体" w:eastAsia="宋体" w:cs="宋体"/>
                <w:b w:val="0"/>
                <w:bCs w:val="0"/>
                <w:color w:val="auto"/>
                <w:kern w:val="0"/>
                <w:sz w:val="24"/>
                <w:szCs w:val="24"/>
                <w:lang w:val="en-US" w:eastAsia="zh-CN" w:bidi="ar"/>
              </w:rPr>
              <w:t>）</w:t>
            </w:r>
            <w:r>
              <w:rPr>
                <w:rFonts w:hint="default" w:ascii="Times New Roman" w:hAnsi="Times New Roman" w:eastAsia="宋体" w:cs="Times New Roman"/>
                <w:b w:val="0"/>
                <w:bCs w:val="0"/>
                <w:color w:val="auto"/>
                <w:kern w:val="0"/>
                <w:sz w:val="24"/>
                <w:szCs w:val="24"/>
                <w:lang w:val="en-US" w:eastAsia="zh-CN" w:bidi="ar"/>
              </w:rPr>
              <w:t>生态环境分区管控相符性分析</w:t>
            </w:r>
          </w:p>
          <w:p w14:paraId="06CBFEF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auto"/>
                <w:sz w:val="24"/>
              </w:rPr>
              <w:t>根据《宿州</w:t>
            </w:r>
            <w:r>
              <w:rPr>
                <w:rFonts w:hint="eastAsia" w:ascii="宋体" w:hAnsi="宋体" w:eastAsia="宋体" w:cs="宋体"/>
                <w:color w:val="auto"/>
                <w:sz w:val="24"/>
              </w:rPr>
              <w:t>市“三线一单”》</w:t>
            </w:r>
            <w:r>
              <w:rPr>
                <w:rFonts w:hint="default" w:ascii="Times New Roman" w:hAnsi="Times New Roman" w:cs="Times New Roman"/>
                <w:color w:val="auto"/>
                <w:sz w:val="24"/>
              </w:rPr>
              <w:t>，宿州市共划定重点管控单元22个，面积为1641.71平方公里，占全市国土面积的16.52%，一般管控单元5个，面积为7225.23平方公里，占全市国土面积的72.7%。</w:t>
            </w:r>
            <w:r>
              <w:rPr>
                <w:rFonts w:hint="default" w:ascii="Times New Roman" w:hAnsi="Times New Roman" w:cs="Times New Roman"/>
                <w:color w:val="000000" w:themeColor="text1"/>
                <w:sz w:val="24"/>
                <w14:textFill>
                  <w14:solidFill>
                    <w14:schemeClr w14:val="tx1"/>
                  </w14:solidFill>
                </w14:textFill>
              </w:rPr>
              <w:t>本项目位于宿州市</w:t>
            </w:r>
            <w:r>
              <w:rPr>
                <w:rFonts w:hint="eastAsia" w:ascii="宋体" w:hAnsi="宋体" w:eastAsia="宋体" w:cs="宋体"/>
                <w:color w:val="000000" w:themeColor="text1"/>
                <w:sz w:val="24"/>
                <w14:textFill>
                  <w14:solidFill>
                    <w14:schemeClr w14:val="tx1"/>
                  </w14:solidFill>
                </w14:textFill>
              </w:rPr>
              <w:t>“三线一单”</w:t>
            </w:r>
            <w:r>
              <w:rPr>
                <w:rFonts w:hint="default" w:ascii="Times New Roman" w:hAnsi="Times New Roman" w:cs="Times New Roman"/>
                <w:color w:val="000000" w:themeColor="text1"/>
                <w:sz w:val="24"/>
                <w14:textFill>
                  <w14:solidFill>
                    <w14:schemeClr w14:val="tx1"/>
                  </w14:solidFill>
                </w14:textFill>
              </w:rPr>
              <w:t>生态环境分区管控的</w:t>
            </w:r>
            <w:r>
              <w:rPr>
                <w:rFonts w:hint="eastAsia" w:cs="Times New Roman"/>
                <w:color w:val="000000" w:themeColor="text1"/>
                <w:sz w:val="24"/>
                <w:lang w:eastAsia="zh-CN"/>
                <w14:textFill>
                  <w14:solidFill>
                    <w14:schemeClr w14:val="tx1"/>
                  </w14:solidFill>
                </w14:textFill>
              </w:rPr>
              <w:t>重点</w:t>
            </w:r>
            <w:r>
              <w:rPr>
                <w:rFonts w:hint="default" w:ascii="Times New Roman" w:hAnsi="Times New Roman" w:cs="Times New Roman"/>
                <w:color w:val="000000" w:themeColor="text1"/>
                <w:sz w:val="24"/>
                <w14:textFill>
                  <w14:solidFill>
                    <w14:schemeClr w14:val="tx1"/>
                  </w14:solidFill>
                </w14:textFill>
              </w:rPr>
              <w:t>管控单元内（环境管控单元编码：ZH34130220013）。详见下图。与宿州市分区管控要求分析内容见</w:t>
            </w:r>
            <w:r>
              <w:rPr>
                <w:rFonts w:hint="eastAsia" w:ascii="Times New Roman" w:hAnsi="Times New Roman" w:cs="Times New Roman"/>
                <w:color w:val="000000" w:themeColor="text1"/>
                <w:sz w:val="24"/>
                <w:lang w:eastAsia="zh-CN"/>
                <w14:textFill>
                  <w14:solidFill>
                    <w14:schemeClr w14:val="tx1"/>
                  </w14:solidFill>
                </w14:textFill>
              </w:rPr>
              <w:t>表</w:t>
            </w:r>
            <w:r>
              <w:rPr>
                <w:rFonts w:hint="eastAsia" w:ascii="Times New Roman" w:hAnsi="Times New Roman" w:cs="Times New Roman"/>
                <w:color w:val="000000" w:themeColor="text1"/>
                <w:sz w:val="24"/>
                <w:lang w:val="en-US" w:eastAsia="zh-CN"/>
                <w14:textFill>
                  <w14:solidFill>
                    <w14:schemeClr w14:val="tx1"/>
                  </w14:solidFill>
                </w14:textFill>
              </w:rPr>
              <w:t>1.</w:t>
            </w:r>
            <w:r>
              <w:rPr>
                <w:rFonts w:hint="eastAsia" w:cs="Times New Roman"/>
                <w:color w:val="000000" w:themeColor="text1"/>
                <w:sz w:val="24"/>
                <w:lang w:val="en-US" w:eastAsia="zh-CN"/>
                <w14:textFill>
                  <w14:solidFill>
                    <w14:schemeClr w14:val="tx1"/>
                  </w14:solidFill>
                </w14:textFill>
              </w:rPr>
              <w:t>3</w:t>
            </w:r>
            <w:r>
              <w:rPr>
                <w:rFonts w:hint="default" w:ascii="Times New Roman" w:hAnsi="Times New Roman" w:cs="Times New Roman"/>
                <w:color w:val="000000" w:themeColor="text1"/>
                <w:sz w:val="24"/>
                <w14:textFill>
                  <w14:solidFill>
                    <w14:schemeClr w14:val="tx1"/>
                  </w14:solidFill>
                </w14:textFill>
              </w:rPr>
              <w:t>。</w:t>
            </w:r>
          </w:p>
          <w:p w14:paraId="7BE85B5B">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pPr>
            <w:r>
              <w:rPr>
                <w:sz w:val="21"/>
              </w:rPr>
              <mc:AlternateContent>
                <mc:Choice Requires="wps">
                  <w:drawing>
                    <wp:anchor distT="0" distB="0" distL="114300" distR="114300" simplePos="0" relativeHeight="251660288" behindDoc="0" locked="0" layoutInCell="1" allowOverlap="1">
                      <wp:simplePos x="0" y="0"/>
                      <wp:positionH relativeFrom="column">
                        <wp:posOffset>1725295</wp:posOffset>
                      </wp:positionH>
                      <wp:positionV relativeFrom="paragraph">
                        <wp:posOffset>521335</wp:posOffset>
                      </wp:positionV>
                      <wp:extent cx="1066800" cy="333375"/>
                      <wp:effectExtent l="27305" t="6350" r="10795" b="288925"/>
                      <wp:wrapNone/>
                      <wp:docPr id="1" name="矩形标注 1"/>
                      <wp:cNvGraphicFramePr/>
                      <a:graphic xmlns:a="http://schemas.openxmlformats.org/drawingml/2006/main">
                        <a:graphicData uri="http://schemas.microsoft.com/office/word/2010/wordprocessingShape">
                          <wps:wsp>
                            <wps:cNvSpPr/>
                            <wps:spPr>
                              <a:xfrm>
                                <a:off x="4280535" y="2621280"/>
                                <a:ext cx="1066800" cy="333375"/>
                              </a:xfrm>
                              <a:prstGeom prst="wedgeRectCallout">
                                <a:avLst>
                                  <a:gd name="adj1" fmla="val -50535"/>
                                  <a:gd name="adj2" fmla="val 130000"/>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15F6AD98">
                                  <w:pPr>
                                    <w:jc w:val="center"/>
                                    <w:rPr>
                                      <w:rFonts w:hint="eastAsia" w:eastAsia="宋体"/>
                                      <w:color w:val="0000FF"/>
                                      <w:lang w:eastAsia="zh-CN"/>
                                    </w:rPr>
                                  </w:pPr>
                                  <w:r>
                                    <w:rPr>
                                      <w:rFonts w:hint="eastAsia"/>
                                      <w:color w:val="0000FF"/>
                                      <w:lang w:eastAsia="zh-CN"/>
                                    </w:rPr>
                                    <w:t>项目所在地</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35.85pt;margin-top:41.05pt;height:26.25pt;width:84pt;z-index:251660288;v-text-anchor:middle;mso-width-relative:page;mso-height-relative:page;" filled="f" stroked="t" coordsize="21600,21600" o:gfxdata="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&#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Ev6EObZAAAACgEAAA8AAAAAAAAAAQAgAAAAIgAAAGRy&#10;cy9kb3ducmV2LnhtbFBLAQIUABQAAAAIAIdO4kCyEfTbrwIAAEcFAAAOAAAAAAAAAAEAIAAAACgB&#10;AABkcnMvZTJvRG9jLnhtbFBLBQYAAAAABgAGAFkBAABJBgAAAAA=&#10;" adj="-116,38880">
                      <v:fill on="f" focussize="0,0"/>
                      <v:stroke weight="1pt" color="#000000 [3213]" miterlimit="8" joinstyle="miter"/>
                      <v:imagedata o:title=""/>
                      <o:lock v:ext="edit" aspectratio="f"/>
                      <v:textbox>
                        <w:txbxContent>
                          <w:p w14:paraId="15F6AD98">
                            <w:pPr>
                              <w:jc w:val="center"/>
                              <w:rPr>
                                <w:rFonts w:hint="eastAsia" w:eastAsia="宋体"/>
                                <w:color w:val="0000FF"/>
                                <w:lang w:eastAsia="zh-CN"/>
                              </w:rPr>
                            </w:pPr>
                            <w:r>
                              <w:rPr>
                                <w:rFonts w:hint="eastAsia"/>
                                <w:color w:val="0000FF"/>
                                <w:lang w:eastAsia="zh-CN"/>
                              </w:rPr>
                              <w:t>项目所在地</w:t>
                            </w:r>
                          </w:p>
                        </w:txbxContent>
                      </v:textbox>
                    </v:shape>
                  </w:pict>
                </mc:Fallback>
              </mc:AlternateContent>
            </w:r>
            <w:r>
              <w:drawing>
                <wp:inline distT="0" distB="0" distL="114300" distR="114300">
                  <wp:extent cx="4409440" cy="2259330"/>
                  <wp:effectExtent l="0" t="0" r="10160" b="762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6"/>
                          <a:stretch>
                            <a:fillRect/>
                          </a:stretch>
                        </pic:blipFill>
                        <pic:spPr>
                          <a:xfrm>
                            <a:off x="0" y="0"/>
                            <a:ext cx="4409440" cy="2259330"/>
                          </a:xfrm>
                          <a:prstGeom prst="rect">
                            <a:avLst/>
                          </a:prstGeom>
                          <a:noFill/>
                          <a:ln>
                            <a:noFill/>
                          </a:ln>
                        </pic:spPr>
                      </pic:pic>
                    </a:graphicData>
                  </a:graphic>
                </wp:inline>
              </w:drawing>
            </w:r>
          </w:p>
          <w:p w14:paraId="6D1ED25E">
            <w:pPr>
              <w:pStyle w:val="31"/>
              <w:ind w:firstLine="0" w:firstLineChars="0"/>
              <w:jc w:val="center"/>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cs="Times New Roman"/>
                <w:b/>
                <w:bCs/>
                <w:color w:val="auto"/>
                <w:sz w:val="24"/>
                <w:szCs w:val="24"/>
                <w:lang w:eastAsia="zh-CN"/>
              </w:rPr>
              <w:t>图</w:t>
            </w:r>
            <w:r>
              <w:rPr>
                <w:rFonts w:hint="default" w:ascii="Times New Roman" w:hAnsi="Times New Roman" w:cs="Times New Roman"/>
                <w:b/>
                <w:bCs/>
                <w:color w:val="auto"/>
                <w:sz w:val="24"/>
                <w:szCs w:val="24"/>
                <w:lang w:val="en-US" w:eastAsia="zh-CN"/>
              </w:rPr>
              <w:t xml:space="preserve">1.1  </w:t>
            </w:r>
            <w:r>
              <w:rPr>
                <w:rFonts w:hint="default" w:ascii="Times New Roman" w:hAnsi="Times New Roman" w:eastAsia="宋体" w:cs="Times New Roman"/>
                <w:b/>
                <w:bCs/>
                <w:color w:val="auto"/>
                <w:kern w:val="0"/>
                <w:sz w:val="24"/>
                <w:szCs w:val="24"/>
                <w:lang w:val="en-US" w:eastAsia="zh-CN" w:bidi="ar"/>
              </w:rPr>
              <w:t>管控单元位置示意图</w:t>
            </w:r>
          </w:p>
          <w:p w14:paraId="3423A4ED">
            <w:pPr>
              <w:keepNext w:val="0"/>
              <w:keepLines w:val="0"/>
              <w:pageBreakBefore w:val="0"/>
              <w:widowControl/>
              <w:suppressLineNumbers w:val="0"/>
              <w:kinsoku/>
              <w:wordWrap/>
              <w:overflowPunct/>
              <w:topLinePunct w:val="0"/>
              <w:autoSpaceDE/>
              <w:autoSpaceDN/>
              <w:bidi w:val="0"/>
              <w:adjustRightInd/>
              <w:snapToGrid/>
              <w:spacing w:line="360" w:lineRule="auto"/>
              <w:ind w:firstLine="0" w:firstLineChars="0"/>
              <w:jc w:val="center"/>
              <w:textAlignment w:val="auto"/>
              <w:rPr>
                <w:color w:val="auto"/>
              </w:rPr>
            </w:pPr>
            <w:r>
              <w:rPr>
                <w:rFonts w:hint="eastAsia" w:ascii="宋体" w:hAnsi="宋体" w:eastAsia="宋体" w:cs="宋体"/>
                <w:b/>
                <w:bCs/>
                <w:color w:val="auto"/>
                <w:kern w:val="0"/>
                <w:sz w:val="24"/>
                <w:szCs w:val="24"/>
                <w:lang w:val="en-US" w:eastAsia="zh-CN" w:bidi="ar"/>
              </w:rPr>
              <w:t>表</w:t>
            </w:r>
            <w:r>
              <w:rPr>
                <w:rFonts w:hint="default" w:ascii="Times New Roman" w:hAnsi="Times New Roman" w:eastAsia="宋体" w:cs="Times New Roman"/>
                <w:b/>
                <w:bCs/>
                <w:color w:val="auto"/>
                <w:kern w:val="0"/>
                <w:sz w:val="24"/>
                <w:szCs w:val="24"/>
                <w:lang w:val="en-US" w:eastAsia="zh-CN" w:bidi="ar"/>
              </w:rPr>
              <w:t>1</w:t>
            </w:r>
            <w:r>
              <w:rPr>
                <w:rFonts w:hint="eastAsia" w:ascii="Times New Roman" w:hAnsi="Times New Roman" w:eastAsia="宋体" w:cs="Times New Roman"/>
                <w:b/>
                <w:bCs/>
                <w:color w:val="auto"/>
                <w:kern w:val="0"/>
                <w:sz w:val="24"/>
                <w:szCs w:val="24"/>
                <w:lang w:val="en-US" w:eastAsia="zh-CN" w:bidi="ar"/>
              </w:rPr>
              <w:t>.</w:t>
            </w:r>
            <w:r>
              <w:rPr>
                <w:rFonts w:hint="eastAsia" w:cs="Times New Roman"/>
                <w:b/>
                <w:bCs/>
                <w:color w:val="auto"/>
                <w:kern w:val="0"/>
                <w:sz w:val="24"/>
                <w:szCs w:val="24"/>
                <w:lang w:val="en-US" w:eastAsia="zh-CN" w:bidi="ar"/>
              </w:rPr>
              <w:t>4</w:t>
            </w:r>
            <w:r>
              <w:rPr>
                <w:rFonts w:hint="eastAsia" w:ascii="Times New Roman" w:hAnsi="Times New Roman" w:eastAsia="宋体" w:cs="Times New Roman"/>
                <w:b/>
                <w:bCs/>
                <w:color w:val="auto"/>
                <w:kern w:val="0"/>
                <w:sz w:val="24"/>
                <w:szCs w:val="24"/>
                <w:lang w:val="en-US" w:eastAsia="zh-CN" w:bidi="ar"/>
              </w:rPr>
              <w:t xml:space="preserve"> </w:t>
            </w:r>
            <w:r>
              <w:rPr>
                <w:rFonts w:hint="eastAsia" w:ascii="宋体" w:hAnsi="宋体" w:eastAsia="宋体" w:cs="宋体"/>
                <w:b/>
                <w:bCs/>
                <w:color w:val="auto"/>
                <w:kern w:val="0"/>
                <w:sz w:val="24"/>
                <w:szCs w:val="24"/>
                <w:lang w:val="en-US" w:eastAsia="zh-CN" w:bidi="ar"/>
              </w:rPr>
              <w:t>本项目涉及“三线一单”管控单元及管控要求</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
              <w:gridCol w:w="571"/>
              <w:gridCol w:w="881"/>
              <w:gridCol w:w="4238"/>
              <w:gridCol w:w="896"/>
            </w:tblGrid>
            <w:tr w14:paraId="278FB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0" w:type="pct"/>
                  <w:noWrap w:val="0"/>
                  <w:vAlign w:val="center"/>
                </w:tcPr>
                <w:p w14:paraId="2CDFFFD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序号</w:t>
                  </w:r>
                </w:p>
              </w:tc>
              <w:tc>
                <w:tcPr>
                  <w:tcW w:w="411" w:type="pct"/>
                  <w:noWrap w:val="0"/>
                  <w:vAlign w:val="center"/>
                </w:tcPr>
                <w:p w14:paraId="5D18F2F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管控名称</w:t>
                  </w:r>
                </w:p>
              </w:tc>
              <w:tc>
                <w:tcPr>
                  <w:tcW w:w="3683" w:type="pct"/>
                  <w:gridSpan w:val="2"/>
                  <w:noWrap w:val="0"/>
                  <w:vAlign w:val="center"/>
                </w:tcPr>
                <w:p w14:paraId="61E2E6B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管控要求</w:t>
                  </w:r>
                </w:p>
              </w:tc>
              <w:tc>
                <w:tcPr>
                  <w:tcW w:w="644" w:type="pct"/>
                  <w:noWrap w:val="0"/>
                  <w:vAlign w:val="center"/>
                </w:tcPr>
                <w:p w14:paraId="3E38902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相符性分析</w:t>
                  </w:r>
                </w:p>
              </w:tc>
            </w:tr>
            <w:tr w14:paraId="2E359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0" w:type="pct"/>
                  <w:noWrap w:val="0"/>
                  <w:vAlign w:val="center"/>
                </w:tcPr>
                <w:p w14:paraId="51E7462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1</w:t>
                  </w:r>
                </w:p>
              </w:tc>
              <w:tc>
                <w:tcPr>
                  <w:tcW w:w="411" w:type="pct"/>
                  <w:vMerge w:val="restart"/>
                  <w:noWrap w:val="0"/>
                  <w:vAlign w:val="center"/>
                </w:tcPr>
                <w:p w14:paraId="1606641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重点管控单元</w:t>
                  </w:r>
                </w:p>
              </w:tc>
              <w:tc>
                <w:tcPr>
                  <w:tcW w:w="634" w:type="pct"/>
                  <w:noWrap w:val="0"/>
                  <w:vAlign w:val="center"/>
                </w:tcPr>
                <w:p w14:paraId="7286604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空间布局约束</w:t>
                  </w:r>
                </w:p>
              </w:tc>
              <w:tc>
                <w:tcPr>
                  <w:tcW w:w="3049" w:type="pct"/>
                  <w:noWrap w:val="0"/>
                  <w:vAlign w:val="center"/>
                </w:tcPr>
                <w:p w14:paraId="01FF5A5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1严格城市规划蓝线管理，城市规划区范围内应保留一定比例的水域面积，现有水域面积不得减少。新建项目一律不得违规占用水域。</w:t>
                  </w:r>
                </w:p>
                <w:p w14:paraId="612A7E1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2落实磷石膏综合利用途径，综合利用不畅的可利用现有磷石膏库堆存，不得新建、扩建磷石膏库</w:t>
                  </w:r>
                  <w:r>
                    <w:rPr>
                      <w:rFonts w:hint="eastAsia"/>
                      <w:color w:val="auto"/>
                      <w:sz w:val="21"/>
                      <w:szCs w:val="21"/>
                      <w:vertAlign w:val="baseline"/>
                      <w:lang w:val="en-US" w:eastAsia="zh-CN"/>
                    </w:rPr>
                    <w:t>（</w:t>
                  </w:r>
                  <w:r>
                    <w:rPr>
                      <w:rFonts w:hint="default"/>
                      <w:color w:val="auto"/>
                      <w:sz w:val="21"/>
                      <w:szCs w:val="21"/>
                      <w:vertAlign w:val="baseline"/>
                      <w:lang w:val="en-US" w:eastAsia="zh-CN"/>
                    </w:rPr>
                    <w:t>暂存场除外</w:t>
                  </w:r>
                  <w:r>
                    <w:rPr>
                      <w:rFonts w:hint="eastAsia"/>
                      <w:color w:val="auto"/>
                      <w:sz w:val="21"/>
                      <w:szCs w:val="21"/>
                      <w:vertAlign w:val="baseline"/>
                      <w:lang w:val="en-US" w:eastAsia="zh-CN"/>
                    </w:rPr>
                    <w:t>）</w:t>
                  </w:r>
                  <w:r>
                    <w:rPr>
                      <w:rFonts w:hint="default"/>
                      <w:color w:val="auto"/>
                      <w:sz w:val="21"/>
                      <w:szCs w:val="21"/>
                      <w:vertAlign w:val="baseline"/>
                      <w:lang w:val="en-US" w:eastAsia="zh-CN"/>
                    </w:rPr>
                    <w:t>。</w:t>
                  </w:r>
                </w:p>
                <w:p w14:paraId="60CB5DD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3坚持以水定城、以水定地、以水定人、以水定产，严格控制缺水地区、水污染严重地区和敏感区域高耗水、高污染行业发展，鼓励推动高耗水企业向水资源条件允许的工业园区集中。</w:t>
                  </w:r>
                </w:p>
                <w:p w14:paraId="386D8C6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4引导石化、化工、钢铁、建材、有色金属等重点行业合理布局，提高化工、有色金属、农副食品加工、印染、制革、原料药制造、电镀等行业集聚水平。</w:t>
                  </w:r>
                </w:p>
                <w:p w14:paraId="3322D2D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5严格控制缺水地区、水污染严重地区和敏感区域高耗水、高污染行业发展，鼓励推动高耗水企业向水资源条件允许的工业园区集中。</w:t>
                  </w:r>
                </w:p>
                <w:p w14:paraId="7BABB80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6新建、扩建磷化工项目应布设在依法合规设立的化工园区或具有化工定位的产业园区内，所在化工园区或产业园区应依法开展规划环境影响评价工作，磷化工建设项目应符合园区规划及规划环评要求。</w:t>
                  </w:r>
                </w:p>
                <w:p w14:paraId="4E9608A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7持续开展涉水“散乱污”企业 清理整治，严把能耗、环保等标准，促使一批达不到标准或淘汰类产能的企业，依法依规关停退出。</w:t>
                  </w:r>
                </w:p>
                <w:p w14:paraId="74F6616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8推动污染企业退出。城市建成区内现有钢铁、有色金属、造纸、印染、原料药制造、化工等污染较重的企业应有序搬迁改造或依法关闭。</w:t>
                  </w:r>
                </w:p>
                <w:p w14:paraId="7F4F072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9严格水域岸线用途管制，土地开发利用应按照有关法律法规和技术标准要求，留足河道、湖泊的管理和保护范围，非法挤占的应限期退出。</w:t>
                  </w:r>
                </w:p>
                <w:p w14:paraId="4FDDE47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国家禁止新建不符合国家产业政策的小型造纸、制革、印染、染料、炼焦、炼硫、炼砷、炼汞、炼油、电镀、农药、石棉、水泥、玻璃、钢铁、火电以及其他严重污染水环境的生产项目。1查明河道两岸和水体周边所有排污口，对污水直排的排污口实施截污纳管，实现旱季污水不入河。严格实施排污许可和排水许可制度，加强入河排污口监督监测。加强对小餐</w:t>
                  </w:r>
                </w:p>
                <w:p w14:paraId="078FE2D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饮、理发店、洗车店等排污的执法管理，加大对乱排、偷排行为的整治和处罚力度。</w:t>
                  </w:r>
                </w:p>
                <w:p w14:paraId="5D04415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2城市建成区排放污水的工业企业应依法持有排污许可证，并严格按证排</w:t>
                  </w:r>
                </w:p>
                <w:p w14:paraId="592C47A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污。排入城镇水体的工业污水应符合相关行业标准及地方标准要求，严禁</w:t>
                  </w:r>
                </w:p>
                <w:p w14:paraId="612F05B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任何企业、单位超标和超总量排污，对超标或超总量的排污单位一律限制生产或停产整顿。</w:t>
                  </w:r>
                </w:p>
                <w:p w14:paraId="5B7B9E7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3科学确定城市河道疏浚范围和清淤深度，妥善处理底泥，严禁清淤底泥</w:t>
                  </w:r>
                </w:p>
                <w:p w14:paraId="3D9BE7C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沿岸随意堆放或作为水体治理工程回填土，防止二次污染。</w:t>
                  </w:r>
                </w:p>
                <w:p w14:paraId="7124AF0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4严肃执法监督，严格执行排污许可、排水许可制度，严禁生活污水和工</w:t>
                  </w:r>
                </w:p>
                <w:p w14:paraId="039D02E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业废水直排水体。严防道路冲洗污水、洗车冲洗污水、餐饮泔水、施工排</w:t>
                  </w:r>
                </w:p>
                <w:p w14:paraId="33D34E4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水等污水进入雨水口。</w:t>
                  </w:r>
                </w:p>
                <w:p w14:paraId="20C4C1F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5积极推行低影响开发建设模式，建设滞、渗、蓄、用、排相结合的雨水</w:t>
                  </w:r>
                </w:p>
                <w:p w14:paraId="6C8BEB5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收集利用设施，加快海绵城市建设。新建城区可渗透地面占总硬化地面面</w:t>
                  </w:r>
                </w:p>
                <w:p w14:paraId="4D1807D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积比例要达到40%以上。</w:t>
                  </w:r>
                </w:p>
                <w:p w14:paraId="60E01CE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加快对河道两岸违法建设的清理。对河道湖泊绿线范围内的岸线进行排查、清理，重点治理河湖水域岸线乱建、乱占行为。对硬质驳岸的非行洪河道、渠道，有计划实施生态修复与改造。禁止开发建设活动的要求</w:t>
                  </w:r>
                  <w:r>
                    <w:rPr>
                      <w:rFonts w:hint="eastAsia"/>
                      <w:color w:val="auto"/>
                      <w:sz w:val="21"/>
                      <w:szCs w:val="21"/>
                      <w:vertAlign w:val="baseline"/>
                      <w:lang w:val="en-US" w:eastAsia="zh-CN"/>
                    </w:rPr>
                    <w:t>：</w:t>
                  </w:r>
                </w:p>
                <w:p w14:paraId="001A50C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1在城市城区及其近郊禁止新建、扩建钢铁、有色、石化、水泥、化工等重污染企业。</w:t>
                  </w:r>
                </w:p>
                <w:p w14:paraId="5C7724A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2禁止新建燃料类煤气发生炉（园区现有企业统一建设的清洁煤制气中心除外）。</w:t>
                  </w:r>
                </w:p>
                <w:p w14:paraId="20FD956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3严禁新增钢铁、焦化、电解铝、铸造、水泥和平板玻璃等产能；严格执行钢铁、水泥、平板玻璃等行业产能置换实施办法。</w:t>
                  </w:r>
                </w:p>
                <w:p w14:paraId="296320C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4严格执行国家关于“两高”产业准入目录和产能总量控制政策措施。严禁新增钢铁、焦化、电解铝、铸造、水泥和平板玻璃等产能；新、改、扩建涉及大宗物料运输的建设项目，原则上不得采用公路运输。</w:t>
                  </w:r>
                </w:p>
                <w:p w14:paraId="48D72B8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7非电行业新建项目，禁止配套建设自备纯凝、抽凝燃煤电站。</w:t>
                  </w:r>
                </w:p>
                <w:p w14:paraId="6EFD6CC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8在城市建成区及居民区、医院、学校等环境敏感区域，严禁现场露天灰土拌合。</w:t>
                  </w:r>
                </w:p>
                <w:p w14:paraId="149AF7E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严格控制新增“两高”项目审批，认真分析评估拟建项目必要性、可行性和对产业高质量发展、能耗双控、碳排放和环境质量的影响，严格审查项目是否符合产业政策、产业规划、“三线一单”、规划环评要求，是否依法依规落实产能置换、能耗置换、煤炭消费减量替代、污染物排放区域削减等要求。对已建成投产的存量“两高”项目，有节能减排潜力的加快改造升级，属于落后产能的加快淘汰。</w:t>
                  </w:r>
                </w:p>
                <w:p w14:paraId="0AAA21C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10禁止建设生产和使用高挥发性有机物含量涂料、油墨、胶粘剂、清洗剂等项目。</w:t>
                  </w:r>
                </w:p>
                <w:p w14:paraId="0814DFD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11禁止新建不符合国家规定的燃煤发电机组、燃油发电机组和燃煤热电机组。</w:t>
                  </w:r>
                </w:p>
                <w:p w14:paraId="44169C5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12禁止新建、扩建分散燃煤供热锅炉。</w:t>
                  </w:r>
                </w:p>
                <w:p w14:paraId="083BB9E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13在城市规划区内禁止新建、扩建大气污染严重的建设项目。</w:t>
                  </w:r>
                </w:p>
                <w:p w14:paraId="25590AE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14禁止高灰分、高硫分煤炭进入市场。新建煤矿应当同步建设煤炭洗选设施，已建成的煤矿所采煤炭属于高灰分、高硫分的，应当在国家和省规定的期限内建成配套的煤炭洗选设施，使煤炭中的灰分、硫分达到规定的标准。15禁止在人口集中地区、机场周围、交通干线附近以及当地人民政府划定的区域露天焚烧秸秆、落叶、垃圾等产生烟尘污染的物质。</w:t>
                  </w:r>
                </w:p>
                <w:p w14:paraId="2A82401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16在燃气管网和集中供热管网覆盖的区域，不得新建、扩建、改建燃烧煤炭、重油、渣油的供热设施；原有分散的中小型燃煤供热锅炉应当限期拆除。</w:t>
                  </w:r>
                </w:p>
                <w:p w14:paraId="03EA01D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17禁止在居民住宅楼、未配套设立专用烟道的商住综合楼、商住综合楼内与居住层相邻的商业楼层内新建、改建、扩建产生油烟、异味、废气的饮食服务项目。</w:t>
                  </w:r>
                </w:p>
                <w:p w14:paraId="2BFBF2C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18任何单位和个人不得在政府划定的禁止露天烧烤区域内露天烧烤食品或者为露天烧烤食品提供场地。</w:t>
                  </w:r>
                </w:p>
                <w:p w14:paraId="4D75F2C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19在机关、学校、医院、居民住宅区等人口集中地区和其他依法需要特殊</w:t>
                  </w:r>
                </w:p>
                <w:p w14:paraId="4792A14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保护的区域内，禁止从事下列生产活动：</w:t>
                  </w:r>
                </w:p>
                <w:p w14:paraId="7B9E52C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（1）橡胶制品生产、经营性喷漆、制骨胶、制骨粉、屠宰、畜禽养殖、生物发酵等产生恶臭、有毒有害气体的生产经营活动；</w:t>
                  </w:r>
                </w:p>
                <w:p w14:paraId="34D6813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（2）露天焚烧油毡、沥青、橡胶、塑料、皮革、垃圾或者其他可能产生恶臭、有毒有害气体的活动。</w:t>
                  </w:r>
                </w:p>
                <w:p w14:paraId="6F467A3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20严禁钢铁、水泥、电解铝、平板玻璃等行业新增产能，对确有必要新建的必须实施等量或减量置换。</w:t>
                  </w:r>
                </w:p>
                <w:p w14:paraId="7371581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21禁止淘汰落后类的产业进入开发区。</w:t>
                  </w:r>
                </w:p>
                <w:p w14:paraId="56B722B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22从事餐饮服务业的经营活动，不得有下列行为：</w:t>
                  </w:r>
                </w:p>
                <w:p w14:paraId="4C16B50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一）未经处理直接排放、倾倒废弃油脂和含油废物；（二）在居民住宅楼、未配套设立专用烟道的商住综合楼以及商住综合楼内与居住层相邻的商业楼层内新建、改建、扩建产生油烟、异味、废气的餐饮服务项目；（三）在当地人民政府禁止的区域内露天烧烤食品或者为露天烧烤食品提供场所。限制开发建设活动的要求:</w:t>
                  </w:r>
                </w:p>
                <w:p w14:paraId="4B9AE07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23加大钢铁、铸造、炼焦、建材、电解铝等产能</w:t>
                  </w:r>
                </w:p>
                <w:p w14:paraId="77112FD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压减力度。</w:t>
                  </w:r>
                </w:p>
                <w:p w14:paraId="5A3FFA1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24严格资源节约和环保准入门槛，转入项目必须符合国家产业政策、资源节约和污染物排放强度要求，避免产业转移中的资源浪费和污染扩散。</w:t>
                  </w:r>
                </w:p>
                <w:p w14:paraId="5E59A45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25对污染治理不规范的露天矿山，依法责令停产整治，整治完成并经相关部门组织验收合格后方可恢复生产。</w:t>
                  </w:r>
                </w:p>
                <w:p w14:paraId="3EE44B5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26加大落后产能淘汰和过剩产能压减力度。严防“地条钢”死灰复燃。</w:t>
                  </w:r>
                </w:p>
                <w:p w14:paraId="71CFF6D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28重点区域钢铁、水泥、焦化、石化、化工、有色等行业，二氧化硫、氮氧化物、颗粒物、挥发性有机物（VOCs）排放全面执行大气污染物特别排放限值。</w:t>
                  </w:r>
                </w:p>
                <w:p w14:paraId="1501376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29加大工业涂装、包装印刷等行业低挥发性有机物含量原辅材料替代力度，严格执行涂料、油墨、胶粘剂、清洗剂挥发性有机物含量限值标准，确保生产、销售、进口、使用符合标准的产品。</w:t>
                  </w:r>
                </w:p>
                <w:p w14:paraId="25634A8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30严格合理控制煤炭消费增长，大气污染防治重点区域内新建、改扩建用煤项目严格实施煤炭消费等量或减量替代。</w:t>
                  </w:r>
                </w:p>
                <w:p w14:paraId="279D149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31推动钢铁行业碳达峰。严格执行产能置换，严禁新增产能，依法依规淘汰落后产能。</w:t>
                  </w:r>
                </w:p>
                <w:p w14:paraId="7D3B6E2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32优化产能规模和布局，引导化工企业向产业园区转移，提高集聚发展水平。不符合空间布局要求活动的退出要求:33加快城市建成区、重点流域的重污染企业和危险化学品企业搬迁改造，加快推进危险化学品生产企业搬迁改造工程。</w:t>
                  </w:r>
                </w:p>
                <w:p w14:paraId="24C2AAE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34对城区内已建重污染企业要结合产业结构调整实施搬迁改造。</w:t>
                  </w:r>
                </w:p>
                <w:p w14:paraId="0875E80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35城市规划区内已建的大气污染严重的建设项目应当搬迁、改造，城市建成区应当在规定的时间内完成重污染企业搬迁、改造或者关闭退出。</w:t>
                  </w:r>
                </w:p>
                <w:p w14:paraId="5D05794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36严格执行环境保护法律法规，对超过大气和水等污染物排放标准排污，以及超过重点污染物总量控制指标排污的企业，责令限制生产、停产整治等；情节严重的，报经有批准权的地方政府批准，责令停业、关闭。依法打击违反固体废物管理法律法规行为。</w:t>
                  </w:r>
                </w:p>
                <w:p w14:paraId="02CED2D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37加快区域产业调整。加快城市建成区重污染企业搬迁改造或关闭退出；城市钢铁企业要切实采取彻底关停、转型发展、就地改造、域外搬迁等方式，推动转型升级。加大现有化工园区整治力度。退城企业，逾期不退城的予以停产。</w:t>
                  </w:r>
                </w:p>
                <w:p w14:paraId="040BDCD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38对不服从整改的餐饮企业，责令停业整治。依法关闭市、县（区）人民政府禁止区域内的露天餐饮、烧烤摊点，推广无炭烧烤。</w:t>
                  </w:r>
                </w:p>
                <w:p w14:paraId="033507D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39对违反资源环境法律法规、规划，污染环境、破坏生态、乱采滥挖的露天矿山，依法予以关闭；对污染治理不规范的露天矿山，依法责令停产整治，对拒不停产或擅自恢复生产的依法强制关闭。</w:t>
                  </w:r>
                </w:p>
                <w:p w14:paraId="50913AF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40对热效率低下、敞开未封闭，装备简易落后、自动化程度低，无组织排放突出，以及无治理设施或治理设施工艺落后等严重污染环境的工业炉窑，依法责令停业关闭。</w:t>
                  </w:r>
                </w:p>
                <w:p w14:paraId="3C463DB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41对以煤、石油焦、渣油、重油等为燃料的工业炉窑，加快使用清洁低碳能源以及利用工厂余热、电厂热力等进行替代。重点区域禁止掺烧高硫石油焦（硫含量大于3%）。玻璃行业全面禁止掺烧高硫石油焦。</w:t>
                  </w:r>
                </w:p>
                <w:p w14:paraId="30D41E7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42重点区域取缔燃煤热风炉，基本淘汰热电联产供热管网覆盖范围内的燃煤加热、烘干炉（窑）。加快推动铸造（10吨/小时及以下）、岩棉等行业冲天炉改为电炉。</w:t>
                  </w:r>
                </w:p>
                <w:p w14:paraId="522F686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43严格执行水泥熟料、平板玻璃产能置换要求，实施水泥常态化错峰生产，有序退出低效产能。推进燃煤窑炉清洁能源替代，逐步淘汰钢铁企业煤气发生炉。</w:t>
                  </w:r>
                </w:p>
                <w:p w14:paraId="13ADA10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其他空间布局约束要求:44强化“散乱污”企业综合整治。全面开展“散乱污”企业及集群综合整治行动。根据产业政策、产业布局规划，以及土地、环保、质量、安全、能耗等要求，制定“散乱污”企业及集群整治标准。按照“先停后治”的原则，实施分类处置。</w:t>
                  </w:r>
                </w:p>
                <w:p w14:paraId="6462055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45企业应当全面推进清洁生产，优先采用能源和原材料利用效率高、污染物排放量少的清洁生产技术、工艺和设备，淘汰严重污染大气环境质量的 产品、落后工艺和落后设备，减少大气污染物的产生和排放。禁止开发建 设活动的要求：1 禁止在淮河流域新建化学制浆造纸企业和印染、制革、化工、电镀、酿造等污染严重的小型企业。 2</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在饮用水水源保护区内，禁止设置排污口。在风景名胜区水体、重要</w:t>
                  </w:r>
                  <w:r>
                    <w:rPr>
                      <w:rFonts w:hint="eastAsia"/>
                      <w:color w:val="auto"/>
                      <w:sz w:val="21"/>
                      <w:szCs w:val="21"/>
                      <w:vertAlign w:val="baseline"/>
                      <w:lang w:val="en-US" w:eastAsia="zh-CN"/>
                    </w:rPr>
                    <w:t>渔业</w:t>
                  </w:r>
                  <w:r>
                    <w:rPr>
                      <w:rFonts w:hint="default"/>
                      <w:color w:val="auto"/>
                      <w:sz w:val="21"/>
                      <w:szCs w:val="21"/>
                      <w:vertAlign w:val="baseline"/>
                      <w:lang w:val="en-US" w:eastAsia="zh-CN"/>
                    </w:rPr>
                    <w:t>水体和其他具有特殊经济文化价值的水体的保护区内，不得新建排污口。 3</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禁止下列行为：</w:t>
                  </w:r>
                  <w:r>
                    <w:rPr>
                      <w:rFonts w:hint="eastAsia"/>
                      <w:color w:val="auto"/>
                      <w:sz w:val="21"/>
                      <w:szCs w:val="21"/>
                      <w:vertAlign w:val="baseline"/>
                      <w:lang w:val="en-US" w:eastAsia="zh-CN"/>
                    </w:rPr>
                    <w:t>（</w:t>
                  </w:r>
                  <w:r>
                    <w:rPr>
                      <w:rFonts w:hint="default"/>
                      <w:color w:val="auto"/>
                      <w:sz w:val="21"/>
                      <w:szCs w:val="21"/>
                      <w:vertAlign w:val="baseline"/>
                      <w:lang w:val="en-US" w:eastAsia="zh-CN"/>
                    </w:rPr>
                    <w:t>一</w:t>
                  </w:r>
                  <w:r>
                    <w:rPr>
                      <w:rFonts w:hint="eastAsia"/>
                      <w:color w:val="auto"/>
                      <w:sz w:val="21"/>
                      <w:szCs w:val="21"/>
                      <w:vertAlign w:val="baseline"/>
                      <w:lang w:val="en-US" w:eastAsia="zh-CN"/>
                    </w:rPr>
                    <w:t>）</w:t>
                  </w:r>
                  <w:r>
                    <w:rPr>
                      <w:rFonts w:hint="default"/>
                      <w:color w:val="auto"/>
                      <w:sz w:val="21"/>
                      <w:szCs w:val="21"/>
                      <w:vertAlign w:val="baseline"/>
                      <w:lang w:val="en-US" w:eastAsia="zh-CN"/>
                    </w:rPr>
                    <w:t>向水体排放或者倾倒油类、酸液、碱液和其他有毒 有害液体；</w:t>
                  </w:r>
                  <w:r>
                    <w:rPr>
                      <w:rFonts w:hint="eastAsia"/>
                      <w:color w:val="auto"/>
                      <w:sz w:val="21"/>
                      <w:szCs w:val="21"/>
                      <w:vertAlign w:val="baseline"/>
                      <w:lang w:val="en-US" w:eastAsia="zh-CN"/>
                    </w:rPr>
                    <w:t>（</w:t>
                  </w:r>
                  <w:r>
                    <w:rPr>
                      <w:rFonts w:hint="default"/>
                      <w:color w:val="auto"/>
                      <w:sz w:val="21"/>
                      <w:szCs w:val="21"/>
                      <w:vertAlign w:val="baseline"/>
                      <w:lang w:val="en-US" w:eastAsia="zh-CN"/>
                    </w:rPr>
                    <w:t>二</w:t>
                  </w:r>
                  <w:r>
                    <w:rPr>
                      <w:rFonts w:hint="eastAsia"/>
                      <w:color w:val="auto"/>
                      <w:sz w:val="21"/>
                      <w:szCs w:val="21"/>
                      <w:vertAlign w:val="baseline"/>
                      <w:lang w:val="en-US" w:eastAsia="zh-CN"/>
                    </w:rPr>
                    <w:t>）</w:t>
                  </w:r>
                  <w:r>
                    <w:rPr>
                      <w:rFonts w:hint="default"/>
                      <w:color w:val="auto"/>
                      <w:sz w:val="21"/>
                      <w:szCs w:val="21"/>
                      <w:vertAlign w:val="baseline"/>
                      <w:lang w:val="en-US" w:eastAsia="zh-CN"/>
                    </w:rPr>
                    <w:t>在水体中清洗装贮过有毒有害污染物的车辆、船舶和容器 ；</w:t>
                  </w:r>
                  <w:r>
                    <w:rPr>
                      <w:rFonts w:hint="eastAsia"/>
                      <w:color w:val="auto"/>
                      <w:sz w:val="21"/>
                      <w:szCs w:val="21"/>
                      <w:vertAlign w:val="baseline"/>
                      <w:lang w:val="en-US" w:eastAsia="zh-CN"/>
                    </w:rPr>
                    <w:t>（</w:t>
                  </w:r>
                  <w:r>
                    <w:rPr>
                      <w:rFonts w:hint="default"/>
                      <w:color w:val="auto"/>
                      <w:sz w:val="21"/>
                      <w:szCs w:val="21"/>
                      <w:vertAlign w:val="baseline"/>
                      <w:lang w:val="en-US" w:eastAsia="zh-CN"/>
                    </w:rPr>
                    <w:t>三</w:t>
                  </w:r>
                  <w:r>
                    <w:rPr>
                      <w:rFonts w:hint="eastAsia"/>
                      <w:color w:val="auto"/>
                      <w:sz w:val="21"/>
                      <w:szCs w:val="21"/>
                      <w:vertAlign w:val="baseline"/>
                      <w:lang w:val="en-US" w:eastAsia="zh-CN"/>
                    </w:rPr>
                    <w:t>）</w:t>
                  </w:r>
                  <w:r>
                    <w:rPr>
                      <w:rFonts w:hint="default"/>
                      <w:color w:val="auto"/>
                      <w:sz w:val="21"/>
                      <w:szCs w:val="21"/>
                      <w:vertAlign w:val="baseline"/>
                      <w:lang w:val="en-US" w:eastAsia="zh-CN"/>
                    </w:rPr>
                    <w:t>向水体排放、倾倒含有汞、镉、砷、铬、铅、氰化物、黄磷等可溶 性剧毒废液或者将上述物质直接埋入地下；</w:t>
                  </w:r>
                  <w:r>
                    <w:rPr>
                      <w:rFonts w:hint="eastAsia"/>
                      <w:color w:val="auto"/>
                      <w:sz w:val="21"/>
                      <w:szCs w:val="21"/>
                      <w:vertAlign w:val="baseline"/>
                      <w:lang w:val="en-US" w:eastAsia="zh-CN"/>
                    </w:rPr>
                    <w:t>（</w:t>
                  </w:r>
                  <w:r>
                    <w:rPr>
                      <w:rFonts w:hint="default"/>
                      <w:color w:val="auto"/>
                      <w:sz w:val="21"/>
                      <w:szCs w:val="21"/>
                      <w:vertAlign w:val="baseline"/>
                      <w:lang w:val="en-US" w:eastAsia="zh-CN"/>
                    </w:rPr>
                    <w:t>四</w:t>
                  </w:r>
                  <w:r>
                    <w:rPr>
                      <w:rFonts w:hint="eastAsia"/>
                      <w:color w:val="auto"/>
                      <w:sz w:val="21"/>
                      <w:szCs w:val="21"/>
                      <w:vertAlign w:val="baseline"/>
                      <w:lang w:val="en-US" w:eastAsia="zh-CN"/>
                    </w:rPr>
                    <w:t>）</w:t>
                  </w:r>
                  <w:r>
                    <w:rPr>
                      <w:rFonts w:hint="default"/>
                      <w:color w:val="auto"/>
                      <w:sz w:val="21"/>
                      <w:szCs w:val="21"/>
                      <w:vertAlign w:val="baseline"/>
                      <w:lang w:val="en-US" w:eastAsia="zh-CN"/>
                    </w:rPr>
                    <w:t>向水体排放、倾倒工业废 渣、城镇垃圾和其他废弃物；</w:t>
                  </w:r>
                  <w:r>
                    <w:rPr>
                      <w:rFonts w:hint="eastAsia"/>
                      <w:color w:val="auto"/>
                      <w:sz w:val="21"/>
                      <w:szCs w:val="21"/>
                      <w:vertAlign w:val="baseline"/>
                      <w:lang w:val="en-US" w:eastAsia="zh-CN"/>
                    </w:rPr>
                    <w:t>（</w:t>
                  </w:r>
                  <w:r>
                    <w:rPr>
                      <w:rFonts w:hint="default"/>
                      <w:color w:val="auto"/>
                      <w:sz w:val="21"/>
                      <w:szCs w:val="21"/>
                      <w:vertAlign w:val="baseline"/>
                      <w:lang w:val="en-US" w:eastAsia="zh-CN"/>
                    </w:rPr>
                    <w:t>五</w:t>
                  </w:r>
                  <w:r>
                    <w:rPr>
                      <w:rFonts w:hint="eastAsia"/>
                      <w:color w:val="auto"/>
                      <w:sz w:val="21"/>
                      <w:szCs w:val="21"/>
                      <w:vertAlign w:val="baseline"/>
                      <w:lang w:val="en-US" w:eastAsia="zh-CN"/>
                    </w:rPr>
                    <w:t>）</w:t>
                  </w:r>
                  <w:r>
                    <w:rPr>
                      <w:rFonts w:hint="default"/>
                      <w:color w:val="auto"/>
                      <w:sz w:val="21"/>
                      <w:szCs w:val="21"/>
                      <w:vertAlign w:val="baseline"/>
                      <w:lang w:val="en-US" w:eastAsia="zh-CN"/>
                    </w:rPr>
                    <w:t>向水体排放、倾倒放射性固体废弃物或 者放射性废水；</w:t>
                  </w:r>
                  <w:r>
                    <w:rPr>
                      <w:rFonts w:hint="eastAsia"/>
                      <w:color w:val="auto"/>
                      <w:sz w:val="21"/>
                      <w:szCs w:val="21"/>
                      <w:vertAlign w:val="baseline"/>
                      <w:lang w:val="en-US" w:eastAsia="zh-CN"/>
                    </w:rPr>
                    <w:t>（</w:t>
                  </w:r>
                  <w:r>
                    <w:rPr>
                      <w:rFonts w:hint="default"/>
                      <w:color w:val="auto"/>
                      <w:sz w:val="21"/>
                      <w:szCs w:val="21"/>
                      <w:vertAlign w:val="baseline"/>
                      <w:lang w:val="en-US" w:eastAsia="zh-CN"/>
                    </w:rPr>
                    <w:t>六</w:t>
                  </w:r>
                  <w:r>
                    <w:rPr>
                      <w:rFonts w:hint="eastAsia"/>
                      <w:color w:val="auto"/>
                      <w:sz w:val="21"/>
                      <w:szCs w:val="21"/>
                      <w:vertAlign w:val="baseline"/>
                      <w:lang w:val="en-US" w:eastAsia="zh-CN"/>
                    </w:rPr>
                    <w:t>）</w:t>
                  </w:r>
                  <w:r>
                    <w:rPr>
                      <w:rFonts w:hint="default"/>
                      <w:color w:val="auto"/>
                      <w:sz w:val="21"/>
                      <w:szCs w:val="21"/>
                      <w:vertAlign w:val="baseline"/>
                      <w:lang w:val="en-US" w:eastAsia="zh-CN"/>
                    </w:rPr>
                    <w:t>利用渗井、渗坑、裂隙、溶洞、塌陷区和废弃矿坑排 放、倾倒，或者利用无防渗措施的沟渠、坑塘输送或者存贮含毒污染物或 者病原体的废水和其他废弃物；</w:t>
                  </w:r>
                  <w:r>
                    <w:rPr>
                      <w:rFonts w:hint="eastAsia"/>
                      <w:color w:val="auto"/>
                      <w:sz w:val="21"/>
                      <w:szCs w:val="21"/>
                      <w:vertAlign w:val="baseline"/>
                      <w:lang w:val="en-US" w:eastAsia="zh-CN"/>
                    </w:rPr>
                    <w:t>（</w:t>
                  </w:r>
                  <w:r>
                    <w:rPr>
                      <w:rFonts w:hint="default"/>
                      <w:color w:val="auto"/>
                      <w:sz w:val="21"/>
                      <w:szCs w:val="21"/>
                      <w:vertAlign w:val="baseline"/>
                      <w:lang w:val="en-US" w:eastAsia="zh-CN"/>
                    </w:rPr>
                    <w:t>七</w:t>
                  </w:r>
                  <w:r>
                    <w:rPr>
                      <w:rFonts w:hint="eastAsia"/>
                      <w:color w:val="auto"/>
                      <w:sz w:val="21"/>
                      <w:szCs w:val="21"/>
                      <w:vertAlign w:val="baseline"/>
                      <w:lang w:val="en-US" w:eastAsia="zh-CN"/>
                    </w:rPr>
                    <w:t>）</w:t>
                  </w:r>
                  <w:r>
                    <w:rPr>
                      <w:rFonts w:hint="default"/>
                      <w:color w:val="auto"/>
                      <w:sz w:val="21"/>
                      <w:szCs w:val="21"/>
                      <w:vertAlign w:val="baseline"/>
                      <w:lang w:val="en-US" w:eastAsia="zh-CN"/>
                    </w:rPr>
                    <w:t>在河流、湖泊、运河、渠道、水库最 高水位线以下的滩地和岸坡堆放、贮存固体废弃物和其他污染物；</w:t>
                  </w:r>
                  <w:r>
                    <w:rPr>
                      <w:rFonts w:hint="eastAsia"/>
                      <w:color w:val="auto"/>
                      <w:sz w:val="21"/>
                      <w:szCs w:val="21"/>
                      <w:vertAlign w:val="baseline"/>
                      <w:lang w:val="en-US" w:eastAsia="zh-CN"/>
                    </w:rPr>
                    <w:t>（</w:t>
                  </w:r>
                  <w:r>
                    <w:rPr>
                      <w:rFonts w:hint="default"/>
                      <w:color w:val="auto"/>
                      <w:sz w:val="21"/>
                      <w:szCs w:val="21"/>
                      <w:vertAlign w:val="baseline"/>
                      <w:lang w:val="en-US" w:eastAsia="zh-CN"/>
                    </w:rPr>
                    <w:t>八</w:t>
                  </w:r>
                  <w:r>
                    <w:rPr>
                      <w:rFonts w:hint="eastAsia"/>
                      <w:color w:val="auto"/>
                      <w:sz w:val="21"/>
                      <w:szCs w:val="21"/>
                      <w:vertAlign w:val="baseline"/>
                      <w:lang w:val="en-US" w:eastAsia="zh-CN"/>
                    </w:rPr>
                    <w:t>）</w:t>
                  </w:r>
                  <w:r>
                    <w:rPr>
                      <w:rFonts w:hint="default"/>
                      <w:color w:val="auto"/>
                      <w:sz w:val="21"/>
                      <w:szCs w:val="21"/>
                      <w:vertAlign w:val="baseline"/>
                      <w:lang w:val="en-US" w:eastAsia="zh-CN"/>
                    </w:rPr>
                    <w:t>围 湖和其他破坏水环境生态平衡的活动；</w:t>
                  </w:r>
                  <w:r>
                    <w:rPr>
                      <w:rFonts w:hint="eastAsia"/>
                      <w:color w:val="auto"/>
                      <w:sz w:val="21"/>
                      <w:szCs w:val="21"/>
                      <w:vertAlign w:val="baseline"/>
                      <w:lang w:val="en-US" w:eastAsia="zh-CN"/>
                    </w:rPr>
                    <w:t>（</w:t>
                  </w:r>
                  <w:r>
                    <w:rPr>
                      <w:rFonts w:hint="default"/>
                      <w:color w:val="auto"/>
                      <w:sz w:val="21"/>
                      <w:szCs w:val="21"/>
                      <w:vertAlign w:val="baseline"/>
                      <w:lang w:val="en-US" w:eastAsia="zh-CN"/>
                    </w:rPr>
                    <w:t>九</w:t>
                  </w:r>
                  <w:r>
                    <w:rPr>
                      <w:rFonts w:hint="eastAsia"/>
                      <w:color w:val="auto"/>
                      <w:sz w:val="21"/>
                      <w:szCs w:val="21"/>
                      <w:vertAlign w:val="baseline"/>
                      <w:lang w:val="en-US" w:eastAsia="zh-CN"/>
                    </w:rPr>
                    <w:t>）</w:t>
                  </w:r>
                  <w:r>
                    <w:rPr>
                      <w:rFonts w:hint="default"/>
                      <w:color w:val="auto"/>
                      <w:sz w:val="21"/>
                      <w:szCs w:val="21"/>
                      <w:vertAlign w:val="baseline"/>
                      <w:lang w:val="en-US" w:eastAsia="zh-CN"/>
                    </w:rPr>
                    <w:t>引进不符合国家环境保护规定 要求的技术和设备；</w:t>
                  </w:r>
                  <w:r>
                    <w:rPr>
                      <w:rFonts w:hint="eastAsia"/>
                      <w:color w:val="auto"/>
                      <w:sz w:val="21"/>
                      <w:szCs w:val="21"/>
                      <w:vertAlign w:val="baseline"/>
                      <w:lang w:val="en-US" w:eastAsia="zh-CN"/>
                    </w:rPr>
                    <w:t>（</w:t>
                  </w:r>
                  <w:r>
                    <w:rPr>
                      <w:rFonts w:hint="default"/>
                      <w:color w:val="auto"/>
                      <w:sz w:val="21"/>
                      <w:szCs w:val="21"/>
                      <w:vertAlign w:val="baseline"/>
                      <w:lang w:val="en-US" w:eastAsia="zh-CN"/>
                    </w:rPr>
                    <w:t>十</w:t>
                  </w:r>
                  <w:r>
                    <w:rPr>
                      <w:rFonts w:hint="eastAsia"/>
                      <w:color w:val="auto"/>
                      <w:sz w:val="21"/>
                      <w:szCs w:val="21"/>
                      <w:vertAlign w:val="baseline"/>
                      <w:lang w:val="en-US" w:eastAsia="zh-CN"/>
                    </w:rPr>
                    <w:t>）法律法规</w:t>
                  </w:r>
                  <w:r>
                    <w:rPr>
                      <w:rFonts w:hint="default"/>
                      <w:color w:val="auto"/>
                      <w:sz w:val="21"/>
                      <w:szCs w:val="21"/>
                      <w:vertAlign w:val="baseline"/>
                      <w:lang w:val="en-US" w:eastAsia="zh-CN"/>
                    </w:rPr>
                    <w:t>禁止的其他行为。 4</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在淮河水域航行的船舶，应当遵守国家和省有关内河的船舶污染物排放标准，禁止向水体排放残油、废油、不符合规定的船舶压载水和倾倒船舶垃圾。 5</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全面停止天然林商业性采伐。 6</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坚持节约优先、保护优先、自然恢复为主的方针，依法有序推进新建</w:t>
                  </w:r>
                  <w:r>
                    <w:rPr>
                      <w:rFonts w:hint="eastAsia"/>
                      <w:color w:val="auto"/>
                      <w:sz w:val="21"/>
                      <w:szCs w:val="21"/>
                      <w:vertAlign w:val="baseline"/>
                      <w:lang w:val="en-US" w:eastAsia="zh-CN"/>
                    </w:rPr>
                    <w:t>露天矿山</w:t>
                  </w:r>
                  <w:r>
                    <w:rPr>
                      <w:rFonts w:hint="default"/>
                      <w:color w:val="auto"/>
                      <w:sz w:val="21"/>
                      <w:szCs w:val="21"/>
                      <w:vertAlign w:val="baseline"/>
                      <w:lang w:val="en-US" w:eastAsia="zh-CN"/>
                    </w:rPr>
                    <w:t>开采，严禁在自然保护区、风景名胜区、地质公园等禁止开采区域内新设矿权。 7</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坚持</w:t>
                  </w:r>
                  <w:r>
                    <w:rPr>
                      <w:rFonts w:hint="eastAsia"/>
                      <w:color w:val="auto"/>
                      <w:sz w:val="21"/>
                      <w:szCs w:val="21"/>
                      <w:vertAlign w:val="baseline"/>
                      <w:lang w:val="en-US" w:eastAsia="zh-CN"/>
                    </w:rPr>
                    <w:t>水资源、水生态、水环境、水灾害</w:t>
                  </w:r>
                  <w:r>
                    <w:rPr>
                      <w:rFonts w:hint="default"/>
                      <w:color w:val="auto"/>
                      <w:sz w:val="21"/>
                      <w:szCs w:val="21"/>
                      <w:vertAlign w:val="baseline"/>
                      <w:lang w:val="en-US" w:eastAsia="zh-CN"/>
                    </w:rPr>
                    <w:t>统筹治理，严格落实水产种质资源</w:t>
                  </w:r>
                  <w:r>
                    <w:rPr>
                      <w:rFonts w:hint="eastAsia"/>
                      <w:color w:val="auto"/>
                      <w:sz w:val="21"/>
                      <w:szCs w:val="21"/>
                      <w:vertAlign w:val="baseline"/>
                      <w:lang w:val="en-US" w:eastAsia="zh-CN"/>
                    </w:rPr>
                    <w:t>保护区</w:t>
                  </w:r>
                  <w:r>
                    <w:rPr>
                      <w:rFonts w:hint="default"/>
                      <w:color w:val="auto"/>
                      <w:sz w:val="21"/>
                      <w:szCs w:val="21"/>
                      <w:vertAlign w:val="baseline"/>
                      <w:lang w:val="en-US" w:eastAsia="zh-CN"/>
                    </w:rPr>
                    <w:t>和自然保护区全面禁捕措施。 限制开发建设活动的要求：8</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严格限制在淮河流域新建印染、制革、化工、电镀、酿造等大中型项目或者其他污染严重的项目</w:t>
                  </w:r>
                  <w:r>
                    <w:rPr>
                      <w:rFonts w:hint="eastAsia"/>
                      <w:color w:val="auto"/>
                      <w:sz w:val="21"/>
                      <w:szCs w:val="21"/>
                      <w:vertAlign w:val="baseline"/>
                      <w:lang w:val="en-US" w:eastAsia="zh-CN"/>
                    </w:rPr>
                    <w:t>。</w:t>
                  </w:r>
                  <w:r>
                    <w:rPr>
                      <w:rFonts w:hint="default"/>
                      <w:color w:val="auto"/>
                      <w:sz w:val="21"/>
                      <w:szCs w:val="21"/>
                      <w:vertAlign w:val="baseline"/>
                      <w:lang w:val="en-US" w:eastAsia="zh-CN"/>
                    </w:rPr>
                    <w:t>建设该类</w:t>
                  </w:r>
                  <w:r>
                    <w:rPr>
                      <w:rFonts w:hint="eastAsia"/>
                      <w:color w:val="auto"/>
                      <w:sz w:val="21"/>
                      <w:szCs w:val="21"/>
                      <w:vertAlign w:val="baseline"/>
                      <w:lang w:val="en-US" w:eastAsia="zh-CN"/>
                    </w:rPr>
                    <w:t>项目</w:t>
                  </w:r>
                  <w:r>
                    <w:rPr>
                      <w:rFonts w:hint="default"/>
                      <w:color w:val="auto"/>
                      <w:sz w:val="21"/>
                      <w:szCs w:val="21"/>
                      <w:vertAlign w:val="baseline"/>
                      <w:lang w:val="en-US" w:eastAsia="zh-CN"/>
                    </w:rPr>
                    <w:t>，应当事前征得省人民政府生态环境行政主管部门的同意，并按照规定</w:t>
                  </w:r>
                  <w:r>
                    <w:rPr>
                      <w:rFonts w:hint="eastAsia"/>
                      <w:color w:val="auto"/>
                      <w:sz w:val="21"/>
                      <w:szCs w:val="21"/>
                      <w:vertAlign w:val="baseline"/>
                      <w:lang w:val="en-US" w:eastAsia="zh-CN"/>
                    </w:rPr>
                    <w:t>办理</w:t>
                  </w:r>
                  <w:r>
                    <w:rPr>
                      <w:rFonts w:hint="default"/>
                      <w:color w:val="auto"/>
                      <w:sz w:val="21"/>
                      <w:szCs w:val="21"/>
                      <w:vertAlign w:val="baseline"/>
                      <w:lang w:val="en-US" w:eastAsia="zh-CN"/>
                    </w:rPr>
                    <w:t>有关手续。 9</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新建、改建、扩建直接或者间接向水体排放污染物的建设项目和其他</w:t>
                  </w:r>
                  <w:r>
                    <w:rPr>
                      <w:rFonts w:hint="eastAsia"/>
                      <w:color w:val="auto"/>
                      <w:sz w:val="21"/>
                      <w:szCs w:val="21"/>
                      <w:vertAlign w:val="baseline"/>
                      <w:lang w:val="en-US" w:eastAsia="zh-CN"/>
                    </w:rPr>
                    <w:t>水上</w:t>
                  </w:r>
                  <w:r>
                    <w:rPr>
                      <w:rFonts w:hint="default"/>
                      <w:color w:val="auto"/>
                      <w:sz w:val="21"/>
                      <w:szCs w:val="21"/>
                      <w:vertAlign w:val="baseline"/>
                      <w:lang w:val="en-US" w:eastAsia="zh-CN"/>
                    </w:rPr>
                    <w:t>设施，应当依法进行环境影响评价。建设项目的水污染防治设施，应当符合经批准或者备案的环境影响评价文件的要求，并与主体工程同时设计、同时施工、同时投入使用。新建、扩建、改建项目，除执行前款规定外 ，还应当遵守下列规定：（一）新建项目的选址应符合城市总体规划，避 开饮用水水源地和对环境有特殊要求的功能区；（二）采用资源利用率高 、污染物排放量少的先进设备和先进工艺；（三）改建、扩建项目和技改 项目应当把水污染治理纳入项目内容。工程配套建设的水污染防治设施竣 工后，建设单位应当按照国务院生态环境行政主管部门规定的标准和程序进行验收。验收合格后，方可投入使用；未经验收或者验收不合格的，不 得投入生产或者使用。 10</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在保护区附近新建排污口，应当保证保护区水体不受污染。 11</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严格环境准入，在水污染防治重点控制单元的区域内，限制新建耗水量大、废水排放量大的项目和单纯扩大产能的项目。严格控制缺水地区、</w:t>
                  </w:r>
                  <w:r>
                    <w:rPr>
                      <w:rFonts w:hint="eastAsia"/>
                      <w:color w:val="auto"/>
                      <w:sz w:val="21"/>
                      <w:szCs w:val="21"/>
                      <w:vertAlign w:val="baseline"/>
                      <w:lang w:val="en-US" w:eastAsia="zh-CN"/>
                    </w:rPr>
                    <w:t>水污染</w:t>
                  </w:r>
                  <w:r>
                    <w:rPr>
                      <w:rFonts w:hint="default"/>
                      <w:color w:val="auto"/>
                      <w:sz w:val="21"/>
                      <w:szCs w:val="21"/>
                      <w:vertAlign w:val="baseline"/>
                      <w:lang w:val="en-US" w:eastAsia="zh-CN"/>
                    </w:rPr>
                    <w:t>严重地区和敏感区域高耗水、高污染行业发展。 12</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严格管控重污染耕地，划定农产品禁止生产区，加强对严格管控类耕地的用途管理。实施建设用地准入管理，城市控制性详细规划涉及疑似污染地块或污染地块的，应根据规划用途明确其土壤环境质量要求并作为规划许可条件。 13</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完善规模畜禽养殖场污染治理设施，科学划定畜禽养殖禁养区、限养区，实行适度规模养殖。 不符合空间布局要求活动的退出要求：14</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加强重金属污染源头控制和</w:t>
                  </w:r>
                  <w:r>
                    <w:rPr>
                      <w:rFonts w:hint="eastAsia"/>
                      <w:color w:val="auto"/>
                      <w:sz w:val="21"/>
                      <w:szCs w:val="21"/>
                      <w:vertAlign w:val="baseline"/>
                      <w:lang w:val="en-US" w:eastAsia="zh-CN"/>
                    </w:rPr>
                    <w:t>重金属</w:t>
                  </w:r>
                  <w:r>
                    <w:rPr>
                      <w:rFonts w:hint="default"/>
                      <w:color w:val="auto"/>
                      <w:sz w:val="21"/>
                      <w:szCs w:val="21"/>
                      <w:vertAlign w:val="baseline"/>
                      <w:lang w:val="en-US" w:eastAsia="zh-CN"/>
                    </w:rPr>
                    <w:t>重点防控区域治理，对重要粮食生产区域周边的工矿企业实施重金属</w:t>
                  </w:r>
                  <w:r>
                    <w:rPr>
                      <w:rFonts w:hint="eastAsia"/>
                      <w:color w:val="auto"/>
                      <w:sz w:val="21"/>
                      <w:szCs w:val="21"/>
                      <w:vertAlign w:val="baseline"/>
                      <w:lang w:val="en-US" w:eastAsia="zh-CN"/>
                    </w:rPr>
                    <w:t>排放</w:t>
                  </w:r>
                  <w:r>
                    <w:rPr>
                      <w:rFonts w:hint="default"/>
                      <w:color w:val="auto"/>
                      <w:sz w:val="21"/>
                      <w:szCs w:val="21"/>
                      <w:vertAlign w:val="baseline"/>
                      <w:lang w:val="en-US" w:eastAsia="zh-CN"/>
                    </w:rPr>
                    <w:t>总量控制，对达不到环保要求的企业要限期升级改造或依法关闭、搬迁。 15</w:t>
                  </w:r>
                  <w:r>
                    <w:rPr>
                      <w:rFonts w:hint="eastAsia"/>
                      <w:color w:val="auto"/>
                      <w:sz w:val="21"/>
                      <w:szCs w:val="21"/>
                      <w:vertAlign w:val="baseline"/>
                      <w:lang w:val="en-US" w:eastAsia="zh-CN"/>
                    </w:rPr>
                    <w:t xml:space="preserve">. </w:t>
                  </w:r>
                  <w:r>
                    <w:rPr>
                      <w:rFonts w:hint="default"/>
                      <w:color w:val="auto"/>
                      <w:sz w:val="21"/>
                      <w:szCs w:val="21"/>
                      <w:vertAlign w:val="baseline"/>
                      <w:lang w:val="en-US" w:eastAsia="zh-CN"/>
                    </w:rPr>
                    <w:t>依法开展环境影响评价工作，严格落实生态环境损害责任追究问责制度，对不符合要求占用的岸线、河段、土地和布局的产业，必须无条件退出。 其他空间布局约束要求</w:t>
                  </w:r>
                  <w:r>
                    <w:rPr>
                      <w:rFonts w:hint="eastAsia"/>
                      <w:color w:val="auto"/>
                      <w:sz w:val="21"/>
                      <w:szCs w:val="21"/>
                      <w:vertAlign w:val="baseline"/>
                      <w:lang w:val="en-US" w:eastAsia="zh-CN"/>
                    </w:rPr>
                    <w:t xml:space="preserve">：16. </w:t>
                  </w:r>
                  <w:r>
                    <w:rPr>
                      <w:rFonts w:hint="default"/>
                      <w:color w:val="auto"/>
                      <w:sz w:val="21"/>
                      <w:szCs w:val="21"/>
                      <w:vertAlign w:val="baseline"/>
                      <w:lang w:val="en-US" w:eastAsia="zh-CN"/>
                    </w:rPr>
                    <w:t>推进农业水价综合改革，推广节水灌溉</w:t>
                  </w:r>
                  <w:r>
                    <w:rPr>
                      <w:rFonts w:hint="eastAsia"/>
                      <w:color w:val="auto"/>
                      <w:sz w:val="21"/>
                      <w:szCs w:val="21"/>
                      <w:vertAlign w:val="baseline"/>
                      <w:lang w:val="en-US" w:eastAsia="zh-CN"/>
                    </w:rPr>
                    <w:t>水肥一体化</w:t>
                  </w:r>
                  <w:r>
                    <w:rPr>
                      <w:rFonts w:hint="default"/>
                      <w:color w:val="auto"/>
                      <w:sz w:val="21"/>
                      <w:szCs w:val="21"/>
                      <w:vertAlign w:val="baseline"/>
                      <w:lang w:val="en-US" w:eastAsia="zh-CN"/>
                    </w:rPr>
                    <w:t>技术，提高农业灌溉水利用效率。在缺水地区试行退地减水，有序调整 种植业结构与布局。加快产业升级，降低单位工业增加值用水量，大力开 展节水型载体建设。提高城镇水资源重复利用率，促进再生水利用。1</w:t>
                  </w:r>
                  <w:r>
                    <w:rPr>
                      <w:rFonts w:hint="eastAsia"/>
                      <w:color w:val="auto"/>
                      <w:sz w:val="21"/>
                      <w:szCs w:val="21"/>
                      <w:vertAlign w:val="baseline"/>
                      <w:lang w:val="en-US" w:eastAsia="zh-CN"/>
                    </w:rPr>
                    <w:t>.</w:t>
                  </w:r>
                  <w:r>
                    <w:rPr>
                      <w:rFonts w:hint="default"/>
                      <w:color w:val="auto"/>
                      <w:sz w:val="21"/>
                      <w:szCs w:val="21"/>
                      <w:vertAlign w:val="baseline"/>
                      <w:lang w:val="en-US" w:eastAsia="zh-CN"/>
                    </w:rPr>
                    <w:t xml:space="preserve"> </w:t>
                  </w:r>
                  <w:r>
                    <w:rPr>
                      <w:rFonts w:hint="eastAsia"/>
                      <w:color w:val="auto"/>
                      <w:sz w:val="21"/>
                      <w:szCs w:val="21"/>
                      <w:vertAlign w:val="baseline"/>
                      <w:lang w:val="en-US" w:eastAsia="zh-CN"/>
                    </w:rPr>
                    <w:t>禁止</w:t>
                  </w:r>
                  <w:r>
                    <w:rPr>
                      <w:rFonts w:hint="default"/>
                      <w:color w:val="auto"/>
                      <w:sz w:val="21"/>
                      <w:szCs w:val="21"/>
                      <w:vertAlign w:val="baseline"/>
                      <w:lang w:val="en-US" w:eastAsia="zh-CN"/>
                    </w:rPr>
                    <w:t>新建化工园区，加大现有化工园区整治力度，加快城市建成区和重点</w:t>
                  </w:r>
                  <w:r>
                    <w:rPr>
                      <w:rFonts w:hint="eastAsia"/>
                      <w:color w:val="auto"/>
                      <w:sz w:val="21"/>
                      <w:szCs w:val="21"/>
                      <w:vertAlign w:val="baseline"/>
                      <w:lang w:val="en-US" w:eastAsia="zh-CN"/>
                    </w:rPr>
                    <w:t>流域</w:t>
                  </w:r>
                  <w:r>
                    <w:rPr>
                      <w:rFonts w:hint="default"/>
                      <w:color w:val="auto"/>
                      <w:sz w:val="21"/>
                      <w:szCs w:val="21"/>
                      <w:vertAlign w:val="baseline"/>
                      <w:lang w:val="en-US" w:eastAsia="zh-CN"/>
                    </w:rPr>
                    <w:t>等环境敏感区的重污染企业和危险化学品企业搬迁改造</w:t>
                  </w:r>
                  <w:r>
                    <w:rPr>
                      <w:rFonts w:hint="eastAsia"/>
                      <w:color w:val="auto"/>
                      <w:sz w:val="21"/>
                      <w:szCs w:val="21"/>
                      <w:vertAlign w:val="baseline"/>
                      <w:lang w:val="en-US" w:eastAsia="zh-CN"/>
                    </w:rPr>
                    <w:t>。</w:t>
                  </w:r>
                  <w:r>
                    <w:rPr>
                      <w:rFonts w:hint="default"/>
                      <w:color w:val="auto"/>
                      <w:sz w:val="21"/>
                      <w:szCs w:val="21"/>
                      <w:vertAlign w:val="baseline"/>
                      <w:lang w:val="en-US" w:eastAsia="zh-CN"/>
                    </w:rPr>
                    <w:t>2018年年底前，将</w:t>
                  </w:r>
                  <w:r>
                    <w:rPr>
                      <w:rFonts w:hint="eastAsia"/>
                      <w:color w:val="auto"/>
                      <w:sz w:val="21"/>
                      <w:szCs w:val="21"/>
                      <w:vertAlign w:val="baseline"/>
                      <w:lang w:val="en-US" w:eastAsia="zh-CN"/>
                    </w:rPr>
                    <w:t>制定</w:t>
                  </w:r>
                  <w:r>
                    <w:rPr>
                      <w:rFonts w:hint="default"/>
                      <w:color w:val="auto"/>
                      <w:sz w:val="21"/>
                      <w:szCs w:val="21"/>
                      <w:vertAlign w:val="baseline"/>
                      <w:lang w:val="en-US" w:eastAsia="zh-CN"/>
                    </w:rPr>
                    <w:t>专项计划并向社会公开。 2.全面禁止洋垃圾入境，严厉打击走私。 3.禁止新增化工园区，加大现有化工园区整治力度。已明确的退城企业 ，要明确时间表，逾期不退城的予以停产。 4.禁止新建企业自备燃煤设施。 5.在城市规划区内禁止新建废气污染严重的建设项目。 6.优化产业布局，划定并坚守生态红线，严禁在生态脆弱或环境敏感区建 设“两高”项目。 7.严禁采用国家限制和淘汰的采选技术、工艺和设备，强化矿山</w:t>
                  </w:r>
                  <w:r>
                    <w:rPr>
                      <w:rFonts w:hint="eastAsia"/>
                      <w:color w:val="auto"/>
                      <w:sz w:val="21"/>
                      <w:szCs w:val="21"/>
                      <w:vertAlign w:val="baseline"/>
                      <w:lang w:val="en-US" w:eastAsia="zh-CN"/>
                    </w:rPr>
                    <w:t>环境污染防治</w:t>
                  </w:r>
                  <w:r>
                    <w:rPr>
                      <w:rFonts w:hint="default"/>
                      <w:color w:val="auto"/>
                      <w:sz w:val="21"/>
                      <w:szCs w:val="21"/>
                      <w:vertAlign w:val="baseline"/>
                      <w:lang w:val="en-US" w:eastAsia="zh-CN"/>
                    </w:rPr>
                    <w:t>与生态恢复治理。加强生产矿山开采活 动与造地、复垦、恢复植被等生态修复同步实施。 8.严格禁止超出本地区资源环境承载能力的产业进入，逐步“关停并转 ”高污染和高耗水产业。 9.严格执行相关行业企业布局选址要求，禁止在居民区、学校、医疗和养 老机构等周边新建重污染行业企业</w:t>
                  </w:r>
                  <w:r>
                    <w:rPr>
                      <w:rFonts w:hint="eastAsia"/>
                      <w:color w:val="auto"/>
                      <w:sz w:val="21"/>
                      <w:szCs w:val="21"/>
                      <w:vertAlign w:val="baseline"/>
                      <w:lang w:val="en-US" w:eastAsia="zh-CN"/>
                    </w:rPr>
                    <w:t>；</w:t>
                  </w:r>
                  <w:r>
                    <w:rPr>
                      <w:rFonts w:hint="default"/>
                      <w:color w:val="auto"/>
                      <w:sz w:val="21"/>
                      <w:szCs w:val="21"/>
                      <w:vertAlign w:val="baseline"/>
                      <w:lang w:val="en-US" w:eastAsia="zh-CN"/>
                    </w:rPr>
                    <w:t>结合推进新型城镇化、产业结构调整和化解过剩产能等，有序搬迁或依法关闭对土壤造成严重污染的现有企业。</w:t>
                  </w:r>
                </w:p>
                <w:p w14:paraId="1B239EF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10.严把项目准入关，严格禁止与主体功能不符的产业进入。</w:t>
                  </w:r>
                </w:p>
                <w:p w14:paraId="3067F54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11.禁止新建大规模工业开发区，严格控制开发区范围，已有工业开发区需转型为绿色生态工业区。</w:t>
                  </w:r>
                </w:p>
                <w:p w14:paraId="72D073D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12.在新型城镇化工业化集聚发展区内，将环境影响较大、土地利用效率低、资源消耗多、产能过剩的产业列入限制类，将高耗水、高污染、高耗能的产业列入禁止类。</w:t>
                  </w:r>
                </w:p>
                <w:p w14:paraId="7C3B43D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13.严格落实河长制，加强水源地保护，严禁对地表及地下水有较大污染的企业进入，严格控制面源污染，逐步淘汰与主体功能区不符的产业。</w:t>
                  </w:r>
                </w:p>
                <w:p w14:paraId="3511C7D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14.禁止新建企业自备燃煤设施</w:t>
                  </w:r>
                </w:p>
                <w:p w14:paraId="5EDCC02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15.原则上不得新建热电联产和天然气化工项目</w:t>
                  </w:r>
                </w:p>
                <w:p w14:paraId="44B9ED0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16.禁止进口或者销售超过污染物排放标准的非道路移动机械。</w:t>
                  </w:r>
                </w:p>
                <w:p w14:paraId="203D7F4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17.禁止生产、进口、销售不符合标准的非道路移动机械用燃料、发动机油、氮氧化物还原剂和润滑油添加剂以及其他添加剂。</w:t>
                  </w:r>
                </w:p>
                <w:p w14:paraId="1259EFC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18.禁止生产厚度小于0.025毫米超薄塑料购物袋、厚度小于0.01毫米的聚乙烯农用地膜。</w:t>
                  </w:r>
                </w:p>
                <w:p w14:paraId="664688A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19.禁止生产含塑料微珠日化产品等部分危害环境和人体健康的产品。</w:t>
                  </w:r>
                </w:p>
                <w:p w14:paraId="77C2EFC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20.严禁新建《产业结构调整指导目录》限制类和新（改、扩）建</w:t>
                  </w:r>
                  <w:r>
                    <w:rPr>
                      <w:rFonts w:hint="eastAsia"/>
                      <w:color w:val="auto"/>
                      <w:sz w:val="21"/>
                      <w:szCs w:val="21"/>
                      <w:vertAlign w:val="baseline"/>
                      <w:lang w:val="en-US" w:eastAsia="zh-CN"/>
                    </w:rPr>
                    <w:t>淘汰</w:t>
                  </w:r>
                  <w:r>
                    <w:rPr>
                      <w:rFonts w:hint="default"/>
                      <w:color w:val="auto"/>
                      <w:sz w:val="21"/>
                      <w:szCs w:val="21"/>
                      <w:vertAlign w:val="baseline"/>
                      <w:lang w:val="en-US" w:eastAsia="zh-CN"/>
                    </w:rPr>
                    <w:t>类化工项目。</w:t>
                  </w:r>
                </w:p>
                <w:p w14:paraId="1A7CB23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21.严禁未批先建。禁止建设达不到安全标准的落后生产工艺、未委托具有相应资质设计单位进行工艺设计、搬迁使用旧设备的新（改、扩）建项目。</w:t>
                  </w:r>
                </w:p>
                <w:p w14:paraId="2B9A6D6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22.新（改、扩）建精细化工项目，按规定开展反应安全风险评估，禁止反应工艺危险度5级的项目。</w:t>
                  </w:r>
                </w:p>
                <w:p w14:paraId="6D9E026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23.原则上在自然保护区的核心区和缓冲区禁止开展增殖渔业。</w:t>
                  </w:r>
                </w:p>
                <w:p w14:paraId="65F3A72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24.在禁养区内，严格禁止生产性养殖。</w:t>
                  </w:r>
                </w:p>
                <w:p w14:paraId="2E96403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25.扎实落实市总河长2号令</w:t>
                  </w:r>
                  <w:r>
                    <w:rPr>
                      <w:rFonts w:hint="eastAsia"/>
                      <w:color w:val="auto"/>
                      <w:sz w:val="21"/>
                      <w:szCs w:val="21"/>
                      <w:vertAlign w:val="baseline"/>
                      <w:lang w:val="en-US" w:eastAsia="zh-CN"/>
                    </w:rPr>
                    <w:t>，</w:t>
                  </w:r>
                  <w:r>
                    <w:rPr>
                      <w:rFonts w:hint="default"/>
                      <w:color w:val="auto"/>
                      <w:sz w:val="21"/>
                      <w:szCs w:val="21"/>
                      <w:vertAlign w:val="baseline"/>
                      <w:lang w:val="en-US" w:eastAsia="zh-CN"/>
                    </w:rPr>
                    <w:t>全市范围内禁止</w:t>
                  </w:r>
                  <w:r>
                    <w:rPr>
                      <w:rFonts w:hint="eastAsia"/>
                      <w:color w:val="auto"/>
                      <w:sz w:val="21"/>
                      <w:szCs w:val="21"/>
                      <w:vertAlign w:val="baseline"/>
                      <w:lang w:val="en-US" w:eastAsia="zh-CN"/>
                    </w:rPr>
                    <w:t>在河</w:t>
                  </w:r>
                  <w:r>
                    <w:rPr>
                      <w:rFonts w:hint="default"/>
                      <w:color w:val="auto"/>
                      <w:sz w:val="21"/>
                      <w:szCs w:val="21"/>
                      <w:vertAlign w:val="baseline"/>
                      <w:lang w:val="en-US" w:eastAsia="zh-CN"/>
                    </w:rPr>
                    <w:t>坡、堤坡、干涸河床农田耕种，禁止侵占自然湿地等水源涵养空间</w:t>
                  </w:r>
                  <w:r>
                    <w:rPr>
                      <w:rFonts w:hint="eastAsia"/>
                      <w:color w:val="auto"/>
                      <w:sz w:val="21"/>
                      <w:szCs w:val="21"/>
                      <w:vertAlign w:val="baseline"/>
                      <w:lang w:val="en-US" w:eastAsia="zh-CN"/>
                    </w:rPr>
                    <w:t>，</w:t>
                  </w:r>
                  <w:r>
                    <w:rPr>
                      <w:rFonts w:hint="default"/>
                      <w:color w:val="auto"/>
                      <w:sz w:val="21"/>
                      <w:szCs w:val="21"/>
                      <w:vertAlign w:val="baseline"/>
                      <w:lang w:val="en-US" w:eastAsia="zh-CN"/>
                    </w:rPr>
                    <w:t>进一步减少农药、化肥施用量和入河量。</w:t>
                  </w:r>
                </w:p>
                <w:p w14:paraId="7A252EA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1.开展重点区域、重点流域、重点行业和产业布局规划环评，调整优化不符合生态环境功能定位的产业布局、规模和结构，严格控制环境风险项目。</w:t>
                  </w:r>
                </w:p>
                <w:p w14:paraId="7BDAFF3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2.落实国家相关要求，严格限制高风险化学品生产、使用、进出口，并逐步淘汰、替代。</w:t>
                  </w:r>
                </w:p>
                <w:p w14:paraId="36FFF88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3.严格控制高耗水新建、改扩建项目，推进高耗水企业向水资源条件允许的工业园区集中。</w:t>
                  </w:r>
                </w:p>
                <w:p w14:paraId="2716ABA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进一步增加大中型矿山的比例（55%），矿石产量和采矿业总产值保持持续增长，精加工的矿产品比例进一步提高，严格控制小矿山数量，矿产资源开发利用方式得到根本性好转。5.限制低水平开发企业进入矿区，对区内已有低水平开发企业采用政府引带、企业运作等市场方式进行整合，控制开采总量，提高“三率”达标率。</w:t>
                  </w:r>
                </w:p>
                <w:p w14:paraId="2ABC8D2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6.在限制开发区域和禁止开发区域，新上涉及锅炉项目全部采用电锅炉。</w:t>
                  </w:r>
                </w:p>
                <w:p w14:paraId="1CF5464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7.严格控制重金属排放总量，重金属排放量比2015年不增加，对现有涉重企业改扩建项目要采取“增产不增污”</w:t>
                  </w:r>
                  <w:r>
                    <w:rPr>
                      <w:rFonts w:hint="eastAsia"/>
                      <w:color w:val="auto"/>
                      <w:sz w:val="21"/>
                      <w:szCs w:val="21"/>
                      <w:vertAlign w:val="baseline"/>
                      <w:lang w:val="en-US" w:eastAsia="zh-CN"/>
                    </w:rPr>
                    <w:t>的措施。</w:t>
                  </w:r>
                </w:p>
                <w:p w14:paraId="48678A5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8.在农业发展区，以基本农田和一般农田保护为重点，限制进行大规模、高强度的工业化城镇化开发活动。</w:t>
                  </w:r>
                </w:p>
                <w:p w14:paraId="4175CBD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9.严格控制缺水地区、水污染严重地区和敏感区域高耗水、高污染行业发展，新建、改建、扩建重点行业建设项目实行主要污染物排放减量置换。</w:t>
                  </w:r>
                </w:p>
                <w:p w14:paraId="1EFFF7C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10.严格控制在优先保护类耕地集中区域新建化工、电镀、制革等行业企业，现有相关行业企业要采用新技术、新工艺，加快提标升级改造步伐。</w:t>
                  </w:r>
                </w:p>
                <w:p w14:paraId="47FB244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11.严格控制开发区范围，已有工业开发区需转型为绿色生态工业区。</w:t>
                  </w:r>
                </w:p>
                <w:p w14:paraId="6231ADC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12.将环境影响较大、土地利用效率低、资源消耗多、产能过剩的产业列入限制类发展产业。</w:t>
                  </w:r>
                </w:p>
                <w:p w14:paraId="1585715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13.有效规范空间开发秩序，合理控制空间开发强度，切实将各类开发活动限制在资源环境承载能力之内。</w:t>
                  </w:r>
                </w:p>
                <w:p w14:paraId="11432A5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14.建成区严格控制新建生物质锅炉。</w:t>
                  </w:r>
                </w:p>
                <w:p w14:paraId="00C9674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15.严控化石能源消费总量，新、改、扩建项目严格实施煤炭等量或减量替代。</w:t>
                  </w:r>
                </w:p>
                <w:p w14:paraId="5C9A0D9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16.严格限制新建剧毒化学品生产项目，实现剧毒化学品生产企业只减不增</w:t>
                  </w:r>
                  <w:r>
                    <w:rPr>
                      <w:rFonts w:hint="eastAsia"/>
                      <w:color w:val="auto"/>
                      <w:sz w:val="21"/>
                      <w:szCs w:val="21"/>
                      <w:vertAlign w:val="baseline"/>
                      <w:lang w:val="en-US" w:eastAsia="zh-CN"/>
                    </w:rPr>
                    <w:t>，</w:t>
                  </w:r>
                  <w:r>
                    <w:rPr>
                      <w:rFonts w:hint="default"/>
                      <w:color w:val="auto"/>
                      <w:sz w:val="21"/>
                      <w:szCs w:val="21"/>
                      <w:vertAlign w:val="baseline"/>
                      <w:lang w:val="en-US" w:eastAsia="zh-CN"/>
                    </w:rPr>
                    <w:t>原则上不再批准新设光气生产企业。</w:t>
                  </w:r>
                </w:p>
                <w:p w14:paraId="1A82FCB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17.严格控制尿素、电石、纯碱</w:t>
                  </w:r>
                  <w:r>
                    <w:rPr>
                      <w:rFonts w:hint="eastAsia"/>
                      <w:color w:val="auto"/>
                      <w:sz w:val="21"/>
                      <w:szCs w:val="21"/>
                      <w:vertAlign w:val="baseline"/>
                      <w:lang w:val="en-US" w:eastAsia="zh-CN"/>
                    </w:rPr>
                    <w:t>（</w:t>
                  </w:r>
                  <w:r>
                    <w:rPr>
                      <w:rFonts w:hint="default"/>
                      <w:color w:val="auto"/>
                      <w:sz w:val="21"/>
                      <w:szCs w:val="21"/>
                      <w:vertAlign w:val="baseline"/>
                      <w:lang w:val="en-US" w:eastAsia="zh-CN"/>
                    </w:rPr>
                    <w:t>天然碱除外</w:t>
                  </w:r>
                  <w:r>
                    <w:rPr>
                      <w:rFonts w:hint="eastAsia"/>
                      <w:color w:val="auto"/>
                      <w:sz w:val="21"/>
                      <w:szCs w:val="21"/>
                      <w:vertAlign w:val="baseline"/>
                      <w:lang w:val="en-US" w:eastAsia="zh-CN"/>
                    </w:rPr>
                    <w:t>）</w:t>
                  </w:r>
                  <w:r>
                    <w:rPr>
                      <w:rFonts w:hint="default"/>
                      <w:color w:val="auto"/>
                      <w:sz w:val="21"/>
                      <w:szCs w:val="21"/>
                      <w:vertAlign w:val="baseline"/>
                      <w:lang w:val="en-US" w:eastAsia="zh-CN"/>
                    </w:rPr>
                    <w:t>等过剩行业新增产能，确有必要建设的项目实行等量或减量置换。严格控制引进涉及光气化、硝化、重氮化、偶氮化工艺以及硝酸铵、硝酸胍、硝基苯系物等爆炸性化学品等高风险项目，原则上非重大产业配套、产业链衔接或高新产品项目不再引进。</w:t>
                  </w:r>
                </w:p>
                <w:p w14:paraId="26BC802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18.新</w:t>
                  </w:r>
                  <w:r>
                    <w:rPr>
                      <w:rFonts w:hint="eastAsia"/>
                      <w:color w:val="auto"/>
                      <w:sz w:val="21"/>
                      <w:szCs w:val="21"/>
                      <w:vertAlign w:val="baseline"/>
                      <w:lang w:val="en-US" w:eastAsia="zh-CN"/>
                    </w:rPr>
                    <w:t>（</w:t>
                  </w:r>
                  <w:r>
                    <w:rPr>
                      <w:rFonts w:hint="default"/>
                      <w:color w:val="auto"/>
                      <w:sz w:val="21"/>
                      <w:szCs w:val="21"/>
                      <w:vertAlign w:val="baseline"/>
                      <w:lang w:val="en-US" w:eastAsia="zh-CN"/>
                    </w:rPr>
                    <w:t>改、扩</w:t>
                  </w:r>
                  <w:r>
                    <w:rPr>
                      <w:rFonts w:hint="eastAsia"/>
                      <w:color w:val="auto"/>
                      <w:sz w:val="21"/>
                      <w:szCs w:val="21"/>
                      <w:vertAlign w:val="baseline"/>
                      <w:lang w:val="en-US" w:eastAsia="zh-CN"/>
                    </w:rPr>
                    <w:t>）</w:t>
                  </w:r>
                  <w:r>
                    <w:rPr>
                      <w:rFonts w:hint="default"/>
                      <w:color w:val="auto"/>
                      <w:sz w:val="21"/>
                      <w:szCs w:val="21"/>
                      <w:vertAlign w:val="baseline"/>
                      <w:lang w:val="en-US" w:eastAsia="zh-CN"/>
                    </w:rPr>
                    <w:t>建精细化工项目，按规定开展反应安全风险评估</w:t>
                  </w:r>
                  <w:r>
                    <w:rPr>
                      <w:rFonts w:hint="eastAsia"/>
                      <w:color w:val="auto"/>
                      <w:sz w:val="21"/>
                      <w:szCs w:val="21"/>
                      <w:vertAlign w:val="baseline"/>
                      <w:lang w:val="en-US" w:eastAsia="zh-CN"/>
                    </w:rPr>
                    <w:t>，</w:t>
                  </w:r>
                  <w:r>
                    <w:rPr>
                      <w:rFonts w:hint="default"/>
                      <w:color w:val="auto"/>
                      <w:sz w:val="21"/>
                      <w:szCs w:val="21"/>
                      <w:vertAlign w:val="baseline"/>
                      <w:lang w:val="en-US" w:eastAsia="zh-CN"/>
                    </w:rPr>
                    <w:t>严格限制反应工艺危险度4级的项目。</w:t>
                  </w:r>
                </w:p>
                <w:p w14:paraId="46FE0DB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19.在禁养区内可适度发展增殖渔业，按照水域承载力确定适宜的放养种类、放养量、放养比例、捕捞时间和捕捞量，起 捕应使用专门的渔具渔法，以最大限度减少对非增殖品种的误捕，确保不对非增殖生物资源和生态环境造成损害。发展增殖渔业要严格遵守《水生生物增殖放流管理规定》，严防种质退化和疫病传播。</w:t>
                  </w:r>
                </w:p>
                <w:p w14:paraId="3DAF2A1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20.在饮用水水源保护区、自然保护区的实验区，可根据资源调查结果合理投放滤食性、肉食性、草食性的当地土著品种，投放品种以鲢、鳙等滤食性鱼类为主。</w:t>
                  </w:r>
                </w:p>
                <w:p w14:paraId="25A6F84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21.在水产种质资源保护区，增殖渔业的起捕活动应在特别保护期以外的时间开展。</w:t>
                  </w:r>
                </w:p>
                <w:p w14:paraId="076CB4E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22.限养区内生产性养殖要严格按照《养殖水域滩涂规划》 要求，饲养滤食性鱼类的网箱围栏养殖总面积不超过水域面积的 1%，饲养吃食性鱼类的网箱围栏养殖总面积不超过水域面积的 0.25%。</w:t>
                  </w:r>
                </w:p>
                <w:p w14:paraId="5D57051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23.鼓励宾馆、饭店、景区推出绿色旅游、绿色 消费措施，全面实施限塑令，严格限制一次性用品、餐具使用。</w:t>
                  </w:r>
                </w:p>
                <w:p w14:paraId="74ADCCA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1.严格执行污染排放标准，加大钢铁等重点行业落后产能淘汰力度。</w:t>
                  </w:r>
                </w:p>
                <w:p w14:paraId="1C5AC7E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2.加大排放高、污染重的煤电机组淘汰力度。</w:t>
                  </w:r>
                </w:p>
                <w:p w14:paraId="4FF495D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3.坚决关停用地、工商手续不全并难以通过改造达标的企业，限期治理可</w:t>
                  </w:r>
                </w:p>
                <w:p w14:paraId="5C7FDEF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eastAsia"/>
                      <w:color w:val="auto"/>
                      <w:sz w:val="21"/>
                      <w:szCs w:val="21"/>
                      <w:vertAlign w:val="baseline"/>
                      <w:lang w:val="en-US" w:eastAsia="zh-CN"/>
                    </w:rPr>
                    <w:t>已</w:t>
                  </w:r>
                  <w:r>
                    <w:rPr>
                      <w:rFonts w:hint="default"/>
                      <w:color w:val="auto"/>
                      <w:sz w:val="21"/>
                      <w:szCs w:val="21"/>
                      <w:vertAlign w:val="baseline"/>
                      <w:lang w:val="en-US" w:eastAsia="zh-CN"/>
                    </w:rPr>
                    <w:t>达标改造的企业，逾期依法一律关停。</w:t>
                  </w:r>
                </w:p>
                <w:p w14:paraId="5FED243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4.加快推进30万千瓦及以上热电联产机组供热半径30公里范围内燃煤锅炉</w:t>
                  </w:r>
                </w:p>
                <w:p w14:paraId="49189FB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和低效燃煤小热电关停整合。</w:t>
                  </w:r>
                </w:p>
                <w:p w14:paraId="4FBA4D1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5.取缔不达标燃料类煤气发生炉。</w:t>
                  </w:r>
                </w:p>
                <w:p w14:paraId="1A4B3C6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6.确保区域内35蒸吨/小时以下燃煤锅炉清零，基本淘汰每小时35蒸吨以下</w:t>
                  </w:r>
                </w:p>
                <w:p w14:paraId="2781B51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茶水炉、经营性炉灶、储粮烘干设备等燃煤设施。</w:t>
                  </w:r>
                </w:p>
                <w:p w14:paraId="118E6FA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7.继续</w:t>
                  </w:r>
                  <w:r>
                    <w:rPr>
                      <w:rFonts w:hint="eastAsia"/>
                      <w:color w:val="auto"/>
                      <w:sz w:val="21"/>
                      <w:szCs w:val="21"/>
                      <w:vertAlign w:val="baseline"/>
                      <w:lang w:val="en-US" w:eastAsia="zh-CN"/>
                    </w:rPr>
                    <w:t>淘汰</w:t>
                  </w:r>
                  <w:r>
                    <w:rPr>
                      <w:rFonts w:hint="default"/>
                      <w:color w:val="auto"/>
                      <w:sz w:val="21"/>
                      <w:szCs w:val="21"/>
                      <w:vertAlign w:val="baseline"/>
                      <w:lang w:val="en-US" w:eastAsia="zh-CN"/>
                    </w:rPr>
                    <w:t>涉重金属重点行业落后产能，坚持依法依规，通过加大执法检</w:t>
                  </w:r>
                </w:p>
                <w:p w14:paraId="613A324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查等措施，使涉重金属重点行业落后产能退出市场。</w:t>
                  </w:r>
                </w:p>
                <w:p w14:paraId="0F5E572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8.强化产业准入和淘汰制度，淘汰区内过剩、落后产能，实现“三高一低”企业逐步退出。</w:t>
                  </w:r>
                </w:p>
                <w:p w14:paraId="55CD0A0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9.推进矿权整合，关闭退出资源枯竭、灾害严重、扭亏无望等矿井，有序开发煤炭资源。</w:t>
                  </w:r>
                </w:p>
                <w:p w14:paraId="4579E8F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10.逐步“关停并转”高污染和高耗水产业。</w:t>
                  </w:r>
                </w:p>
                <w:p w14:paraId="59DEA18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11.依法依规拆除不符合要求的自备油罐及装置。</w:t>
                  </w:r>
                </w:p>
                <w:p w14:paraId="3016076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12.依法清理非法流动加油车</w:t>
                  </w:r>
                </w:p>
                <w:p w14:paraId="1CCE245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13.供热范围覆盖内的生物质锅炉一律取缔</w:t>
                  </w:r>
                </w:p>
                <w:p w14:paraId="28863B2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14.对符合下列五种情形且整改无望的，实施关停取缔。（1）国家产业政策明令淘汰的“散乱污”工业企业（作坊）。（2）无证无照或证照不全、违规经营的“散乱污”工业企业（作坊）。（3）环境污染严重、安全隐患突出且整改无望的“散乱污”工业企业（作坊）。（4）不符合产业布局规划的“散乱污”工业企业（作坊）。（5）违法用地、违法建设的“散乱污”工业企业（作坊）。</w:t>
                  </w:r>
                </w:p>
                <w:p w14:paraId="69EE328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1.加快全市建成区及临近周边重污染企业搬迁改造或关闭退出，推动实施低端化工等重污染企业搬迁工程。加大现有化工园区整治力度，明确退城企业的时间表，逾期不退城的予以停产。</w:t>
                  </w:r>
                </w:p>
                <w:p w14:paraId="3ECC353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2.大力淘汰关停环保、能耗、安全等不达标的30万千瓦以下燃煤机组；</w:t>
                  </w:r>
                </w:p>
                <w:p w14:paraId="7149CBC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1.沿沱河、唐河、北沱河两侧500米内所有养殖场进行全面清理。</w:t>
                  </w:r>
                </w:p>
                <w:p w14:paraId="1C04C07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2.新、改、扩建涉及大宗物料运输的建设项目，原则上宜采用铁路运输。</w:t>
                  </w:r>
                </w:p>
              </w:tc>
              <w:tc>
                <w:tcPr>
                  <w:tcW w:w="644" w:type="pct"/>
                  <w:noWrap w:val="0"/>
                  <w:vAlign w:val="center"/>
                </w:tcPr>
                <w:p w14:paraId="28A1228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本项目不涉及禁止或限制行为，符合相关管控要求</w:t>
                  </w:r>
                </w:p>
              </w:tc>
            </w:tr>
            <w:tr w14:paraId="2BC2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0" w:type="pct"/>
                  <w:noWrap w:val="0"/>
                  <w:vAlign w:val="center"/>
                </w:tcPr>
                <w:p w14:paraId="0F516C5A">
                  <w:pPr>
                    <w:keepNext w:val="0"/>
                    <w:keepLines w:val="0"/>
                    <w:pageBreakBefore w:val="0"/>
                    <w:widowControl/>
                    <w:suppressLineNumbers w:val="0"/>
                    <w:kinsoku/>
                    <w:wordWrap/>
                    <w:overflowPunct/>
                    <w:topLinePunct w:val="0"/>
                    <w:bidi w:val="0"/>
                    <w:snapToGrid/>
                    <w:ind w:firstLine="0" w:firstLineChars="0"/>
                    <w:jc w:val="center"/>
                    <w:textAlignment w:val="auto"/>
                    <w:rPr>
                      <w:rFonts w:hint="default"/>
                      <w:color w:val="auto"/>
                      <w:sz w:val="21"/>
                      <w:szCs w:val="21"/>
                      <w:vertAlign w:val="baseline"/>
                      <w:lang w:val="en-US" w:eastAsia="zh-CN"/>
                    </w:rPr>
                  </w:pPr>
                  <w:r>
                    <w:rPr>
                      <w:rFonts w:hint="default" w:ascii="Times New Roman" w:hAnsi="Times New Roman" w:eastAsia="宋体" w:cs="Times New Roman"/>
                      <w:color w:val="auto"/>
                      <w:kern w:val="0"/>
                      <w:sz w:val="21"/>
                      <w:szCs w:val="21"/>
                      <w:lang w:val="en-US" w:eastAsia="zh-CN" w:bidi="ar"/>
                    </w:rPr>
                    <w:t>2</w:t>
                  </w:r>
                </w:p>
              </w:tc>
              <w:tc>
                <w:tcPr>
                  <w:tcW w:w="411" w:type="pct"/>
                  <w:vMerge w:val="continue"/>
                  <w:noWrap w:val="0"/>
                  <w:vAlign w:val="center"/>
                </w:tcPr>
                <w:p w14:paraId="33F3272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p>
              </w:tc>
              <w:tc>
                <w:tcPr>
                  <w:tcW w:w="634" w:type="pct"/>
                  <w:noWrap w:val="0"/>
                  <w:vAlign w:val="center"/>
                </w:tcPr>
                <w:p w14:paraId="36F8EDD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污染物排放管</w:t>
                  </w:r>
                </w:p>
                <w:p w14:paraId="6F8E0D2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控</w:t>
                  </w:r>
                </w:p>
              </w:tc>
              <w:tc>
                <w:tcPr>
                  <w:tcW w:w="3049" w:type="pct"/>
                  <w:noWrap w:val="0"/>
                  <w:vAlign w:val="center"/>
                </w:tcPr>
                <w:p w14:paraId="1B5CB7A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w:t>
                  </w:r>
                </w:p>
                <w:p w14:paraId="6268C67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2积极推进清洁生产审核，对焦化、 有色金属、石化、化工、电镀、制革、石油开采、造纸、印染、 农副食品加工等行业，全面推进清洁生产改造或清洁化改造。</w:t>
                  </w:r>
                </w:p>
                <w:p w14:paraId="20E6CBF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建设项目所在水环境控制单元或断面总磷超标的，实施总磷排放量2倍或以上削减替代。所在水环境控制单元或断面总磷达标的，实施总磷排放量等量或以上削减替代。替代量应来源于项目同一水环境控制单元或断面上游拟实施关停、升级改造的工业企业，不得来源于农业源、城镇污水处理厂或已列入流域环境质量改善计划的工业企业。相应的减排措施应确保在项目投产前完成。</w:t>
                  </w:r>
                </w:p>
                <w:p w14:paraId="6841003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4专项整治十大重点行业。制定造纸、焦化、氮肥、有色金属、印染、农副食品加工、原料药制造、制革、农药、电镀等行业专项治理方案，对重点行业企业实施清洁化改造。</w:t>
                  </w:r>
                </w:p>
                <w:p w14:paraId="6564086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5实施技术、工艺、设备等生态化、循环化改造，加快布局分散的企业向园区集中，按要求设置生态隔离带，建设相应的防护工程。</w:t>
                  </w:r>
                </w:p>
                <w:p w14:paraId="23E4A8B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所有排污单位必须依法实现全面达标排放。逐一排查工业企业排污情况，达标企业应采取措施确保稳定达标；对超标和超总量的企业予以“黄牌”警示，一律限制生产或停产整治；对整治仍不能达到要求且情节严重的企业予以“红牌”处罚，一律停业、关闭。</w:t>
                  </w:r>
                </w:p>
                <w:p w14:paraId="513496E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开展经济技术开发区、高新技术产业开发区、出口加工区等工业集聚区水污染治理设施排查和污染治理，全面推行工业集聚区企业废水量、水污染物纳管总量双控制度。集聚区内工业废水必须经预处理达到集中处理要求，方可进入污水集中处理设施。1实行厂网一体化建设，推行厂网一体化管理。深入开展城镇污水处理提质增效行动，加快推进城市老旧小区和</w:t>
                  </w:r>
                </w:p>
                <w:p w14:paraId="172D35E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管网空白区污水管网建设，实施城市、县城市政污水管网更新修复。因地制宜，稳步推进城市初期雨水收集处理设施建设。</w:t>
                  </w:r>
                </w:p>
                <w:p w14:paraId="1B0CFBF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2持续推进乡镇污水主管网、到户支管网建设和破损、混接管网整治，进一步提高污水收集率和污水进水浓度，强化专业化运维，提高乡镇污水处理设施运行稳定性。</w:t>
                  </w:r>
                </w:p>
                <w:p w14:paraId="41B03E0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3加快推进城市老旧小区和管网空白区污水管网建设，实施城市、县城市政污水管网更新修复。加快推进城市污水再生利用设施建设，提高污水处理再生水利用率。</w:t>
                  </w:r>
                </w:p>
                <w:p w14:paraId="154A667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4推进污泥处理处置。污水处理设施产生的污泥应进行稳定化、无害化和资源化处理处置，禁止处理处置不达标的污泥进入耕地。非法污泥堆放点</w:t>
                  </w:r>
                </w:p>
                <w:p w14:paraId="661D155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一律予以取缔。允许排放量要求</w:t>
                  </w:r>
                  <w:r>
                    <w:rPr>
                      <w:rFonts w:hint="eastAsia"/>
                      <w:color w:val="auto"/>
                      <w:sz w:val="21"/>
                      <w:szCs w:val="21"/>
                      <w:vertAlign w:val="baseline"/>
                      <w:lang w:val="en-US" w:eastAsia="zh-CN"/>
                    </w:rPr>
                    <w:t>：</w:t>
                  </w:r>
                </w:p>
                <w:p w14:paraId="1EF16DB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w:t>
                  </w:r>
                  <w:r>
                    <w:rPr>
                      <w:rFonts w:hint="eastAsia"/>
                      <w:color w:val="auto"/>
                      <w:sz w:val="21"/>
                      <w:szCs w:val="21"/>
                      <w:vertAlign w:val="baseline"/>
                      <w:lang w:val="en-US" w:eastAsia="zh-CN"/>
                    </w:rPr>
                    <w:t>. 环境</w:t>
                  </w:r>
                  <w:r>
                    <w:rPr>
                      <w:rFonts w:hint="default"/>
                      <w:color w:val="auto"/>
                      <w:sz w:val="21"/>
                      <w:szCs w:val="21"/>
                      <w:vertAlign w:val="baseline"/>
                      <w:lang w:val="en-US" w:eastAsia="zh-CN"/>
                    </w:rPr>
                    <w:t>空气质量持续改善，全省细颗粒物（PM2.5）浓度总体达标，基本消除重污染天气，优良天数比率进一步提升。</w:t>
                  </w:r>
                </w:p>
                <w:p w14:paraId="52551C8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2化学需氧量、氨氮、氮氧化物、挥发性有机物等4项主要污染物重点工程减排量分别累计达到13.67万吨、0.69万吨、8.3万吨、3.07万吨。</w:t>
                  </w:r>
                </w:p>
                <w:p w14:paraId="25B1D4A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严格合理控制煤炭消费增长，大气污染防治重点区域内新、改、扩建用煤项目实施煤炭消费等量或减量替代。重点削减非电力用煤，各市将减煤目标按年度分解落实到重点耗煤企业，实施“一企一策”减煤诊断。</w:t>
                  </w:r>
                </w:p>
                <w:p w14:paraId="56FA86D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4新建、改建、扩建排放重点大气污染物的项目不符合总量控制要求的，不得通过环境影响评价。</w:t>
                  </w:r>
                </w:p>
                <w:p w14:paraId="0242A84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区域大气污染物削减/替代要求</w:t>
                  </w:r>
                  <w:r>
                    <w:rPr>
                      <w:rFonts w:hint="eastAsia"/>
                      <w:color w:val="auto"/>
                      <w:sz w:val="21"/>
                      <w:szCs w:val="21"/>
                      <w:vertAlign w:val="baseline"/>
                      <w:lang w:val="en-US" w:eastAsia="zh-CN"/>
                    </w:rPr>
                    <w:t>：</w:t>
                  </w:r>
                </w:p>
                <w:p w14:paraId="79540D7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5进出钢铁企业的铁精矿、煤炭、焦炭等大</w:t>
                  </w:r>
                </w:p>
                <w:p w14:paraId="4FE746F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宗物料和产品采用铁路、水路、管道或管状带式输送机等清洁方式运输比例不低于80%；达不到的，汽车运输部分应全部采用新能源汽车或达到国六排放标准的汽车（2021年底前可采用国五排放标准的汽车）。</w:t>
                  </w:r>
                </w:p>
                <w:p w14:paraId="2ADE118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6对以煤、石油焦、渣油、重油等为燃料的工业炉窑，加快使用清洁低碳能源以及利用工厂余热、电厂热力等进行替代。</w:t>
                  </w:r>
                </w:p>
                <w:p w14:paraId="3ED674B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推动具备条件的省级以上园区全部实施循环化改造。（责任单位：省发展改革委，配合单位：省经济和信息化厅等）推动工业园区能源系统整体优化，鼓励工业企业、园区优先使用可再生能源。推进园区电、热、冷、气等多种能源协同的综合能源项目建设。</w:t>
                  </w:r>
                </w:p>
                <w:p w14:paraId="307AE75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8进一步强化区域协作机制，完善重污染天气应对和重点行业绩效分级管理体系，突出PM2.5和臭氧协同控制，加大钢铁、水泥、焦化、玻璃等行业以及工业锅炉、炉窑、移动源氮氧化物减排力度。</w:t>
                  </w:r>
                </w:p>
                <w:p w14:paraId="141C4EB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全面推动挥发性有机物纳入排污许可管理。禁止建设生产和使用高挥发性有机物含量涂料、油墨、胶粘剂、清洗剂等项目。加快推进石化、化工、涂装、医药、包装印刷和油品储运销等重点行业挥发性有机物深度治理，全面提升废气收集率、治理设施同步运行率和去除率，提高水性、高固体分、无溶剂、粉末、辐射固化等低挥发性有机物含量产品的比重。加大</w:t>
                  </w:r>
                </w:p>
                <w:p w14:paraId="5B38E23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工业涂装、包装印刷等行业低挥发性有机物含量原辅材料替代力度，严格执行涂料、油墨、胶粘剂、清洗剂挥发性有机物含量限值标准，确保生产、销售、进口、使用符合标准的产品。到2025年，溶剂型工业涂料、油墨使用比例分别降低20个、10个百分点。溶剂型胶粘剂使用量降低20%。</w:t>
                  </w:r>
                </w:p>
                <w:p w14:paraId="63BB7E1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实行重点排放源排放浓度与去除效率双重控制。车间或生产设施收集排放的废气，VOCs初始排放速率大于等于2千克/小时的，应加大控制力度，除确保排放浓度稳定达标外，还应实行去除效率控制，去除效率不低于80%；采用的原辅材料符合国家有关低VOCs含量产品规定的除外，有行业排放标准的按其相关规定执行。</w:t>
                  </w:r>
                </w:p>
                <w:p w14:paraId="3CC60F1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11使用粉末、水性、高固体分、辐射固化等低VOCs含量的涂料替代溶剂型涂料。汽车制造底漆大力推广使用水性涂料，乘用车中涂、色漆大力推广使用高固体分或水性涂料，加快客车、货车等中涂、色漆改造。钢制集装箱制造在箱内、箱外、木地板涂装等工序大力推广使用水性涂料，在确保防腐蚀功能的前提下，加快推进特种集装箱采用水性涂料。木质家具制造大力推广使用水性、辐射固化、粉末等涂料和水性胶粘剂；金属家具制造大力推广使用粉末涂料；软体家具制造大力推广使用水性胶粘剂。工程机械制造大力推广使用水性、粉末和高固体分涂料。电子产品制造推广使用粉末、水性、辐射固化等涂料。</w:t>
                  </w:r>
                </w:p>
                <w:p w14:paraId="2671439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现有源提标升级改造</w:t>
                  </w:r>
                  <w:r>
                    <w:rPr>
                      <w:rFonts w:hint="eastAsia"/>
                      <w:color w:val="auto"/>
                      <w:sz w:val="21"/>
                      <w:szCs w:val="21"/>
                      <w:vertAlign w:val="baseline"/>
                      <w:lang w:val="en-US" w:eastAsia="zh-CN"/>
                    </w:rPr>
                    <w:t>：</w:t>
                  </w:r>
                </w:p>
                <w:p w14:paraId="1F59A9F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12污染物排放标准中有特别排放限值的标准的行业，二氧化硫、氮氧化物、颗粒物、挥发性有机物（VOCs）全面执行大气污染物特别排放限值。已核发排污许可证的，应严格执行许可要求。</w:t>
                  </w:r>
                </w:p>
                <w:p w14:paraId="33D8D6A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13对国家级新区、工业园区、高新区等进行集中整治，限期进行达标改造。</w:t>
                  </w:r>
                </w:p>
                <w:p w14:paraId="356ACFA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14按《挥发性有机物无组织排放控制标准》（GB 37822-2019）要求，做好VOCs物料储存、物料转移和输送、工艺过程、设备与管线组件、敞开液</w:t>
                  </w:r>
                </w:p>
                <w:p w14:paraId="7699F03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面VOCs排放，以及VOCs无组织排放废气收集处理系统要求。</w:t>
                  </w:r>
                </w:p>
                <w:p w14:paraId="28D7FBC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15新改扩建（含搬迁）钢铁项目要严格执行产能置换实施办法，按照钢铁企业超低排放指标要求，同步配套建设高效脱硫、脱硝、除尘设施，落实物料储存、输送及生产工艺过程无组织排放管控措施。</w:t>
                  </w:r>
                </w:p>
                <w:p w14:paraId="0B7B820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16烧结机机头、球团焙烧烟气颗粒物、二氧化硫、氮氧化物排放浓度小时均值分别不高于10、35、50毫克/立方米；其他主要污染源颗粒物、二氧化硫、氮氧化物排放浓度小时均值原则上分别不高于10、50、200毫克/立方米，达到超低排放的钢铁企业每月至少95%以上时段小时均值排放浓度满足上述要求。</w:t>
                  </w:r>
                </w:p>
                <w:p w14:paraId="57A3035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17已有行业排放标准的工业炉窑，严格执行行业排放标准相关规定，配套建设高效脱硫脱硝除尘设施，确保稳定达标排放。已制定更严格地方排放标准的，按地方标准执行。</w:t>
                  </w:r>
                </w:p>
                <w:p w14:paraId="63F6EFA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18铸造行业烧结、高炉工序污染排放控制按照钢铁行业相关标准要求执行；原则上按照颗粒物、二氧化硫、氮氧化物排放限值分别不高于30、200、300毫克/立方米实施改造，其中，日用玻璃、玻璃棉氮氧化物排放限值不高于400毫克/立方米。</w:t>
                  </w:r>
                </w:p>
                <w:p w14:paraId="0B039EB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19城市建成区生物质锅炉实施超低排放改造。</w:t>
                  </w:r>
                </w:p>
                <w:p w14:paraId="5CE69D2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20实施煤电节能降碳改造、灵活性改造、供热改造“三改联动”，推动煤电由主体电源向支撑性、调节性电源转变。其他污染物排放管控要求</w:t>
                  </w:r>
                  <w:r>
                    <w:rPr>
                      <w:rFonts w:hint="eastAsia"/>
                      <w:color w:val="auto"/>
                      <w:sz w:val="21"/>
                      <w:szCs w:val="21"/>
                      <w:vertAlign w:val="baseline"/>
                      <w:lang w:val="en-US" w:eastAsia="zh-CN"/>
                    </w:rPr>
                    <w:t>：</w:t>
                  </w:r>
                  <w:r>
                    <w:rPr>
                      <w:rFonts w:hint="default"/>
                      <w:color w:val="auto"/>
                      <w:sz w:val="21"/>
                      <w:szCs w:val="21"/>
                      <w:vertAlign w:val="baseline"/>
                      <w:lang w:val="en-US" w:eastAsia="zh-CN"/>
                    </w:rPr>
                    <w:t>21强化工业企业无组织排放管理，推进挥发性有机物排放综合整治，开展大气氨排放控制试点。</w:t>
                  </w:r>
                </w:p>
                <w:p w14:paraId="484B5BC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22依法严禁秸秆露天焚烧，全面推进综合利用。</w:t>
                  </w:r>
                </w:p>
                <w:p w14:paraId="32B4EB7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23深化工业污染治理，工业污染源全面达标排放，未达标排放的企业一律依法停产整治。</w:t>
                  </w:r>
                </w:p>
                <w:p w14:paraId="4DA6B17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24露天开采、加工矿产资源，应当采取喷淋、集中开采、运输道路硬化绿化等防止扬尘污染的措施。</w:t>
                  </w:r>
                </w:p>
                <w:p w14:paraId="68E4435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25合理控制燃油机动车保有量，严格控制重型柴油车进入城市建成区，限制摩托车的行驶范围，并向社会公告。机动车和船舶向大气排放污染物不得超过规定的排放标准。</w:t>
                  </w:r>
                </w:p>
                <w:p w14:paraId="07760CD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26农业生产经营者应当改进施肥方式，科学合理施用化肥并按照国家有关规定使用农药，减少氨、挥发性有机物等大气污染物的排放。禁止在人口集中地区对树木、花草喷洒剧毒、高毒农药。</w:t>
                  </w:r>
                </w:p>
                <w:p w14:paraId="5B1AE9B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27工业生产中产生的可燃性气体应当回收利用。不具备回收利用条件而向大气排放的，应当进行污染防治处理</w:t>
                  </w:r>
                  <w:r>
                    <w:rPr>
                      <w:rFonts w:hint="eastAsia"/>
                      <w:color w:val="auto"/>
                      <w:sz w:val="21"/>
                      <w:szCs w:val="21"/>
                      <w:vertAlign w:val="baseline"/>
                      <w:lang w:val="en-US" w:eastAsia="zh-CN"/>
                    </w:rPr>
                    <w:t>。</w:t>
                  </w:r>
                </w:p>
                <w:p w14:paraId="7736B3B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28强化餐饮油烟和露天烧烤治理。加强餐饮油烟污染治理，对未安装油烟净化设施、不正常使用油烟净化设施或者未采取其他油烟净化措施，超过排放标准排放油烟的，依法责令改正，并处以罚款。</w:t>
                  </w:r>
                </w:p>
                <w:p w14:paraId="46F6B97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29县级以上城市建成区禁止销售、燃放烟花爆竹。</w:t>
                  </w:r>
                </w:p>
                <w:p w14:paraId="2ED501F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30非煤矿山企业对产生扬尘的作业场所，应当按《安徽省非煤矿山管理条例》采取相应污染防治措施。</w:t>
                  </w:r>
                </w:p>
                <w:p w14:paraId="256921D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31建筑工程施工现场扬尘污染防治应做到工地周边围挡、物料堆放覆盖、路面硬化、土方开挖湿法作业、出入车辆清洗、渣土车辆密闭运输“六个百分之百”。具体要求执行</w:t>
                  </w:r>
                  <w:r>
                    <w:rPr>
                      <w:rFonts w:hint="eastAsia"/>
                      <w:color w:val="auto"/>
                      <w:sz w:val="21"/>
                      <w:szCs w:val="21"/>
                      <w:vertAlign w:val="baseline"/>
                      <w:lang w:val="en-US" w:eastAsia="zh-CN"/>
                    </w:rPr>
                    <w:t>《建筑工程施工和预拌混凝土生产扬尘污染防治标准（试行）》</w:t>
                  </w:r>
                  <w:r>
                    <w:rPr>
                      <w:rFonts w:hint="default"/>
                      <w:color w:val="auto"/>
                      <w:sz w:val="21"/>
                      <w:szCs w:val="21"/>
                      <w:vertAlign w:val="baseline"/>
                      <w:lang w:val="en-US" w:eastAsia="zh-CN"/>
                    </w:rPr>
                    <w:t>。</w:t>
                  </w:r>
                </w:p>
                <w:p w14:paraId="5465F2B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32裸露地面扬尘、道路扬尘、装卸扬尘控制具体要求从严执行《安徽省大气污染防治条例》和《安徽省打赢蓝天保卫战三年行动计划实施方案》等</w:t>
                  </w:r>
                </w:p>
                <w:p w14:paraId="19A66AA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要求。允许排放量要求：1按照省政府下达给区域各市的允许排放量相关要求执行。</w:t>
                  </w:r>
                </w:p>
                <w:p w14:paraId="5088871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现有源提标升级改造：2全面排查并淘汰经整改环保仍不达标的落后产能，集中治理产业集聚区水污染，全面建成污水集中处理及重污染企业污水预处理设施。实施重污染行业专项整治，加强清洁生产审核和工业用水循环利用。</w:t>
                  </w:r>
                </w:p>
                <w:p w14:paraId="4D54440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其他污染物排放管控要求：3完善大气污染物排放总量控制制度，加强对工业烟尘、粉尘、城市扬尘和有毒有害空气污染物排放的协同控制。严格煤炭消费总量，增加清洁能源供给和使用，力争实现煤炭消费负增长。强化机动车尾气治理，优先发展公共交通，严禁秸秆露天焚烧，推进秸秆综合利用，全面推行“绿色施工”。</w:t>
                  </w:r>
                </w:p>
                <w:p w14:paraId="645E415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加快城镇污水垃圾处理设施和配套管网建设，提升污泥处理处置水平。逐步推进老城区雨污分流改造，新建城区严格实行雨污分流。推进村庄生活污水治理，因村制宜选择接入市政管网、建设小型设施相对集中处理、分散处理等模式，提高生活污水处理水平。</w:t>
                  </w:r>
                </w:p>
                <w:p w14:paraId="4FC68CC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5加强船舶港口污染控制，增强港口码头污染防治能力。</w:t>
                  </w:r>
                </w:p>
                <w:p w14:paraId="2750691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建立农业面源污染监测体系，严格控制农业面源污染。加强秸秆、农膜、农产品加工剩余物等农业废弃物综合利用，推进种养结合的废弃物无害化处理、资源化利用，构建废弃物收集、转化、应用全链条污染防治与资源化利用体系。推进农业面源污染综合防治示范区建设，加快发展循环农业，实施化肥农药使用量零增长行动，加大测土配方施肥推广力度，引导</w:t>
                  </w:r>
                </w:p>
                <w:p w14:paraId="5368EA6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科学施肥，提高化肥利用效率，强化病虫害统防统治，推广绿色防控技术，广泛使用高效低毒低残留农药。</w:t>
                  </w:r>
                </w:p>
                <w:p w14:paraId="331338D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7向淮河流域水体排放含病原体废水的，应当经过消毒处理，符合国家和省规定的有关标准后，方可排放。向水体排放含热废水，应当采取措施，保证水体的水温符合水环境质量标准。</w:t>
                  </w:r>
                </w:p>
                <w:p w14:paraId="0DAD143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 船舶装载运输油类或者有毒货物，应当采取防止散落、溢流和渗漏措施，防止货物落水造成水污染。</w:t>
                  </w:r>
                </w:p>
                <w:p w14:paraId="232FD79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省及淮河流域县级以上人民政府应当推广精准施肥、生物防治病虫害等先进适用的农业生产技术，推广使用高效、低毒、低残留农药，减少化肥、农药使用量，支持秸秆综合利用和畜禽粪污处理设施建设，调整农业产业结构，发展绿色生态农业，开展清洁小流域建设，有效控制农业面源污染。</w:t>
                  </w:r>
                </w:p>
                <w:p w14:paraId="54D5784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1.十四五期间，全市化学需氧量、氨氮、氮氧化物、挥发性有机物减排量分别达到0.5895万吨、0.0371万吨、0.6695万吨、0.1362万吨。</w:t>
                  </w:r>
                </w:p>
                <w:p w14:paraId="31A0B1A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2.每小时35 蒸吨至65 蒸吨燃煤锅炉全部执行特别排放限值，每小时65蒸吨以上燃煤锅炉全部实施节能和超低排放改造。</w:t>
                  </w:r>
                </w:p>
                <w:p w14:paraId="31901BB2">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1.实施工业污染源全面达标排放控制，重点工业污染源全面安装烟气在线监控设施。分行业按期执行特别排放限值要求</w:t>
                  </w:r>
                  <w:r>
                    <w:rPr>
                      <w:rFonts w:hint="eastAsia"/>
                      <w:color w:val="auto"/>
                      <w:sz w:val="21"/>
                      <w:szCs w:val="21"/>
                      <w:vertAlign w:val="baseline"/>
                      <w:lang w:val="en-US" w:eastAsia="zh-CN"/>
                    </w:rPr>
                    <w:t>，</w:t>
                  </w:r>
                  <w:r>
                    <w:rPr>
                      <w:rFonts w:hint="default"/>
                      <w:color w:val="auto"/>
                      <w:sz w:val="21"/>
                      <w:szCs w:val="21"/>
                      <w:vertAlign w:val="baseline"/>
                      <w:lang w:val="en-US" w:eastAsia="zh-CN"/>
                    </w:rPr>
                    <w:t>新、改、扩建项目和现有项目全面执行特别排放限值。继续推进重点行业污染治理设施升级改造，强化工业企业无组织排放治理，在安全许可要求下，实施封闭储存、密闭输送、系统收集。</w:t>
                  </w:r>
                </w:p>
                <w:p w14:paraId="568CB67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涂料、油墨、胶粘剂、农药等生产企业应采用密闭一体化生产技术，统一收集挥发性有机物废气并净化处理，净化效率应大于90%，加强工艺过程无组织排放控制，全面推行泄漏检测与修复（LDAR）制度；加强废水、废液和废渣系统逸散排放控制，推进治污设施升级改造，确保连续达标排放；全面推进油品储运销VOCs治理，积极推进储油库和加油站安装油</w:t>
                  </w:r>
                </w:p>
                <w:p w14:paraId="31ED091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气回收自动监测设备。</w:t>
                  </w:r>
                </w:p>
                <w:p w14:paraId="4C18F3B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严格新车环境准入、加速老旧高排放车辆淘汰，强化机动车环保管理能力建设，构建绿色交通体系。严厉查处机动车超标排放，强化在用车定期排放检验，不达标车辆不得上路行驶。全面落实机动车排放检测/维护（I/M）制度，超标车辆应进行维修。</w:t>
                  </w:r>
                </w:p>
                <w:p w14:paraId="43ADE9B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逐步停用不符合国Ⅲ标准要求的挖掘机、装载机、叉车、压路机、平地机、推土机等非道路移动机械。严格市场准入，所有制造、进口和销售的非道路移动机械不得装用不符合《非道路移动机械用柴油机排气污染物排放限值及测量方法（中国第三、四阶段）》（GB20891-2014）第三阶段要求的柴油机。</w:t>
                  </w:r>
                </w:p>
                <w:p w14:paraId="00BE9F0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施工现场必须设置全封闭围挡，主要路段围挡高度不得低于2.5米，一般路段围挡高度不得低于1.8米。施工现场内堆放的砂、石、砖等散装易产生尘埃的物料进行封闭式管理，并用密目网进行覆盖。施工现场出入口内道路、加工区、办公区、生活区实施混凝土硬化。硬化后的地面，不得有浮土、积土，裸露场地应当采取覆盖或绿化措施，祼土堆积时间超过3个月</w:t>
                  </w:r>
                </w:p>
                <w:p w14:paraId="5D0F43B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以上的必须绿化。施工现场出入口必须配备车辆冲洗系统，设置排水、泥浆沉淀池等设施，建立冲洗制度并设专人管理，并保持设备处于开启使用状态，视频监控装置要实时监控，严禁车辆带泥上路，并保存车辆冲洗影像资料。楼层垃圾要及时清理，清理时必须采用湿式作业，清运时采用封闭式管道或装袋，严禁高处抛洒；现场须设置垃圾池，渣土等建筑垃圾集</w:t>
                  </w:r>
                </w:p>
                <w:p w14:paraId="1E8FB75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中、分类堆放在垃圾池内，严密遮盖，需要运输、处理的，渣土车辆需密闭运输。土方作业时要实行分段施工，必须采用洒水车、雾炮机等设备进行降尘、抑尘，并安排专人及时清扫路面遗撒泥土，使作业区、路面始终保持湿润状态，做到不泥泞、不扬尘。塔式起重机安装高压喷淋系统，覆盖整个施工区域，每天不少于4次喷淋作业；外脚手架在首层悬挑周围或</w:t>
                  </w:r>
                </w:p>
                <w:p w14:paraId="3869AE6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者10米高度设置喷淋系统，每隔5米设置一个喷头；道路安装喷淋系统定时洒水减少扬尘。</w:t>
                  </w:r>
                </w:p>
                <w:p w14:paraId="0294287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6.市区道路机械化清扫率达到100%，县城建成区达到86%。落实建筑垃圾运输属地管理职责</w:t>
                  </w:r>
                  <w:r>
                    <w:rPr>
                      <w:rFonts w:hint="eastAsia"/>
                      <w:color w:val="auto"/>
                      <w:sz w:val="21"/>
                      <w:szCs w:val="21"/>
                      <w:vertAlign w:val="baseline"/>
                      <w:lang w:val="en-US" w:eastAsia="zh-CN"/>
                    </w:rPr>
                    <w:t>，</w:t>
                  </w:r>
                  <w:r>
                    <w:rPr>
                      <w:rFonts w:hint="default"/>
                      <w:color w:val="auto"/>
                      <w:sz w:val="21"/>
                      <w:szCs w:val="21"/>
                      <w:vertAlign w:val="baseline"/>
                      <w:lang w:val="en-US" w:eastAsia="zh-CN"/>
                    </w:rPr>
                    <w:t>建筑垃圾运输许可车辆密闭率达到100%以上。</w:t>
                  </w:r>
                </w:p>
                <w:p w14:paraId="641BF5F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7.对露天堆放易产生扬尘的渣土、煤炭、沙石、垃圾等场所</w:t>
                  </w:r>
                  <w:r>
                    <w:rPr>
                      <w:rFonts w:hint="eastAsia"/>
                      <w:color w:val="auto"/>
                      <w:sz w:val="21"/>
                      <w:szCs w:val="21"/>
                      <w:vertAlign w:val="baseline"/>
                      <w:lang w:val="en-US" w:eastAsia="zh-CN"/>
                    </w:rPr>
                    <w:t>，</w:t>
                  </w:r>
                  <w:r>
                    <w:rPr>
                      <w:rFonts w:hint="default"/>
                      <w:color w:val="auto"/>
                      <w:sz w:val="21"/>
                      <w:szCs w:val="21"/>
                      <w:vertAlign w:val="baseline"/>
                      <w:lang w:val="en-US" w:eastAsia="zh-CN"/>
                    </w:rPr>
                    <w:t>采取洒水、覆盖、绿化等措施</w:t>
                  </w:r>
                  <w:r>
                    <w:rPr>
                      <w:rFonts w:hint="eastAsia"/>
                      <w:color w:val="auto"/>
                      <w:sz w:val="21"/>
                      <w:szCs w:val="21"/>
                      <w:vertAlign w:val="baseline"/>
                      <w:lang w:val="en-US" w:eastAsia="zh-CN"/>
                    </w:rPr>
                    <w:t>，</w:t>
                  </w:r>
                  <w:r>
                    <w:rPr>
                      <w:rFonts w:hint="default"/>
                      <w:color w:val="auto"/>
                      <w:sz w:val="21"/>
                      <w:szCs w:val="21"/>
                      <w:vertAlign w:val="baseline"/>
                      <w:lang w:val="en-US" w:eastAsia="zh-CN"/>
                    </w:rPr>
                    <w:t>减少扬尘污染。规范铁路、公路等货物运输管理</w:t>
                  </w:r>
                  <w:r>
                    <w:rPr>
                      <w:rFonts w:hint="eastAsia"/>
                      <w:color w:val="auto"/>
                      <w:sz w:val="21"/>
                      <w:szCs w:val="21"/>
                      <w:vertAlign w:val="baseline"/>
                      <w:lang w:val="en-US" w:eastAsia="zh-CN"/>
                    </w:rPr>
                    <w:t>，</w:t>
                  </w:r>
                  <w:r>
                    <w:rPr>
                      <w:rFonts w:hint="default"/>
                      <w:color w:val="auto"/>
                      <w:sz w:val="21"/>
                      <w:szCs w:val="21"/>
                      <w:vertAlign w:val="baseline"/>
                      <w:lang w:val="en-US" w:eastAsia="zh-CN"/>
                    </w:rPr>
                    <w:t>涉及散装货物运输业务且有烟粉尘排放的铁路货运站、道路货运站场以及其他物流露天堆场</w:t>
                  </w:r>
                  <w:r>
                    <w:rPr>
                      <w:rFonts w:hint="eastAsia"/>
                      <w:color w:val="auto"/>
                      <w:sz w:val="21"/>
                      <w:szCs w:val="21"/>
                      <w:vertAlign w:val="baseline"/>
                      <w:lang w:val="en-US" w:eastAsia="zh-CN"/>
                    </w:rPr>
                    <w:t>，</w:t>
                  </w:r>
                  <w:r>
                    <w:rPr>
                      <w:rFonts w:hint="default"/>
                      <w:color w:val="auto"/>
                      <w:sz w:val="21"/>
                      <w:szCs w:val="21"/>
                      <w:vertAlign w:val="baseline"/>
                      <w:lang w:val="en-US" w:eastAsia="zh-CN"/>
                    </w:rPr>
                    <w:t>应采取有效封闭措施减少扬尘污染；确实无法封闭的</w:t>
                  </w:r>
                  <w:r>
                    <w:rPr>
                      <w:rFonts w:hint="eastAsia"/>
                      <w:color w:val="auto"/>
                      <w:sz w:val="21"/>
                      <w:szCs w:val="21"/>
                      <w:vertAlign w:val="baseline"/>
                      <w:lang w:val="en-US" w:eastAsia="zh-CN"/>
                    </w:rPr>
                    <w:t>，</w:t>
                  </w:r>
                  <w:r>
                    <w:rPr>
                      <w:rFonts w:hint="default"/>
                      <w:color w:val="auto"/>
                      <w:sz w:val="21"/>
                      <w:szCs w:val="21"/>
                      <w:vertAlign w:val="baseline"/>
                      <w:lang w:val="en-US" w:eastAsia="zh-CN"/>
                    </w:rPr>
                    <w:t>应建设防风抑尘设施。</w:t>
                  </w:r>
                </w:p>
                <w:p w14:paraId="5D4888E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8.十四五期间，全面消除露天焚烧秸秆现象</w:t>
                  </w:r>
                </w:p>
                <w:p w14:paraId="06BCE6F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9.2025年底前，全市农药利用率、化肥利用率、农作物病虫害绿色防控覆盖率分别达到 43%、45%、30%以上。</w:t>
                  </w:r>
                </w:p>
                <w:p w14:paraId="4957262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10.到2025年，全市秸秆综合利用率达到 92%以上。</w:t>
                  </w:r>
                </w:p>
                <w:p w14:paraId="2308408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11.到2025年，所有规模养殖场粪污处理装备全配套，畜禽养殖粪污综合利用率达到85%。</w:t>
                  </w:r>
                </w:p>
                <w:p w14:paraId="7D0D24C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12.到2025年，农村生活污水治理率达到25%以上。</w:t>
                  </w:r>
                </w:p>
                <w:p w14:paraId="138BBD9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13.2022年细颗粒物（PM2.5）控制目标46.0微克/立方米，力争目标43.7微克/立方米；空气质量优良天数比率控制目标70%；重污染天数控制目标3天；地表水达到或好于Ⅲ类水体比例控制目标46.2%；劣Ⅴ类水体比例控制目标0%；氮氧化物重点工程减排量控制目标2678吨；挥发性有机物重点工程减排量控制目标545吨；化学需氧量重点工程减排量控制目标2358吨；氨氮重点工程减排量控制目标148吨。</w:t>
                  </w:r>
                </w:p>
                <w:p w14:paraId="020B41D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1.在能源、冶金、建材、有色、化工、电镀、造纸、印染、农副食品加工等行业，全面推进清洁生产改造或清洁化改造。</w:t>
                  </w:r>
                </w:p>
                <w:p w14:paraId="50E2CEE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2.每小时35 蒸吨至65 蒸吨燃煤锅炉全部执行特别排放限值，每小时65 蒸吨以上燃煤锅炉全部实施节能和超低排放改造。</w:t>
                  </w:r>
                </w:p>
                <w:p w14:paraId="3D4E435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3.推进现有企业和园区开展以节水为重点内容的绿色高质量转型升级和循环化改造，加快节水及水循环利用设施建设，促进企业间水梯级串联循环利用。</w:t>
                  </w:r>
                </w:p>
                <w:p w14:paraId="36A590F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4.加快推进现役煤电机组超低排放与节能改造。</w:t>
                  </w:r>
                </w:p>
                <w:p w14:paraId="2781628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5.加大城市及周边现有燃煤发电机组的供热改造力度，优先利用背压热电联产机组替代分散燃煤锅炉，扩大集中供热面积。鼓励现有大型发电机组实施供热改造。</w:t>
                  </w:r>
                </w:p>
                <w:p w14:paraId="0F68548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6.取消燃煤电厂烟气旁路，对不能稳定达标的脱硫设施进行升级改造。</w:t>
                  </w:r>
                </w:p>
                <w:p w14:paraId="369FF4D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7.实施每小时20蒸吨以上的燃煤锅炉脱硫设施建设及除尘设施升级改造。</w:t>
                  </w:r>
                </w:p>
                <w:p w14:paraId="41BD7BC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8.提升改造电力、化工、水泥等工业领域低氮燃烧、除尘、脱硝、脱硫设施，强化二氧化硫、氮氧化物、颗粒物及挥发性有机物污染治理。</w:t>
                  </w:r>
                </w:p>
                <w:p w14:paraId="62C36F7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9.加快城镇污水处理设施建设与改造，对辖区重点流域污水处理厂进行提标改造，推进重点流域污水处理厂全面达标排放。</w:t>
                  </w:r>
                </w:p>
                <w:p w14:paraId="31F830F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10.推进造纸、农副产品加工、原料药制造、化工生产、制革、农药等重点行业专项治理，实施清洁化改造。</w:t>
                  </w:r>
                </w:p>
                <w:p w14:paraId="6BD33AB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11.2017 年底前，造纸行业力争完成采取低污染制浆技术，印染行业实施低排水染整工艺改造，制药（抗生素、维生素）行业实施绿色酶法生产技术改造，制革行业实施铬减量化和封闭循环利用技术改造。</w:t>
                  </w:r>
                </w:p>
                <w:p w14:paraId="195D0DD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12.对现有涉重企业改扩建项目要采取“增产不增污”。</w:t>
                  </w:r>
                </w:p>
                <w:p w14:paraId="5A33A19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13.在能源、冶金、建材、有色、化工、电镀、造纸、印染、农副食品加工等行业，全面推进清洁生产改造或清洁化改造。</w:t>
                  </w:r>
                </w:p>
                <w:p w14:paraId="765BBDA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14.建材、化工、陶瓷等行业按照“改造提升一批、优化整合一批、淘汰退出一批”的总体要求，提升产业发展质量和环保治理水平，全市原则上关闭一半砖瓦窑企业，同时要确保保留下来的砖瓦窑企业各项环保措施符合要求、排放稳定达标。</w:t>
                  </w:r>
                </w:p>
                <w:p w14:paraId="396582F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15.鼓励电力行业实施超净排放改造，其他行业参照重污染天气应急减排指南B级以上绩效开展提标改造。</w:t>
                  </w:r>
                </w:p>
                <w:p w14:paraId="14B6039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16.积极推进陶瓷、玻璃等行业清洁燃料替代工程。</w:t>
                  </w:r>
                </w:p>
                <w:p w14:paraId="7A5AE2B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1.全面开展加油站、储油库和油罐车油气回收治理设施运行维护情况监督检查，推动企业制定实施日查、自检、年检和维护制度。</w:t>
                  </w:r>
                </w:p>
                <w:p w14:paraId="149F749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2.完善规模畜禽养殖场污染治理设施，持续完善畜禽养殖禁养区、限养区的科学划定，实行适度规模养殖。加快畜禽规模养殖场（小区）标准化改造和建设，到 2025 年，所有规模养殖场粪污处理装备全配套，畜禽养殖粪污综合利用率达到85%。</w:t>
                  </w:r>
                </w:p>
                <w:p w14:paraId="3ADB971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3.严禁将城镇生活垃圾、污泥、工业废物直接作为肥料。</w:t>
                  </w:r>
                </w:p>
                <w:p w14:paraId="5E64081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4.施工现场严禁使用尾气排放未达国家标准的车辆和非道路移动机械设备。</w:t>
                  </w:r>
                </w:p>
                <w:p w14:paraId="38C5EB4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5.施工现场禁止焚烧沥青、油毡、橡胶、塑料、皮革、散煤、木柴、垃圾以及其他产生有毒有害烟尘和恶臭气体的物质。</w:t>
                  </w:r>
                </w:p>
                <w:p w14:paraId="227EBFC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6.禁止国五以下的柴油货车、农用车、三轮车进入禁行区。</w:t>
                  </w:r>
                </w:p>
                <w:p w14:paraId="0234035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7.禁止现场砂浆搅拌，减少现场污染源，全面推广应用预拌砂浆。</w:t>
                  </w:r>
                </w:p>
                <w:p w14:paraId="559C16A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8.严禁露天焚烧垃圾，严防露天焚烧垃圾和有烟烧烤死灰复燃。全面规范治理露天烧烤污染</w:t>
                  </w:r>
                  <w:r>
                    <w:rPr>
                      <w:rFonts w:hint="eastAsia"/>
                      <w:color w:val="auto"/>
                      <w:sz w:val="21"/>
                      <w:szCs w:val="21"/>
                      <w:vertAlign w:val="baseline"/>
                      <w:lang w:val="en-US" w:eastAsia="zh-CN"/>
                    </w:rPr>
                    <w:t>，</w:t>
                  </w:r>
                  <w:r>
                    <w:rPr>
                      <w:rFonts w:hint="default"/>
                      <w:color w:val="auto"/>
                      <w:sz w:val="21"/>
                      <w:szCs w:val="21"/>
                      <w:vertAlign w:val="baseline"/>
                      <w:lang w:val="en-US" w:eastAsia="zh-CN"/>
                    </w:rPr>
                    <w:t>任何单位和个人不得在非指定区域露天烧烤或为露天烧烤提供场所。</w:t>
                  </w:r>
                </w:p>
                <w:p w14:paraId="17A4250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9.严格依法取缔未经审批从事喷涂作业和露天喷涂或刷漆行为。</w:t>
                  </w:r>
                </w:p>
                <w:p w14:paraId="1D3ED373">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10.在高排放非道路移动机械禁限行区内，严格限制高排放车辆和机械使用，杜绝排放控制区“冒黑烟”现象。</w:t>
                  </w:r>
                </w:p>
                <w:p w14:paraId="5EE80F1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11.加强港口码头船舶污染防治。400总吨以下小型船舶生活污水采取船上储存、交岸接收的方式处置。</w:t>
                  </w:r>
                </w:p>
                <w:p w14:paraId="5D2144E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12.到2025年底，土壤污染重点监管单位排污许可证应当全部载明土壤污染防治义务，至少完成一次土壤和地下水隐患排查，制定整改方案和台账并落实。</w:t>
                  </w:r>
                </w:p>
              </w:tc>
              <w:tc>
                <w:tcPr>
                  <w:tcW w:w="644" w:type="pct"/>
                  <w:noWrap w:val="0"/>
                  <w:vAlign w:val="center"/>
                </w:tcPr>
                <w:p w14:paraId="3C52FCA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color w:val="auto"/>
                      <w:sz w:val="21"/>
                      <w:szCs w:val="21"/>
                      <w:vertAlign w:val="baseline"/>
                      <w:lang w:val="en-US" w:eastAsia="zh-CN"/>
                    </w:rPr>
                  </w:pPr>
                  <w:r>
                    <w:rPr>
                      <w:rFonts w:hint="default"/>
                      <w:color w:val="auto"/>
                      <w:sz w:val="21"/>
                      <w:szCs w:val="21"/>
                      <w:vertAlign w:val="baseline"/>
                      <w:lang w:val="en-US" w:eastAsia="zh-CN"/>
                    </w:rPr>
                    <w:t>本项目不涉及禁止或限制行为，符合相关管控要求</w:t>
                  </w:r>
                </w:p>
              </w:tc>
            </w:tr>
            <w:tr w14:paraId="0145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0" w:type="pct"/>
                  <w:noWrap w:val="0"/>
                  <w:vAlign w:val="center"/>
                </w:tcPr>
                <w:p w14:paraId="27C52077">
                  <w:pPr>
                    <w:keepNext w:val="0"/>
                    <w:keepLines w:val="0"/>
                    <w:pageBreakBefore w:val="0"/>
                    <w:widowControl/>
                    <w:suppressLineNumbers w:val="0"/>
                    <w:kinsoku/>
                    <w:wordWrap/>
                    <w:overflowPunct/>
                    <w:topLinePunct w:val="0"/>
                    <w:bidi w:val="0"/>
                    <w:snapToGrid/>
                    <w:ind w:firstLine="0" w:firstLineChars="0"/>
                    <w:jc w:val="center"/>
                    <w:textAlignment w:val="auto"/>
                    <w:rPr>
                      <w:rFonts w:hint="default" w:ascii="Times New Roman" w:hAnsi="Times New Roman" w:eastAsia="宋体" w:cs="Times New Roman"/>
                      <w:color w:val="auto"/>
                      <w:kern w:val="0"/>
                      <w:sz w:val="21"/>
                      <w:szCs w:val="21"/>
                      <w:lang w:val="en-US" w:eastAsia="zh-CN" w:bidi="ar"/>
                    </w:rPr>
                  </w:pPr>
                  <w:r>
                    <w:rPr>
                      <w:rFonts w:hint="eastAsia" w:cs="Times New Roman"/>
                      <w:color w:val="auto"/>
                      <w:kern w:val="0"/>
                      <w:sz w:val="21"/>
                      <w:szCs w:val="21"/>
                      <w:lang w:val="en-US" w:eastAsia="zh-CN" w:bidi="ar"/>
                    </w:rPr>
                    <w:t>3</w:t>
                  </w:r>
                </w:p>
              </w:tc>
              <w:tc>
                <w:tcPr>
                  <w:tcW w:w="411" w:type="pct"/>
                  <w:vMerge w:val="continue"/>
                  <w:noWrap w:val="0"/>
                  <w:vAlign w:val="center"/>
                </w:tcPr>
                <w:p w14:paraId="3D8B583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000000"/>
                      <w:kern w:val="2"/>
                      <w:sz w:val="21"/>
                      <w:szCs w:val="21"/>
                      <w:vertAlign w:val="baseline"/>
                      <w:lang w:val="en-US" w:eastAsia="zh-CN" w:bidi="ar-SA"/>
                    </w:rPr>
                  </w:pPr>
                </w:p>
              </w:tc>
              <w:tc>
                <w:tcPr>
                  <w:tcW w:w="634" w:type="pct"/>
                  <w:noWrap w:val="0"/>
                  <w:vAlign w:val="center"/>
                </w:tcPr>
                <w:p w14:paraId="1D5CEDD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color w:val="000000"/>
                      <w:kern w:val="2"/>
                      <w:sz w:val="21"/>
                      <w:szCs w:val="21"/>
                      <w:vertAlign w:val="baseline"/>
                      <w:lang w:val="en-US" w:eastAsia="zh-CN" w:bidi="ar-SA"/>
                    </w:rPr>
                  </w:pPr>
                  <w:r>
                    <w:rPr>
                      <w:rFonts w:ascii="宋体" w:hAnsi="宋体" w:eastAsia="宋体" w:cs="宋体"/>
                      <w:sz w:val="21"/>
                      <w:szCs w:val="21"/>
                    </w:rPr>
                    <w:t>资源开发效率 要求</w:t>
                  </w:r>
                </w:p>
              </w:tc>
              <w:tc>
                <w:tcPr>
                  <w:tcW w:w="3049" w:type="pct"/>
                  <w:noWrap w:val="0"/>
                  <w:vAlign w:val="center"/>
                </w:tcPr>
                <w:p w14:paraId="3B22821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到2025年，全省用水总量控制在306亿立方米以内，万元GDP用水量、万元工业增加值用水量较2020年均下降18%，农田灌溉水有效利用系数达到0.58。</w:t>
                  </w:r>
                </w:p>
                <w:p w14:paraId="11BF9D7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严格落实主体功能区规划，在生态脆弱、严重缺水和地下水超采地区，严格控制高耗水新建、改建、扩建项目，推进高耗水企业向水资源条件允许的工业园区集中。对采用列入淘汰目录工艺、技术和装备的项目，不予批准取水许可；未按期淘汰的，有关部门和地方政府要依法严格查处。</w:t>
                  </w:r>
                </w:p>
                <w:p w14:paraId="06591BF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2在地面沉降、地裂缝、岩溶塌陷等地质灾害易发区开发利用地下水，应进行地质灾害危险性评估。地下水限采区内不得新增地下水开采量。严控工农业等生产性用水新增地下水开采量；城乡居民生活和特殊水质要求确需增加开采量的，必须通过压减生产性用水，确保不增加现状开采量。</w:t>
                  </w:r>
                </w:p>
                <w:p w14:paraId="49D9438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3严格控制开采深层承压水，地热水、矿泉水开发应严格实行取水许可和采矿许可。依法规范机井建设管理，排查登记已建机井，未经批准的和公共供水管网覆盖范围内自备水井，一律予以关闭。</w:t>
                  </w:r>
                </w:p>
                <w:p w14:paraId="1F6D45F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4在地下水超采区，禁止农业、工业建设项目和服务业新增取用中深层地下水，并削减开采量，逐步实现地下水采补平衡。</w:t>
                  </w:r>
                </w:p>
                <w:p w14:paraId="788F6E6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5城市公共供水管网能够满足用水需要却通过自备取水设施取用地下水的，取水许可不予审批；地下水严重超采地区取用地下水的，取水许可不予审批。</w:t>
                  </w:r>
                </w:p>
                <w:p w14:paraId="1374F6C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6在城市公共供水管网覆盖的区域内，禁止新建地下水取水井用于餐饮、洗浴、洗车等服务业和小区、单位集中供水等。</w:t>
                  </w:r>
                </w:p>
                <w:p w14:paraId="772A073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皖北平原地区应当限制高耗水、重污染产业发展，提高城镇污水处理标准，加强污水、采矿排水再生利用；支持规模农业使用高效节水灌溉技术；对地下水超采地区，应当制定综合治理措施，控制开采量，逐步实现采补平衡。</w:t>
                  </w:r>
                </w:p>
                <w:p w14:paraId="05B4023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1坚持集中式与分布式建设并举，因地制宜建设集中式光伏发电项目，推动整县（市、区）屋顶分布式光伏发电试点工作。坚持集中式和分散式相结合，有序推进皖北平原连片风电项目建设，稳妥推进皖西南地</w:t>
                  </w:r>
                </w:p>
                <w:p w14:paraId="1EAA226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区集中式风电项目建设，鼓励分散式风电商业模式创新。大力推进风光储一体化建设。加快建设一批抽水蓄能电站，打造千万千瓦级绿色储能基地。多元高效利用生物质能，推进农林生物质热电联产项目新建和供热改造，合理规划城镇生活垃圾焚烧发电项目，统筹布局生物燃料乙醇项目，适度发展先进生物质液体燃料。到2025年，非化石能源占能源消费总量比重</w:t>
                  </w:r>
                </w:p>
                <w:p w14:paraId="0EB376B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达到15.5%以上。</w:t>
                  </w:r>
                </w:p>
                <w:p w14:paraId="50B7124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2推动煤电行业实施节能降耗改造、供热改造和灵活性改造“三改联动”。加快供热管网建设，淘汰管网覆盖范围内的燃煤锅炉和散煤。到2025年，火电平均供电煤耗降至295克标煤/千瓦时，散煤基本清零。</w:t>
                  </w:r>
                </w:p>
                <w:p w14:paraId="7F9CEFCF">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3实施“煤改气”和“以电代煤”。在陶瓷、玻璃、铸造等行业积极推进天然气替代煤气化工程，有序实施燃煤设施煤改气。结合区域和行业用能特点，积极推进工业生产、建筑供暖供冷、交通运输、农业生产、居民生活五大领域实施“以电代煤”，着力提高电能占终端能源消费比重。4推动光伏发电规模化发展，充分利用荒山荒坡、采煤沉陷区等未利用空间，建设集中式光伏电站。加快工业园区、公共建筑、居民住宅等屋顶光伏建设，有序推动国家整县（市、区）屋顶分布式光伏开发试点，因地制宜推进“光伏+”项目。</w:t>
                  </w:r>
                </w:p>
                <w:p w14:paraId="5769ECD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5积极开发风电资源，在皖北平原、皖西南地区建设集中连片风电，持续推进就近接入、就地消纳的分散式风电建设。</w:t>
                  </w:r>
                </w:p>
                <w:p w14:paraId="392D13F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6大力推广新能源汽车，推动城市公共服务车辆、政府公务用车新能源或清洁能源替代水资源利用总量及效率要求：1按照省政府下达给区域各市的水资源利用总量及效率要求执行。地下水开采要求：2兴建地下工程设施或者进行地下勘探、采矿等活动，应当采取防护性措施，防止地下水污染。</w:t>
                  </w:r>
                </w:p>
                <w:p w14:paraId="09CEBE9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3开采地下水时，对下列含水层应当分层开采，不得混合开采：（一）半咸水、咸水、卤水层；（二）已受污染的含水层；（三）含有毒有害元素，超过生活饮用水卫生标准的水层；（四）有医疗价值和特殊经济价值的地下热水、温泉水和矿泉水。</w:t>
                  </w:r>
                </w:p>
                <w:p w14:paraId="158BE49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4淮河流域地下水开采区应当依靠降雨、地下径流、河流和湖泊、水库渗漏等补给地下水。人工回灌补给地下水，不得恶化地下水质。</w:t>
                  </w:r>
                </w:p>
                <w:p w14:paraId="122D7F48">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能源利用总量及效率要求：5按照省政府下达给区域各市能源利用总量及效率要求执行。</w:t>
                  </w:r>
                </w:p>
                <w:p w14:paraId="66A53070">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禁燃区要求：6按照省级清单中禁燃区要求执行。</w:t>
                  </w:r>
                </w:p>
                <w:p w14:paraId="4D4DDD2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其他资源利用效率要求：7土地资源利用效率按照省政府下达给区域各市的要求执行。1.到十四五末，埇桥区、灵璧县、泗县、萧县、砀山县万元工业增加值用水量比2020年分别下降14%、32%、25%、16%、22%、19%，万元GDP用水量比2020年分别下降15%、16%、16%、15%、16%、15%，农田灌溉水有效利用系数控制为0.65。</w:t>
                  </w:r>
                </w:p>
                <w:p w14:paraId="59E68509">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2.到2025 年，全市用水总量控制在11.71亿立方米以内，其中城乡生活及工业用水总量6.0亿立方米。</w:t>
                  </w:r>
                </w:p>
                <w:p w14:paraId="67A4B0C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3.到2022 年，规模以上工业用水重复利用率达到91%以上，万元国内生产总值用水量、万元工业增加值用水量较2015 年分别降低32%和27%，农田灌溉水有效利用系数提高到0.65以上。</w:t>
                  </w:r>
                </w:p>
                <w:p w14:paraId="0F36993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4.到2035 年，全市用水总量控制在15亿m3以内。</w:t>
                  </w:r>
                </w:p>
                <w:p w14:paraId="2C7190F5">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新建耗煤项目实行煤炭减量替代。对煤炭开采与洗选业、化学原料和化学制品制造业、非金属矿物制品业、黑色金属冶炼和压延加工业、有色金属冶炼和压延加工业、电力热力生产和供应业等行业新增耗煤（电力行业除外），实施煤炭消费量1.5倍减量替代。继续推进电能替代燃煤和燃油工作，替代规模达到省下达的指标要求。</w:t>
                  </w:r>
                </w:p>
                <w:p w14:paraId="507158EE">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1.在地下水超采区，禁止农业、工业建设项目和服务业新增取用地下水。</w:t>
                  </w:r>
                </w:p>
                <w:p w14:paraId="4C930B4B">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2.在地下水禁止开采区内，禁止新建、改建和扩建取用地下水的建设项目。已有的地下水取水工程，应当统一规划建设替代水源。</w:t>
                  </w:r>
                </w:p>
                <w:p w14:paraId="0615F35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3.在地下水限制开采区内，不得新增地下水开采量。确需新建地下水取水工程的，应当经省人民政府水行政主管部门批准。</w:t>
                  </w:r>
                </w:p>
                <w:p w14:paraId="065171F4">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 建设单位因施工需要直接取用地下水的，应当向具有审批权限的水行政主管部门申请临时取水。</w:t>
                  </w:r>
                </w:p>
                <w:p w14:paraId="22C6D77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5.城市公共供水管网覆盖区域和饮用水水源保护区内禁止取用地下水用于地源热泵系统。</w:t>
                  </w:r>
                </w:p>
                <w:p w14:paraId="6358627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6.在地面沉降、地裂缝、岩溶塌陷等地质灾害易发区开发利用地下水，应进行地质灾害危险性评估。</w:t>
                  </w:r>
                </w:p>
                <w:p w14:paraId="4FB74AB7">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7.严格控制开采深层承压水，地热水、矿泉水开发应严格实行取水许可和采矿许可。</w:t>
                  </w:r>
                </w:p>
                <w:p w14:paraId="391F5B6A">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1. 除集中供热企业外，禁燃区内禁止新建、扩建燃用高污染燃料的设施，禁止销售、燃用各类型高污染燃料。</w:t>
                  </w:r>
                </w:p>
                <w:p w14:paraId="725C674C">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2.宿州市禁燃区内各乡镇、街道、园区管委会要加强对民用煤制品的监督管理，禁燃区内禁止销售、燃用民用煤制品，餐饮服务场所不得燃用煤炭及其制品，非道路移动机械不得燃用渣油和重油；鼓励使用太阳能、电能、天然气、液化石油气、沼气等清洁能源或者依托周边已有热电机组实施集中供热；推进农村清洁能源的替代和开发利用。</w:t>
                  </w:r>
                </w:p>
                <w:p w14:paraId="5CFB542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3.禁燃区内禁止使用散煤等高污染燃料，逐步实现无煤化。</w:t>
                  </w:r>
                </w:p>
                <w:p w14:paraId="2F4EA6D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4.市区京台高速以东，南外环以北、沱河路以西、新汴河以南；全市所有文物保护单位，车站等交通枢纽及铁路线路安全保护区，易燃易爆物品生产、储存单位，输变电设施安全保护区，医疗机构、学校（含幼儿园）、敬（养）老院、图书馆、档案馆、博物馆、文化馆、商场、影剧院，景区、林地、公园、绿地、苗圃，房屋室内及其公共走廊、楼梯、屋顶、阳台、窗口和党政机关办公场所等范围内，禁放区域内禁止经营、储存、燃放烟花爆竹。迎接国家庆典等重大活动需要燃放礼花的，由宿州市人民政府决定并发布通告。</w:t>
                  </w:r>
                </w:p>
                <w:p w14:paraId="1C31776D">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5.坚决取缔禁燃区非法经营散煤网点。</w:t>
                  </w:r>
                </w:p>
                <w:p w14:paraId="000DC141">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ascii="Times New Roman" w:hAnsi="Times New Roman" w:eastAsia="宋体" w:cs="Times New Roman"/>
                      <w:color w:val="000000"/>
                      <w:kern w:val="2"/>
                      <w:sz w:val="21"/>
                      <w:szCs w:val="21"/>
                      <w:vertAlign w:val="baseline"/>
                      <w:lang w:val="en-US" w:eastAsia="zh-CN" w:bidi="ar-SA"/>
                    </w:rPr>
                    <w:t>严格水域岸线用途管制，土地开发利用应按照有关法律法规和技术标准要求，留足河道、湖泊的管理和保护范围，非法挤占的应限期退出。</w:t>
                  </w:r>
                </w:p>
              </w:tc>
              <w:tc>
                <w:tcPr>
                  <w:tcW w:w="644" w:type="pct"/>
                  <w:noWrap w:val="0"/>
                  <w:vAlign w:val="center"/>
                </w:tcPr>
                <w:p w14:paraId="0A2B9916">
                  <w:pPr>
                    <w:pStyle w:val="31"/>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ascii="Times New Roman" w:hAnsi="Times New Roman" w:eastAsia="宋体" w:cs="Times New Roman"/>
                      <w:color w:val="000000"/>
                      <w:kern w:val="2"/>
                      <w:sz w:val="21"/>
                      <w:szCs w:val="21"/>
                      <w:vertAlign w:val="baseline"/>
                      <w:lang w:val="en-US" w:eastAsia="zh-CN" w:bidi="ar-SA"/>
                    </w:rPr>
                  </w:pPr>
                  <w:r>
                    <w:rPr>
                      <w:rFonts w:hint="default"/>
                      <w:sz w:val="21"/>
                      <w:szCs w:val="21"/>
                      <w:vertAlign w:val="baseline"/>
                      <w:lang w:val="en-US" w:eastAsia="zh-CN"/>
                    </w:rPr>
                    <w:t>本项目不涉及禁止或限制行为，符合相关管控要求</w:t>
                  </w:r>
                </w:p>
              </w:tc>
            </w:tr>
          </w:tbl>
          <w:p w14:paraId="4604CF1E">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Times New Roman" w:hAnsi="Times New Roman" w:eastAsia="宋体" w:cs="Times New Roman"/>
                <w:color w:val="auto"/>
                <w:sz w:val="24"/>
                <w:szCs w:val="24"/>
                <w:lang w:eastAsia="zh-CN"/>
              </w:rPr>
            </w:pPr>
            <w:r>
              <w:rPr>
                <w:rFonts w:hint="eastAsia" w:ascii="宋体" w:hAnsi="宋体" w:eastAsia="宋体" w:cs="宋体"/>
                <w:color w:val="auto"/>
                <w:kern w:val="0"/>
                <w:sz w:val="24"/>
                <w:szCs w:val="24"/>
                <w:lang w:val="en-US" w:eastAsia="zh-CN" w:bidi="ar"/>
              </w:rPr>
              <w:t>综上所述，本项目建设满足生态保护红线、环境质量底线、资源利用上线，且不在环境准入清单中，符合“三线一单与分区管控”要求。</w:t>
            </w:r>
          </w:p>
          <w:p w14:paraId="35B6EE97">
            <w:pPr>
              <w:pStyle w:val="31"/>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textAlignment w:val="auto"/>
              <w:rPr>
                <w:rFonts w:hint="eastAsia" w:ascii="Times New Roman" w:hAnsi="Times New Roman" w:cs="Times New Roman"/>
                <w:b/>
                <w:bCs/>
                <w:color w:val="auto"/>
                <w:sz w:val="24"/>
                <w:szCs w:val="24"/>
                <w:lang w:val="en-US" w:eastAsia="zh-CN"/>
              </w:rPr>
            </w:pPr>
            <w:r>
              <w:rPr>
                <w:rFonts w:hint="eastAsia" w:cs="Times New Roman"/>
                <w:b/>
                <w:bCs/>
                <w:color w:val="auto"/>
                <w:sz w:val="24"/>
                <w:szCs w:val="24"/>
                <w:lang w:val="en-US" w:eastAsia="zh-CN"/>
              </w:rPr>
              <w:t>2.</w:t>
            </w:r>
            <w:r>
              <w:rPr>
                <w:rFonts w:hint="eastAsia" w:ascii="Times New Roman" w:hAnsi="Times New Roman" w:cs="Times New Roman"/>
                <w:b/>
                <w:bCs/>
                <w:color w:val="auto"/>
                <w:sz w:val="24"/>
                <w:szCs w:val="24"/>
                <w:lang w:val="en-US" w:eastAsia="zh-CN"/>
              </w:rPr>
              <w:t>其他政策相符性分析</w:t>
            </w:r>
          </w:p>
          <w:p w14:paraId="3AD3EFF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b/>
                <w:bCs/>
                <w:color w:val="000000" w:themeColor="text1"/>
                <w:sz w:val="24"/>
                <w:szCs w:val="24"/>
                <w:lang w:val="en-US" w:eastAsia="zh-CN"/>
                <w14:textFill>
                  <w14:solidFill>
                    <w14:schemeClr w14:val="tx1"/>
                  </w14:solidFill>
                </w14:textFill>
              </w:rPr>
            </w:pPr>
            <w:r>
              <w:rPr>
                <w:rFonts w:hint="eastAsia" w:cs="Times New Roman"/>
                <w:color w:val="auto"/>
                <w:sz w:val="24"/>
                <w:szCs w:val="24"/>
                <w:lang w:val="en-US" w:eastAsia="zh-CN"/>
              </w:rPr>
              <w:t>（1）</w:t>
            </w:r>
            <w:r>
              <w:rPr>
                <w:rFonts w:hint="eastAsia" w:ascii="Times New Roman" w:hAnsi="Times New Roman" w:eastAsia="宋体" w:cs="Times New Roman"/>
                <w:color w:val="auto"/>
                <w:sz w:val="24"/>
                <w:szCs w:val="24"/>
                <w:lang w:val="en-US" w:eastAsia="zh-CN"/>
              </w:rPr>
              <w:t>项目</w:t>
            </w:r>
            <w:r>
              <w:rPr>
                <w:rFonts w:hint="default"/>
                <w:color w:val="auto"/>
                <w:sz w:val="24"/>
                <w:szCs w:val="24"/>
                <w:lang w:val="en-US" w:eastAsia="zh-CN"/>
              </w:rPr>
              <w:t>与</w:t>
            </w:r>
            <w:r>
              <w:rPr>
                <w:rFonts w:hint="eastAsia"/>
                <w:color w:val="auto"/>
                <w:sz w:val="24"/>
                <w:szCs w:val="24"/>
                <w:lang w:val="en-US" w:eastAsia="zh-CN"/>
              </w:rPr>
              <w:t>关于印发《宿州市“十四五”生态环境保护规划》的通知</w:t>
            </w:r>
            <w:r>
              <w:rPr>
                <w:rFonts w:hint="eastAsia"/>
                <w:b w:val="0"/>
                <w:bCs w:val="0"/>
                <w:color w:val="auto"/>
                <w:sz w:val="24"/>
                <w:szCs w:val="24"/>
                <w:lang w:val="en-US" w:eastAsia="zh-CN"/>
              </w:rPr>
              <w:t>（宿环委会【2022】2号）</w:t>
            </w:r>
            <w:r>
              <w:rPr>
                <w:rFonts w:hint="default"/>
                <w:color w:val="000000" w:themeColor="text1"/>
                <w:sz w:val="24"/>
                <w:szCs w:val="24"/>
                <w:lang w:val="en-US" w:eastAsia="zh-CN"/>
                <w14:textFill>
                  <w14:solidFill>
                    <w14:schemeClr w14:val="tx1"/>
                  </w14:solidFill>
                </w14:textFill>
              </w:rPr>
              <w:t>相符性分析</w:t>
            </w:r>
          </w:p>
          <w:p w14:paraId="1E3B295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center"/>
              <w:textAlignment w:val="auto"/>
              <w:rPr>
                <w:rFonts w:hint="default"/>
                <w:b/>
                <w:bCs/>
                <w:color w:val="000000" w:themeColor="text1"/>
                <w:sz w:val="24"/>
                <w:szCs w:val="24"/>
                <w:lang w:val="en-US" w:eastAsia="zh-CN"/>
                <w14:textFill>
                  <w14:solidFill>
                    <w14:schemeClr w14:val="tx1"/>
                  </w14:solidFill>
                </w14:textFill>
              </w:rPr>
            </w:pPr>
            <w:r>
              <w:rPr>
                <w:rFonts w:hint="default"/>
                <w:b/>
                <w:bCs/>
                <w:color w:val="000000" w:themeColor="text1"/>
                <w:sz w:val="24"/>
                <w:szCs w:val="24"/>
                <w:lang w:val="en-US" w:eastAsia="zh-CN"/>
                <w14:textFill>
                  <w14:solidFill>
                    <w14:schemeClr w14:val="tx1"/>
                  </w14:solidFill>
                </w14:textFill>
              </w:rPr>
              <w:t>表1.</w:t>
            </w:r>
            <w:r>
              <w:rPr>
                <w:rFonts w:hint="eastAsia"/>
                <w:b/>
                <w:bCs/>
                <w:color w:val="000000" w:themeColor="text1"/>
                <w:sz w:val="24"/>
                <w:szCs w:val="24"/>
                <w:lang w:val="en-US" w:eastAsia="zh-CN"/>
                <w14:textFill>
                  <w14:solidFill>
                    <w14:schemeClr w14:val="tx1"/>
                  </w14:solidFill>
                </w14:textFill>
              </w:rPr>
              <w:t>5</w:t>
            </w:r>
            <w:r>
              <w:rPr>
                <w:rFonts w:hint="default"/>
                <w:b/>
                <w:bCs/>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b/>
                <w:bCs/>
                <w:color w:val="000000" w:themeColor="text1"/>
                <w:sz w:val="24"/>
                <w:szCs w:val="24"/>
                <w:lang w:val="en-US" w:eastAsia="zh-CN"/>
                <w14:textFill>
                  <w14:solidFill>
                    <w14:schemeClr w14:val="tx1"/>
                  </w14:solidFill>
                </w14:textFill>
              </w:rPr>
              <w:t xml:space="preserve"> 与关于印发《宿州市“十四五”生态环境保护规划》的通知（宿环委会【2022】2号）</w:t>
            </w:r>
            <w:r>
              <w:rPr>
                <w:rFonts w:hint="eastAsia"/>
                <w:b/>
                <w:bCs/>
                <w:color w:val="000000" w:themeColor="text1"/>
                <w:sz w:val="24"/>
                <w:szCs w:val="24"/>
                <w:lang w:val="en-US" w:eastAsia="zh-CN"/>
                <w14:textFill>
                  <w14:solidFill>
                    <w14:schemeClr w14:val="tx1"/>
                  </w14:solidFill>
                </w14:textFill>
              </w:rPr>
              <w:t>相符性分析一览表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3438"/>
              <w:gridCol w:w="2007"/>
              <w:gridCol w:w="864"/>
            </w:tblGrid>
            <w:tr w14:paraId="4BBC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16" w:type="dxa"/>
                  <w:noWrap w:val="0"/>
                  <w:vAlign w:val="center"/>
                </w:tcPr>
                <w:p w14:paraId="5F4541D1">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序号</w:t>
                  </w:r>
                </w:p>
              </w:tc>
              <w:tc>
                <w:tcPr>
                  <w:tcW w:w="4017" w:type="dxa"/>
                  <w:noWrap w:val="0"/>
                  <w:vAlign w:val="center"/>
                </w:tcPr>
                <w:p w14:paraId="45CBC851">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安徽省</w:t>
                  </w:r>
                  <w:r>
                    <w:rPr>
                      <w:rFonts w:hint="eastAsia" w:ascii="宋体" w:hAnsi="宋体" w:eastAsia="宋体" w:cs="宋体"/>
                      <w:color w:val="000000" w:themeColor="text1"/>
                      <w:lang w:val="en-US" w:eastAsia="zh-CN"/>
                      <w14:textFill>
                        <w14:solidFill>
                          <w14:schemeClr w14:val="tx1"/>
                        </w14:solidFill>
                      </w14:textFill>
                    </w:rPr>
                    <w:t>“十四五”生</w:t>
                  </w:r>
                  <w:r>
                    <w:rPr>
                      <w:rFonts w:hint="default"/>
                      <w:color w:val="000000" w:themeColor="text1"/>
                      <w:lang w:val="en-US" w:eastAsia="zh-CN"/>
                      <w14:textFill>
                        <w14:solidFill>
                          <w14:schemeClr w14:val="tx1"/>
                        </w14:solidFill>
                      </w14:textFill>
                    </w:rPr>
                    <w:t>态环境保护规划</w:t>
                  </w:r>
                </w:p>
              </w:tc>
              <w:tc>
                <w:tcPr>
                  <w:tcW w:w="2328" w:type="dxa"/>
                  <w:noWrap w:val="0"/>
                  <w:vAlign w:val="center"/>
                </w:tcPr>
                <w:p w14:paraId="4B0D3514">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项目情况</w:t>
                  </w:r>
                </w:p>
              </w:tc>
              <w:tc>
                <w:tcPr>
                  <w:tcW w:w="980" w:type="dxa"/>
                  <w:noWrap w:val="0"/>
                  <w:vAlign w:val="center"/>
                </w:tcPr>
                <w:p w14:paraId="15D019D0">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相符性</w:t>
                  </w:r>
                </w:p>
              </w:tc>
            </w:tr>
            <w:tr w14:paraId="44B5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6" w:type="dxa"/>
                  <w:noWrap w:val="0"/>
                  <w:vAlign w:val="center"/>
                </w:tcPr>
                <w:p w14:paraId="0656BFDE">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1</w:t>
                  </w:r>
                </w:p>
              </w:tc>
              <w:tc>
                <w:tcPr>
                  <w:tcW w:w="4017" w:type="dxa"/>
                  <w:noWrap w:val="0"/>
                  <w:vAlign w:val="center"/>
                </w:tcPr>
                <w:p w14:paraId="091EF42D">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强化挥发性有机物（VOCs）治理精细化管理，在石化、化工、包装印刷、工业涂装等重点行业建立完善源头、过程和末端的VOCs全过程控制体系，实施VOCs排放总量控制；全面推进使用低VOCs含量涂料、油墨、胶粘剂、清洗剂等；加强汽修、干洗、餐饮等生活源VOCs综合治理；推进皖北地区胶合板、家具制造等产业集群升级改造，推进开发区、企业集群因地制宜推广建设涉VOCs</w:t>
                  </w:r>
                  <w:r>
                    <w:rPr>
                      <w:rFonts w:hint="eastAsia" w:ascii="宋体" w:hAnsi="宋体" w:eastAsia="宋体" w:cs="宋体"/>
                      <w:color w:val="000000" w:themeColor="text1"/>
                      <w:lang w:val="en-US" w:eastAsia="zh-CN"/>
                      <w14:textFill>
                        <w14:solidFill>
                          <w14:schemeClr w14:val="tx1"/>
                        </w14:solidFill>
                      </w14:textFill>
                    </w:rPr>
                    <w:t>“绿岛”</w:t>
                  </w:r>
                  <w:r>
                    <w:rPr>
                      <w:rFonts w:hint="default"/>
                      <w:color w:val="000000" w:themeColor="text1"/>
                      <w:lang w:val="en-US" w:eastAsia="zh-CN"/>
                      <w14:textFill>
                        <w14:solidFill>
                          <w14:schemeClr w14:val="tx1"/>
                        </w14:solidFill>
                      </w14:textFill>
                    </w:rPr>
                    <w:t>项目，推动涂装类统筹规划建设集中涂装中心，活性炭使用量大的统筹建设活性炭</w:t>
                  </w:r>
                  <w:r>
                    <w:rPr>
                      <w:rFonts w:hint="eastAsia"/>
                      <w:color w:val="000000" w:themeColor="text1"/>
                      <w:lang w:val="en-US" w:eastAsia="zh-CN"/>
                      <w14:textFill>
                        <w14:solidFill>
                          <w14:schemeClr w14:val="tx1"/>
                        </w14:solidFill>
                      </w14:textFill>
                    </w:rPr>
                    <w:t>本项目熔融挤出废气</w:t>
                  </w:r>
                  <w:r>
                    <w:rPr>
                      <w:rFonts w:hint="default"/>
                      <w:color w:val="000000" w:themeColor="text1"/>
                      <w:lang w:val="en-US" w:eastAsia="zh-CN"/>
                      <w14:textFill>
                        <w14:solidFill>
                          <w14:schemeClr w14:val="tx1"/>
                        </w14:solidFill>
                      </w14:textFill>
                    </w:rPr>
                    <w:t>集中处理中心，有机溶剂使用量大的建设溶剂回收中心。</w:t>
                  </w:r>
                </w:p>
              </w:tc>
              <w:tc>
                <w:tcPr>
                  <w:tcW w:w="2328" w:type="dxa"/>
                  <w:noWrap w:val="0"/>
                  <w:vAlign w:val="center"/>
                </w:tcPr>
                <w:p w14:paraId="75A16B09">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本项目属于塑料板、管、型材制造，不属于石化、化工、包装印刷、工业涂装等重点行业。</w:t>
                  </w:r>
                  <w:r>
                    <w:rPr>
                      <w:rFonts w:hint="eastAsia"/>
                      <w:color w:val="000000" w:themeColor="text1"/>
                      <w:lang w:val="en-US" w:eastAsia="zh-CN"/>
                      <w14:textFill>
                        <w14:solidFill>
                          <w14:schemeClr w14:val="tx1"/>
                        </w14:solidFill>
                      </w14:textFill>
                    </w:rPr>
                    <w:t>本项目熔融挤出废气采用集气罩收集</w:t>
                  </w:r>
                  <w:r>
                    <w:rPr>
                      <w:rFonts w:hint="eastAsia" w:cs="Times New Roman"/>
                      <w:b w:val="0"/>
                      <w:bCs w:val="0"/>
                      <w:color w:val="auto"/>
                      <w:sz w:val="21"/>
                      <w:szCs w:val="21"/>
                      <w:lang w:val="en-US" w:eastAsia="zh-CN"/>
                    </w:rPr>
                    <w:t>经</w:t>
                  </w:r>
                  <w:r>
                    <w:rPr>
                      <w:rFonts w:hint="eastAsia" w:cs="Times New Roman"/>
                      <w:color w:val="auto"/>
                      <w:kern w:val="2"/>
                      <w:sz w:val="21"/>
                      <w:szCs w:val="21"/>
                      <w:lang w:val="en-US" w:eastAsia="zh-CN" w:bidi="ar-SA"/>
                    </w:rPr>
                    <w:t>碱液喷淋+除雾器+CO催化燃烧装置处理，通过</w:t>
                  </w:r>
                  <w:r>
                    <w:rPr>
                      <w:rFonts w:hint="eastAsia" w:cs="Times New Roman"/>
                      <w:color w:val="000000" w:themeColor="text1"/>
                      <w:sz w:val="21"/>
                      <w:szCs w:val="21"/>
                      <w:lang w:val="en-US" w:eastAsia="zh-CN"/>
                      <w14:textFill>
                        <w14:solidFill>
                          <w14:schemeClr w14:val="tx1"/>
                        </w14:solidFill>
                      </w14:textFill>
                    </w:rPr>
                    <w:t>15m</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排气筒（DA00</w:t>
                  </w:r>
                  <w:r>
                    <w:rPr>
                      <w:rFonts w:hint="eastAsia" w:cs="Times New Roman"/>
                      <w:color w:val="000000" w:themeColor="text1"/>
                      <w:sz w:val="21"/>
                      <w:szCs w:val="21"/>
                      <w:lang w:val="en-US" w:eastAsia="zh-CN"/>
                      <w14:textFill>
                        <w14:solidFill>
                          <w14:schemeClr w14:val="tx1"/>
                        </w14:solidFill>
                      </w14:textFill>
                    </w:rPr>
                    <w:t>7</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）排放</w:t>
                  </w:r>
                </w:p>
              </w:tc>
              <w:tc>
                <w:tcPr>
                  <w:tcW w:w="980" w:type="dxa"/>
                  <w:noWrap w:val="0"/>
                  <w:vAlign w:val="center"/>
                </w:tcPr>
                <w:p w14:paraId="186EBFC3">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相符</w:t>
                  </w:r>
                </w:p>
              </w:tc>
            </w:tr>
          </w:tbl>
          <w:p w14:paraId="7CFBE9CE">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）项目与《挥发性有机物（VOC</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S</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）污染防治技术政策》相符性分析详见下表。</w:t>
            </w:r>
          </w:p>
          <w:p w14:paraId="4A94435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表1.</w:t>
            </w:r>
            <w:r>
              <w:rPr>
                <w:rFonts w:hint="eastAsia" w:cs="Times New Roman"/>
                <w:b/>
                <w:bCs/>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 xml:space="preserve">  挥发性有机物（VOC</w:t>
            </w:r>
            <w:r>
              <w:rPr>
                <w:rFonts w:hint="default" w:ascii="Times New Roman" w:hAnsi="Times New Roman" w:eastAsia="宋体" w:cs="Times New Roman"/>
                <w:b/>
                <w:bCs/>
                <w:color w:val="000000" w:themeColor="text1"/>
                <w:sz w:val="24"/>
                <w:szCs w:val="24"/>
                <w:vertAlign w:val="subscript"/>
                <w:lang w:val="en-US" w:eastAsia="zh-CN"/>
                <w14:textFill>
                  <w14:solidFill>
                    <w14:schemeClr w14:val="tx1"/>
                  </w14:solidFill>
                </w14:textFill>
              </w:rPr>
              <w:t>S</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）污染防治技术政策相符性分析一览表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3350"/>
              <w:gridCol w:w="2154"/>
              <w:gridCol w:w="870"/>
            </w:tblGrid>
            <w:tr w14:paraId="3B846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7" w:type="dxa"/>
                  <w:noWrap w:val="0"/>
                  <w:vAlign w:val="center"/>
                </w:tcPr>
                <w:p w14:paraId="3BB8857C">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序号</w:t>
                  </w:r>
                </w:p>
              </w:tc>
              <w:tc>
                <w:tcPr>
                  <w:tcW w:w="3976" w:type="dxa"/>
                  <w:noWrap w:val="0"/>
                  <w:vAlign w:val="center"/>
                </w:tcPr>
                <w:p w14:paraId="54778C47">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挥发性有机物（VOC</w:t>
                  </w:r>
                  <w:r>
                    <w:rPr>
                      <w:rFonts w:hint="default" w:ascii="Times New Roman" w:hAnsi="Times New Roman" w:eastAsia="宋体" w:cs="Times New Roman"/>
                      <w:color w:val="000000" w:themeColor="text1"/>
                      <w:sz w:val="21"/>
                      <w:szCs w:val="21"/>
                      <w:vertAlign w:val="subscript"/>
                      <w:lang w:val="en-US" w:eastAsia="zh-CN"/>
                      <w14:textFill>
                        <w14:solidFill>
                          <w14:schemeClr w14:val="tx1"/>
                        </w14:solidFill>
                      </w14:textFill>
                    </w:rPr>
                    <w:t>S</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）污染防治技术政策</w:t>
                  </w:r>
                </w:p>
              </w:tc>
              <w:tc>
                <w:tcPr>
                  <w:tcW w:w="2541" w:type="dxa"/>
                  <w:noWrap w:val="0"/>
                  <w:vAlign w:val="center"/>
                </w:tcPr>
                <w:p w14:paraId="00AC9834">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项目情况</w:t>
                  </w:r>
                </w:p>
              </w:tc>
              <w:tc>
                <w:tcPr>
                  <w:tcW w:w="1000" w:type="dxa"/>
                  <w:noWrap w:val="0"/>
                  <w:vAlign w:val="center"/>
                </w:tcPr>
                <w:p w14:paraId="1F88A886">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相符性</w:t>
                  </w:r>
                </w:p>
              </w:tc>
            </w:tr>
            <w:tr w14:paraId="1AA4D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7" w:type="dxa"/>
                  <w:noWrap w:val="0"/>
                  <w:vAlign w:val="center"/>
                </w:tcPr>
                <w:p w14:paraId="460A43AC">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w:t>
                  </w:r>
                </w:p>
              </w:tc>
              <w:tc>
                <w:tcPr>
                  <w:tcW w:w="3976" w:type="dxa"/>
                  <w:shd w:val="clear" w:color="auto" w:fill="auto"/>
                  <w:noWrap w:val="0"/>
                  <w:vAlign w:val="center"/>
                </w:tcPr>
                <w:p w14:paraId="41771931">
                  <w:pPr>
                    <w:keepNext w:val="0"/>
                    <w:keepLines w:val="0"/>
                    <w:pageBreakBefore w:val="0"/>
                    <w:widowControl w:val="0"/>
                    <w:numPr>
                      <w:ilvl w:val="0"/>
                      <w:numId w:val="0"/>
                    </w:numPr>
                    <w:kinsoku/>
                    <w:wordWrap/>
                    <w:overflowPunct/>
                    <w:topLinePunct w:val="0"/>
                    <w:bidi w:val="0"/>
                    <w:adjustRightInd w:val="0"/>
                    <w:snapToGrid w:val="0"/>
                    <w:ind w:left="0" w:leftChars="0" w:firstLine="0" w:firstLineChars="0"/>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对生产装置排放的含VOCs工艺排气宜优先回收利用</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不能</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或不能完全</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回收利用的经处理后达标排放</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应急情况下的泄放气可导入燃烧塔</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火炬</w:t>
                  </w:r>
                  <w:r>
                    <w:rPr>
                      <w:rFonts w:hint="eastAsia"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，经过充分燃烧后排放</w:t>
                  </w:r>
                </w:p>
              </w:tc>
              <w:tc>
                <w:tcPr>
                  <w:tcW w:w="2541" w:type="dxa"/>
                  <w:shd w:val="clear" w:color="auto" w:fill="auto"/>
                  <w:noWrap w:val="0"/>
                  <w:vAlign w:val="center"/>
                </w:tcPr>
                <w:p w14:paraId="6ECF4676">
                  <w:pPr>
                    <w:keepNext w:val="0"/>
                    <w:keepLines w:val="0"/>
                    <w:pageBreakBefore w:val="0"/>
                    <w:widowControl w:val="0"/>
                    <w:numPr>
                      <w:ilvl w:val="0"/>
                      <w:numId w:val="0"/>
                    </w:numPr>
                    <w:kinsoku/>
                    <w:wordWrap/>
                    <w:overflowPunct/>
                    <w:topLinePunct w:val="0"/>
                    <w:bidi w:val="0"/>
                    <w:adjustRightInd w:val="0"/>
                    <w:snapToGrid w:val="0"/>
                    <w:ind w:left="0" w:leftChars="0" w:firstLine="0" w:firstLineChars="0"/>
                    <w:jc w:val="center"/>
                    <w:textAlignment w:val="auto"/>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pPr>
                  <w:r>
                    <w:rPr>
                      <w:rFonts w:hint="eastAsia" w:cs="Times New Roman"/>
                      <w:color w:val="000000" w:themeColor="text1"/>
                      <w:kern w:val="0"/>
                      <w:sz w:val="21"/>
                      <w:szCs w:val="21"/>
                      <w:lang w:val="en-US" w:eastAsia="zh-CN" w:bidi="ar"/>
                      <w14:textFill>
                        <w14:solidFill>
                          <w14:schemeClr w14:val="tx1"/>
                        </w14:solidFill>
                      </w14:textFill>
                    </w:rPr>
                    <w:t>本项目熔融挤出工艺所产生的</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VOCs</w:t>
                  </w:r>
                  <w:r>
                    <w:rPr>
                      <w:rFonts w:hint="eastAsia"/>
                      <w:color w:val="000000" w:themeColor="text1"/>
                      <w:lang w:val="en-US" w:eastAsia="zh-CN"/>
                      <w14:textFill>
                        <w14:solidFill>
                          <w14:schemeClr w14:val="tx1"/>
                        </w14:solidFill>
                      </w14:textFill>
                    </w:rPr>
                    <w:t>采用集气罩收集</w:t>
                  </w:r>
                  <w:r>
                    <w:rPr>
                      <w:rFonts w:hint="eastAsia" w:cs="Times New Roman"/>
                      <w:b w:val="0"/>
                      <w:bCs w:val="0"/>
                      <w:color w:val="auto"/>
                      <w:sz w:val="21"/>
                      <w:szCs w:val="21"/>
                      <w:lang w:val="en-US" w:eastAsia="zh-CN"/>
                    </w:rPr>
                    <w:t>经</w:t>
                  </w:r>
                  <w:r>
                    <w:rPr>
                      <w:rFonts w:hint="eastAsia" w:cs="Times New Roman"/>
                      <w:color w:val="auto"/>
                      <w:kern w:val="2"/>
                      <w:sz w:val="21"/>
                      <w:szCs w:val="21"/>
                      <w:lang w:val="en-US" w:eastAsia="zh-CN" w:bidi="ar-SA"/>
                    </w:rPr>
                    <w:t>碱液喷淋+除雾器+CO催化燃烧装置处理，通过</w:t>
                  </w:r>
                  <w:r>
                    <w:rPr>
                      <w:rFonts w:hint="eastAsia" w:cs="Times New Roman"/>
                      <w:color w:val="000000" w:themeColor="text1"/>
                      <w:sz w:val="21"/>
                      <w:szCs w:val="21"/>
                      <w:lang w:val="en-US" w:eastAsia="zh-CN"/>
                      <w14:textFill>
                        <w14:solidFill>
                          <w14:schemeClr w14:val="tx1"/>
                        </w14:solidFill>
                      </w14:textFill>
                    </w:rPr>
                    <w:t>15m</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排气筒（DA00</w:t>
                  </w:r>
                  <w:r>
                    <w:rPr>
                      <w:rFonts w:hint="eastAsia" w:cs="Times New Roman"/>
                      <w:color w:val="000000" w:themeColor="text1"/>
                      <w:sz w:val="21"/>
                      <w:szCs w:val="21"/>
                      <w:lang w:val="en-US" w:eastAsia="zh-CN"/>
                      <w14:textFill>
                        <w14:solidFill>
                          <w14:schemeClr w14:val="tx1"/>
                        </w14:solidFill>
                      </w14:textFill>
                    </w:rPr>
                    <w:t>7</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）排放</w:t>
                  </w:r>
                </w:p>
              </w:tc>
              <w:tc>
                <w:tcPr>
                  <w:tcW w:w="1000" w:type="dxa"/>
                  <w:noWrap w:val="0"/>
                  <w:vAlign w:val="center"/>
                </w:tcPr>
                <w:p w14:paraId="631DCDB2">
                  <w:pPr>
                    <w:keepNext w:val="0"/>
                    <w:keepLines w:val="0"/>
                    <w:pageBreakBefore w:val="0"/>
                    <w:widowControl w:val="0"/>
                    <w:numPr>
                      <w:ilvl w:val="0"/>
                      <w:numId w:val="0"/>
                    </w:numPr>
                    <w:kinsoku/>
                    <w:wordWrap/>
                    <w:overflowPunct/>
                    <w:topLinePunct w:val="0"/>
                    <w:bidi w:val="0"/>
                    <w:adjustRightInd w:val="0"/>
                    <w:snapToGrid w:val="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相符</w:t>
                  </w:r>
                </w:p>
              </w:tc>
            </w:tr>
          </w:tbl>
          <w:p w14:paraId="3893A3D3">
            <w:pPr>
              <w:keepNext w:val="0"/>
              <w:keepLines w:val="0"/>
              <w:pageBreakBefore w:val="0"/>
              <w:widowControl w:val="0"/>
              <w:tabs>
                <w:tab w:val="left" w:pos="461"/>
              </w:tabs>
              <w:kinsoku/>
              <w:wordWrap/>
              <w:overflowPunct/>
              <w:topLinePunct w:val="0"/>
              <w:autoSpaceDE/>
              <w:autoSpaceDN/>
              <w:bidi w:val="0"/>
              <w:adjustRightInd w:val="0"/>
              <w:snapToGrid w:val="0"/>
              <w:spacing w:before="157" w:beforeLines="50" w:line="360" w:lineRule="auto"/>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eastAsia" w:cs="Times New Roman"/>
                <w:b/>
                <w:bCs/>
                <w:color w:val="000000" w:themeColor="text1"/>
                <w:kern w:val="2"/>
                <w:sz w:val="24"/>
                <w:szCs w:val="24"/>
                <w:lang w:val="en-US" w:eastAsia="zh-CN" w:bidi="ar-SA"/>
                <w14:textFill>
                  <w14:solidFill>
                    <w14:schemeClr w14:val="tx1"/>
                  </w14:solidFill>
                </w14:textFill>
              </w:rPr>
              <w:t>3.</w:t>
            </w: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产业政策符合性</w:t>
            </w:r>
          </w:p>
          <w:p w14:paraId="5B116090">
            <w:pPr>
              <w:adjustRightInd w:val="0"/>
              <w:snapToGrid w:val="0"/>
              <w:spacing w:line="360" w:lineRule="auto"/>
              <w:ind w:firstLine="480" w:firstLineChars="200"/>
              <w:rPr>
                <w:rFonts w:hint="default" w:ascii="Times New Roman" w:hAnsi="Times New Roman" w:eastAsia="宋体" w:cs="Times New Roman"/>
                <w:color w:val="FF0000"/>
                <w:sz w:val="24"/>
              </w:rPr>
            </w:pPr>
            <w:r>
              <w:rPr>
                <w:rFonts w:hint="default" w:ascii="Times New Roman" w:hAnsi="Times New Roman" w:cs="Times New Roman"/>
                <w:color w:val="auto"/>
                <w:sz w:val="24"/>
              </w:rPr>
              <w:t>根据</w:t>
            </w:r>
            <w:r>
              <w:rPr>
                <w:rFonts w:hint="eastAsia" w:cs="Times New Roman"/>
                <w:color w:val="auto"/>
                <w:sz w:val="24"/>
                <w:lang w:eastAsia="zh-CN"/>
              </w:rPr>
              <w:t>《产业结构调整指导目录（2024年本）》</w:t>
            </w:r>
            <w:r>
              <w:rPr>
                <w:rFonts w:hint="default" w:ascii="Times New Roman" w:hAnsi="Times New Roman" w:cs="Times New Roman"/>
                <w:color w:val="auto"/>
                <w:kern w:val="0"/>
                <w:sz w:val="24"/>
              </w:rPr>
              <w:t>，</w:t>
            </w:r>
            <w:r>
              <w:rPr>
                <w:rFonts w:hint="default" w:ascii="Times New Roman" w:hAnsi="Times New Roman" w:eastAsia="宋体" w:cs="Times New Roman"/>
                <w:color w:val="auto"/>
                <w:sz w:val="24"/>
              </w:rPr>
              <w:t>本项目属于</w:t>
            </w:r>
            <w:r>
              <w:rPr>
                <w:rFonts w:hint="default" w:ascii="Times New Roman" w:hAnsi="Times New Roman" w:eastAsia="宋体" w:cs="Times New Roman"/>
                <w:b w:val="0"/>
                <w:bCs w:val="0"/>
                <w:color w:val="auto"/>
                <w:sz w:val="24"/>
                <w:szCs w:val="24"/>
                <w:lang w:val="en-US" w:eastAsia="zh-CN"/>
              </w:rPr>
              <w:t>塑料板、管、型材制造</w:t>
            </w:r>
            <w:r>
              <w:rPr>
                <w:rFonts w:hint="default" w:ascii="Times New Roman" w:hAnsi="Times New Roman" w:eastAsia="宋体" w:cs="Times New Roman"/>
                <w:color w:val="auto"/>
                <w:sz w:val="24"/>
                <w:lang w:val="en-US" w:eastAsia="zh-CN"/>
              </w:rPr>
              <w:t>，</w:t>
            </w:r>
            <w:r>
              <w:rPr>
                <w:rFonts w:hint="default" w:ascii="Times New Roman" w:hAnsi="Times New Roman" w:eastAsia="宋体" w:cs="Times New Roman"/>
                <w:snapToGrid/>
                <w:color w:val="auto"/>
                <w:spacing w:val="0"/>
                <w:kern w:val="0"/>
                <w:position w:val="0"/>
                <w:sz w:val="24"/>
                <w:szCs w:val="24"/>
                <w:highlight w:val="none"/>
                <w:lang w:val="en-US" w:eastAsia="zh-CN" w:bidi="ar-SA"/>
              </w:rPr>
              <w:t>不属于鼓励类、限制类和淘汰类，</w:t>
            </w:r>
            <w:r>
              <w:rPr>
                <w:rFonts w:hint="eastAsia" w:ascii="Times New Roman" w:hAnsi="Times New Roman" w:cs="Times New Roman"/>
                <w:snapToGrid/>
                <w:color w:val="auto"/>
                <w:spacing w:val="0"/>
                <w:kern w:val="0"/>
                <w:position w:val="0"/>
                <w:sz w:val="24"/>
                <w:szCs w:val="24"/>
                <w:highlight w:val="none"/>
                <w:lang w:val="en-US" w:eastAsia="zh-CN" w:bidi="ar-SA"/>
              </w:rPr>
              <w:t>视为</w:t>
            </w:r>
            <w:r>
              <w:rPr>
                <w:rFonts w:hint="default" w:ascii="Times New Roman" w:hAnsi="Times New Roman" w:eastAsia="宋体" w:cs="Times New Roman"/>
                <w:snapToGrid/>
                <w:color w:val="auto"/>
                <w:spacing w:val="0"/>
                <w:kern w:val="0"/>
                <w:position w:val="0"/>
                <w:sz w:val="24"/>
                <w:szCs w:val="24"/>
                <w:highlight w:val="none"/>
                <w:lang w:val="en-US" w:eastAsia="zh-CN" w:bidi="ar-SA"/>
              </w:rPr>
              <w:t>允许类。</w:t>
            </w:r>
            <w:r>
              <w:rPr>
                <w:rFonts w:hint="default" w:ascii="Times New Roman" w:hAnsi="Times New Roman" w:eastAsia="宋体" w:cs="Times New Roman"/>
                <w:color w:val="auto"/>
                <w:sz w:val="24"/>
              </w:rPr>
              <w:t>因此，项目建设符合国家产业政策要求。</w:t>
            </w:r>
          </w:p>
          <w:p w14:paraId="5A3F3247">
            <w:pPr>
              <w:adjustRightInd w:val="0"/>
              <w:snapToGrid w:val="0"/>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项目于20</w:t>
            </w:r>
            <w:r>
              <w:rPr>
                <w:rFonts w:hint="default" w:ascii="Times New Roman" w:hAnsi="Times New Roman" w:eastAsia="宋体" w:cs="Times New Roman"/>
                <w:color w:val="auto"/>
                <w:sz w:val="24"/>
                <w:lang w:val="en-US" w:eastAsia="zh-CN"/>
              </w:rPr>
              <w:t>2</w:t>
            </w:r>
            <w:r>
              <w:rPr>
                <w:rFonts w:hint="eastAsia" w:cs="Times New Roman"/>
                <w:color w:val="auto"/>
                <w:sz w:val="24"/>
                <w:lang w:val="en-US" w:eastAsia="zh-CN"/>
              </w:rPr>
              <w:t>5</w:t>
            </w:r>
            <w:r>
              <w:rPr>
                <w:rFonts w:hint="default" w:ascii="Times New Roman" w:hAnsi="Times New Roman" w:eastAsia="宋体" w:cs="Times New Roman"/>
                <w:color w:val="auto"/>
                <w:sz w:val="24"/>
              </w:rPr>
              <w:t>年</w:t>
            </w:r>
            <w:r>
              <w:rPr>
                <w:rFonts w:hint="eastAsia" w:cs="Times New Roman"/>
                <w:color w:val="auto"/>
                <w:sz w:val="24"/>
                <w:lang w:val="en-US" w:eastAsia="zh-CN"/>
              </w:rPr>
              <w:t>8</w:t>
            </w:r>
            <w:r>
              <w:rPr>
                <w:rFonts w:hint="default" w:ascii="Times New Roman" w:hAnsi="Times New Roman" w:eastAsia="宋体" w:cs="Times New Roman"/>
                <w:color w:val="auto"/>
                <w:sz w:val="24"/>
              </w:rPr>
              <w:t>月</w:t>
            </w:r>
            <w:r>
              <w:rPr>
                <w:rFonts w:hint="eastAsia" w:cs="Times New Roman"/>
                <w:color w:val="auto"/>
                <w:sz w:val="24"/>
                <w:lang w:val="en-US" w:eastAsia="zh-CN"/>
              </w:rPr>
              <w:t>5</w:t>
            </w:r>
            <w:r>
              <w:rPr>
                <w:rFonts w:hint="default" w:ascii="Times New Roman" w:hAnsi="Times New Roman" w:eastAsia="宋体" w:cs="Times New Roman"/>
                <w:color w:val="auto"/>
                <w:sz w:val="24"/>
              </w:rPr>
              <w:t>日在</w:t>
            </w:r>
            <w:r>
              <w:rPr>
                <w:rFonts w:hint="eastAsia" w:cs="Times New Roman"/>
                <w:color w:val="auto"/>
                <w:kern w:val="0"/>
                <w:sz w:val="24"/>
                <w:szCs w:val="24"/>
                <w:lang w:val="en-US" w:eastAsia="zh-CN" w:bidi="ar"/>
              </w:rPr>
              <w:t>宿州市发展和改革委员会</w:t>
            </w:r>
            <w:r>
              <w:rPr>
                <w:rFonts w:hint="default" w:ascii="Times New Roman" w:hAnsi="Times New Roman" w:eastAsia="宋体" w:cs="Times New Roman"/>
                <w:color w:val="auto"/>
                <w:sz w:val="24"/>
              </w:rPr>
              <w:t>备案，项目代码为：</w:t>
            </w:r>
            <w:r>
              <w:rPr>
                <w:rFonts w:hint="eastAsia" w:cs="Times New Roman"/>
                <w:color w:val="auto"/>
                <w:sz w:val="24"/>
                <w:szCs w:val="24"/>
                <w:lang w:val="en-US" w:eastAsia="zh-CN"/>
              </w:rPr>
              <w:t>2508-341302-04-01-744434</w:t>
            </w:r>
            <w:r>
              <w:rPr>
                <w:rFonts w:hint="default" w:ascii="Times New Roman" w:hAnsi="Times New Roman" w:eastAsia="宋体" w:cs="Times New Roman"/>
                <w:color w:val="auto"/>
                <w:sz w:val="24"/>
              </w:rPr>
              <w:t>。因此，项目的建设符合地方的产业政策。</w:t>
            </w:r>
          </w:p>
          <w:p w14:paraId="0005FD6A">
            <w:pPr>
              <w:adjustRightInd w:val="0"/>
              <w:snapToGrid w:val="0"/>
              <w:spacing w:line="360" w:lineRule="auto"/>
              <w:ind w:firstLine="480" w:firstLineChars="200"/>
              <w:rPr>
                <w:rFonts w:hint="default" w:ascii="Times New Roman" w:hAnsi="Times New Roman" w:eastAsia="宋体" w:cs="Times New Roman"/>
                <w:color w:val="auto"/>
                <w:kern w:val="0"/>
                <w:sz w:val="24"/>
              </w:rPr>
            </w:pPr>
            <w:r>
              <w:rPr>
                <w:rFonts w:hint="default" w:ascii="Times New Roman" w:hAnsi="Times New Roman" w:eastAsia="宋体" w:cs="Times New Roman"/>
                <w:color w:val="auto"/>
                <w:sz w:val="24"/>
              </w:rPr>
              <w:t>综上所述，项目的</w:t>
            </w:r>
            <w:r>
              <w:rPr>
                <w:rFonts w:hint="default" w:ascii="Times New Roman" w:hAnsi="Times New Roman" w:eastAsia="宋体" w:cs="Times New Roman"/>
                <w:bCs/>
                <w:color w:val="auto"/>
                <w:kern w:val="0"/>
                <w:sz w:val="24"/>
              </w:rPr>
              <w:t>建设符合国家及地方的产业政策要求。</w:t>
            </w:r>
          </w:p>
          <w:p w14:paraId="6769EA45">
            <w:pPr>
              <w:pStyle w:val="31"/>
              <w:numPr>
                <w:ilvl w:val="0"/>
                <w:numId w:val="0"/>
              </w:numPr>
              <w:spacing w:line="360" w:lineRule="auto"/>
              <w:ind w:firstLine="0" w:firstLineChars="0"/>
              <w:rPr>
                <w:rFonts w:hint="default" w:ascii="Times New Roman" w:hAnsi="Times New Roman" w:eastAsia="宋体" w:cs="Times New Roman"/>
                <w:b/>
                <w:bCs/>
                <w:color w:val="auto"/>
              </w:rPr>
            </w:pPr>
            <w:r>
              <w:rPr>
                <w:rFonts w:hint="eastAsia" w:cs="Times New Roman"/>
                <w:b/>
                <w:bCs/>
                <w:color w:val="auto"/>
                <w:kern w:val="2"/>
                <w:sz w:val="24"/>
                <w:szCs w:val="24"/>
                <w:lang w:val="en-US" w:eastAsia="zh-CN" w:bidi="ar-SA"/>
              </w:rPr>
              <w:t>4.</w:t>
            </w:r>
            <w:r>
              <w:rPr>
                <w:rFonts w:hint="default" w:ascii="Times New Roman" w:hAnsi="Times New Roman" w:eastAsia="宋体" w:cs="Times New Roman"/>
                <w:b/>
                <w:color w:val="auto"/>
                <w:sz w:val="24"/>
              </w:rPr>
              <w:t>选址合理性和周边环境相容性分析</w:t>
            </w:r>
          </w:p>
          <w:p w14:paraId="691751CC">
            <w:pPr>
              <w:pStyle w:val="49"/>
              <w:keepNext w:val="0"/>
              <w:keepLines w:val="0"/>
              <w:pageBreakBefore w:val="0"/>
              <w:widowControl w:val="0"/>
              <w:numPr>
                <w:ilvl w:val="0"/>
                <w:numId w:val="0"/>
              </w:numPr>
              <w:kinsoku/>
              <w:wordWrap/>
              <w:overflowPunct/>
              <w:topLinePunct w:val="0"/>
              <w:autoSpaceDE/>
              <w:autoSpaceDN/>
              <w:bidi w:val="0"/>
              <w:adjustRightInd w:val="0"/>
              <w:snapToGrid w:val="0"/>
              <w:spacing w:before="0" w:line="360" w:lineRule="auto"/>
              <w:ind w:firstLine="480" w:firstLineChars="200"/>
              <w:textAlignment w:val="auto"/>
              <w:rPr>
                <w:rFonts w:hint="default" w:ascii="Times New Roman" w:hAnsi="Times New Roman" w:eastAsia="宋体" w:cs="Times New Roman"/>
                <w:b w:val="0"/>
                <w:bCs/>
                <w:color w:val="auto"/>
                <w:sz w:val="24"/>
                <w:szCs w:val="24"/>
                <w:lang w:eastAsia="zh-CN"/>
              </w:rPr>
            </w:pPr>
            <w:r>
              <w:rPr>
                <w:rFonts w:hint="eastAsia" w:cs="Times New Roman"/>
                <w:b w:val="0"/>
                <w:bCs/>
                <w:color w:val="auto"/>
                <w:sz w:val="24"/>
                <w:lang w:eastAsia="zh-CN"/>
              </w:rPr>
              <w:t>扩建</w:t>
            </w:r>
            <w:r>
              <w:rPr>
                <w:rFonts w:hint="default" w:ascii="Times New Roman" w:hAnsi="Times New Roman" w:eastAsia="宋体" w:cs="Times New Roman"/>
                <w:b w:val="0"/>
                <w:bCs/>
                <w:color w:val="auto"/>
                <w:sz w:val="24"/>
              </w:rPr>
              <w:t>项目所在地位于宿州市埇桥区循环经济示范园东二环西侧</w:t>
            </w:r>
            <w:r>
              <w:rPr>
                <w:rFonts w:hint="default" w:ascii="Times New Roman" w:hAnsi="Times New Roman" w:eastAsia="宋体" w:cs="Times New Roman"/>
                <w:b w:val="0"/>
                <w:bCs/>
                <w:color w:val="auto"/>
                <w:sz w:val="24"/>
                <w:highlight w:val="none"/>
                <w:u w:val="none"/>
                <w:lang w:val="en-US" w:eastAsia="zh-CN"/>
              </w:rPr>
              <w:t>，属于</w:t>
            </w:r>
            <w:r>
              <w:rPr>
                <w:rFonts w:hint="default" w:ascii="Times New Roman" w:hAnsi="Times New Roman" w:eastAsia="宋体" w:cs="Times New Roman"/>
                <w:b w:val="0"/>
                <w:bCs/>
                <w:color w:val="auto"/>
                <w:sz w:val="24"/>
              </w:rPr>
              <w:t>埇桥区循环经济示范园</w:t>
            </w:r>
            <w:r>
              <w:rPr>
                <w:rFonts w:hint="default" w:ascii="Times New Roman" w:hAnsi="Times New Roman" w:eastAsia="宋体" w:cs="Times New Roman"/>
                <w:b w:val="0"/>
                <w:bCs/>
                <w:color w:val="auto"/>
                <w:sz w:val="24"/>
                <w:highlight w:val="none"/>
                <w:u w:val="none"/>
                <w:lang w:val="en-US" w:eastAsia="zh-CN"/>
              </w:rPr>
              <w:t>。用</w:t>
            </w:r>
            <w:r>
              <w:rPr>
                <w:rFonts w:hint="default" w:ascii="Times New Roman" w:hAnsi="Times New Roman" w:eastAsia="宋体" w:cs="Times New Roman"/>
                <w:b w:val="0"/>
                <w:bCs/>
                <w:color w:val="auto"/>
                <w:sz w:val="24"/>
                <w:lang w:val="en-US" w:eastAsia="zh-CN"/>
              </w:rPr>
              <w:t>地性质为工业用地，建设内容与用地性质相符</w:t>
            </w:r>
            <w:r>
              <w:rPr>
                <w:rFonts w:hint="default" w:ascii="Times New Roman" w:hAnsi="Times New Roman" w:eastAsia="宋体" w:cs="Times New Roman"/>
                <w:b w:val="0"/>
                <w:bCs/>
                <w:color w:val="auto"/>
                <w:sz w:val="24"/>
                <w:szCs w:val="24"/>
                <w:lang w:eastAsia="zh-CN"/>
              </w:rPr>
              <w:t>。</w:t>
            </w:r>
          </w:p>
          <w:p w14:paraId="7668859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根据现场勘察，现院内除本项目以外</w:t>
            </w:r>
            <w:r>
              <w:rPr>
                <w:rFonts w:hint="eastAsia" w:cs="Times New Roman"/>
                <w:color w:val="auto"/>
                <w:kern w:val="0"/>
                <w:sz w:val="24"/>
                <w:szCs w:val="24"/>
                <w:highlight w:val="none"/>
                <w:lang w:val="en-US" w:eastAsia="zh-CN" w:bidi="ar"/>
              </w:rPr>
              <w:t>，其他均为空置厂房。</w:t>
            </w:r>
            <w:r>
              <w:rPr>
                <w:rFonts w:hint="default" w:ascii="Times New Roman" w:hAnsi="Times New Roman" w:eastAsia="宋体" w:cs="Times New Roman"/>
                <w:color w:val="auto"/>
                <w:kern w:val="0"/>
                <w:sz w:val="24"/>
                <w:szCs w:val="24"/>
                <w:highlight w:val="none"/>
                <w:lang w:val="en-US" w:eastAsia="zh-CN" w:bidi="ar"/>
              </w:rPr>
              <w:t>本项目评价区域内无生态保护区、自然保护区、风景</w:t>
            </w:r>
            <w:r>
              <w:rPr>
                <w:rFonts w:hint="eastAsia" w:cs="Times New Roman"/>
                <w:color w:val="auto"/>
                <w:kern w:val="0"/>
                <w:sz w:val="24"/>
                <w:szCs w:val="24"/>
                <w:highlight w:val="none"/>
                <w:lang w:val="en-US" w:eastAsia="zh-CN" w:bidi="ar"/>
              </w:rPr>
              <w:t>名胜区</w:t>
            </w:r>
            <w:r>
              <w:rPr>
                <w:rFonts w:hint="default" w:ascii="Times New Roman" w:hAnsi="Times New Roman" w:eastAsia="宋体" w:cs="Times New Roman"/>
                <w:color w:val="auto"/>
                <w:kern w:val="0"/>
                <w:sz w:val="24"/>
                <w:szCs w:val="24"/>
                <w:highlight w:val="none"/>
                <w:lang w:val="en-US" w:eastAsia="zh-CN" w:bidi="ar"/>
              </w:rPr>
              <w:t>、文化遗产保护区及饮用水源保护区等环境敏感目标，项目选址地块周边以闲置厂房为主。外环境制约因素小，本项目对运营期产生的污染物可实现达标排放，对周边环境影响可以接受，因此本项目建设与周边环境较相容。</w:t>
            </w:r>
          </w:p>
          <w:p w14:paraId="7A59E55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kern w:val="0"/>
                <w:sz w:val="24"/>
                <w:szCs w:val="24"/>
                <w:highlight w:val="none"/>
                <w:lang w:val="en-US" w:eastAsia="zh-CN" w:bidi="ar"/>
              </w:rPr>
              <w:t>本项目为</w:t>
            </w:r>
            <w:r>
              <w:rPr>
                <w:rFonts w:hint="default" w:ascii="Times New Roman" w:hAnsi="Times New Roman" w:eastAsia="宋体" w:cs="Times New Roman"/>
                <w:b w:val="0"/>
                <w:bCs w:val="0"/>
                <w:color w:val="auto"/>
                <w:sz w:val="24"/>
                <w:szCs w:val="24"/>
                <w:lang w:val="en-US" w:eastAsia="zh-CN"/>
              </w:rPr>
              <w:t>塑料板、管、型材制造</w:t>
            </w:r>
            <w:r>
              <w:rPr>
                <w:rFonts w:hint="eastAsia" w:asciiTheme="minorEastAsia" w:hAnsiTheme="minorEastAsia" w:eastAsiaTheme="minorEastAsia" w:cstheme="minorEastAsia"/>
                <w:b w:val="0"/>
                <w:bCs w:val="0"/>
                <w:color w:val="auto"/>
                <w:kern w:val="0"/>
                <w:sz w:val="24"/>
                <w:szCs w:val="24"/>
                <w:highlight w:val="none"/>
                <w:lang w:val="en-US" w:eastAsia="zh-CN" w:bidi="ar"/>
              </w:rPr>
              <w:t>项目，自身产污环节较少，在落实本次环评提出的相关污染防治措施，并认真履行“三同时”制度</w:t>
            </w:r>
            <w:r>
              <w:rPr>
                <w:rFonts w:hint="default" w:ascii="Times New Roman" w:hAnsi="Times New Roman" w:eastAsia="宋体" w:cs="Times New Roman"/>
                <w:b w:val="0"/>
                <w:bCs w:val="0"/>
                <w:color w:val="auto"/>
                <w:kern w:val="0"/>
                <w:sz w:val="24"/>
                <w:szCs w:val="24"/>
                <w:highlight w:val="none"/>
                <w:lang w:val="en-US" w:eastAsia="zh-CN" w:bidi="ar"/>
              </w:rPr>
              <w:t>后，根据预测分析可知，该项目的建设不会降低评价区域原有功能级别，对区域环境影响较小。</w:t>
            </w:r>
          </w:p>
          <w:p w14:paraId="391E375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bCs/>
                <w:sz w:val="24"/>
                <w:highlight w:val="none"/>
                <w:lang w:val="en-US" w:eastAsia="zh-CN"/>
              </w:rPr>
            </w:pPr>
            <w:r>
              <w:rPr>
                <w:rFonts w:hint="default" w:ascii="Times New Roman" w:hAnsi="Times New Roman" w:eastAsia="宋体" w:cs="Times New Roman"/>
                <w:b w:val="0"/>
                <w:bCs w:val="0"/>
                <w:color w:val="auto"/>
                <w:kern w:val="0"/>
                <w:sz w:val="24"/>
                <w:szCs w:val="24"/>
                <w:highlight w:val="none"/>
                <w:lang w:val="en-US" w:eastAsia="zh-CN" w:bidi="ar"/>
              </w:rPr>
              <w:t>综上所述，从选址、环境相容性等方面考虑，本项目建设选址是可行的</w:t>
            </w:r>
            <w:r>
              <w:rPr>
                <w:rFonts w:hint="default" w:ascii="Times New Roman" w:hAnsi="Times New Roman" w:eastAsia="宋体" w:cs="Times New Roman"/>
                <w:b w:val="0"/>
                <w:bCs w:val="0"/>
                <w:color w:val="000000"/>
                <w:kern w:val="0"/>
                <w:sz w:val="24"/>
                <w:szCs w:val="24"/>
                <w:highlight w:val="none"/>
                <w:lang w:val="en-US" w:eastAsia="zh-CN" w:bidi="ar"/>
              </w:rPr>
              <w:t>。</w:t>
            </w:r>
          </w:p>
          <w:p w14:paraId="5C8877E0">
            <w:pPr>
              <w:keepNext w:val="0"/>
              <w:keepLines w:val="0"/>
              <w:pageBreakBefore w:val="0"/>
              <w:widowControl/>
              <w:suppressLineNumbers w:val="0"/>
              <w:kinsoku/>
              <w:wordWrap/>
              <w:overflowPunct/>
              <w:topLinePunct w:val="0"/>
              <w:bidi w:val="0"/>
              <w:snapToGrid/>
              <w:spacing w:line="360" w:lineRule="auto"/>
              <w:ind w:firstLine="480" w:firstLineChars="200"/>
              <w:jc w:val="lef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kern w:val="0"/>
                <w:sz w:val="24"/>
                <w:szCs w:val="24"/>
                <w:highlight w:val="none"/>
                <w:lang w:val="en-US" w:eastAsia="zh-CN" w:bidi="ar"/>
              </w:rPr>
              <w:t xml:space="preserve"> </w:t>
            </w:r>
          </w:p>
          <w:p w14:paraId="54899406">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0" w:firstLine="480" w:firstLineChars="200"/>
              <w:textAlignment w:val="auto"/>
              <w:rPr>
                <w:rFonts w:hint="eastAsia" w:cs="Times New Roman"/>
                <w:kern w:val="0"/>
                <w:sz w:val="24"/>
                <w:szCs w:val="24"/>
                <w:lang w:val="en-US" w:eastAsia="zh-CN"/>
              </w:rPr>
            </w:pPr>
          </w:p>
          <w:p w14:paraId="2C8A6E11">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0" w:firstLine="480" w:firstLineChars="200"/>
              <w:textAlignment w:val="auto"/>
              <w:rPr>
                <w:rFonts w:hint="default" w:cs="Times New Roman"/>
                <w:kern w:val="0"/>
                <w:sz w:val="24"/>
                <w:szCs w:val="24"/>
                <w:lang w:val="en-US" w:eastAsia="zh-CN"/>
              </w:rPr>
            </w:pPr>
          </w:p>
          <w:p w14:paraId="33BC844F">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3D855E87">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068D3AA0">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214EE39E">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09D809F5">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58E9F549">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26B03089">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73633D80">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01FC4121">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6E8C16F4">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1067983D">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0A010AB7">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14B19688">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1CCC51B4">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3BAAC594">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3F747890">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1EAB0F09">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31091B36">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74F0D066">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18167758">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1D14E3B8">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00BD9F15">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27151253">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712E8682">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cs="Times New Roman"/>
                <w:kern w:val="0"/>
                <w:sz w:val="24"/>
                <w:szCs w:val="24"/>
                <w:lang w:val="en-US" w:eastAsia="zh-CN"/>
              </w:rPr>
            </w:pPr>
          </w:p>
          <w:p w14:paraId="1B37C99C">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default" w:ascii="Times New Roman" w:hAnsi="Times New Roman" w:eastAsia="宋体" w:cs="Times New Roman"/>
                <w:kern w:val="0"/>
                <w:sz w:val="24"/>
                <w:szCs w:val="24"/>
                <w:lang w:val="en-US" w:eastAsia="zh-CN"/>
              </w:rPr>
            </w:pPr>
          </w:p>
        </w:tc>
      </w:tr>
    </w:tbl>
    <w:p w14:paraId="673BA3E8">
      <w:pPr>
        <w:spacing w:line="360" w:lineRule="auto"/>
        <w:outlineLvl w:val="0"/>
        <w:rPr>
          <w:rFonts w:eastAsia="黑体"/>
          <w:sz w:val="30"/>
        </w:rPr>
        <w:sectPr>
          <w:footerReference r:id="rId3" w:type="default"/>
          <w:pgSz w:w="11906" w:h="16838"/>
          <w:pgMar w:top="1701" w:right="1531" w:bottom="1701" w:left="1531" w:header="851" w:footer="1077" w:gutter="0"/>
          <w:pgBorders>
            <w:top w:val="none" w:sz="0" w:space="0"/>
            <w:left w:val="none" w:sz="0" w:space="0"/>
            <w:bottom w:val="none" w:sz="0" w:space="0"/>
            <w:right w:val="none" w:sz="0" w:space="0"/>
          </w:pgBorders>
          <w:pgNumType w:fmt="decimal"/>
          <w:cols w:space="720" w:num="1"/>
          <w:docGrid w:linePitch="312" w:charSpace="0"/>
        </w:sectPr>
      </w:pPr>
    </w:p>
    <w:p w14:paraId="56F755CD">
      <w:pPr>
        <w:pStyle w:val="22"/>
        <w:keepNext w:val="0"/>
        <w:keepLines w:val="0"/>
        <w:pageBreakBefore w:val="0"/>
        <w:widowControl/>
        <w:kinsoku/>
        <w:wordWrap/>
        <w:overflowPunct/>
        <w:topLinePunct w:val="0"/>
        <w:autoSpaceDE/>
        <w:autoSpaceDN/>
        <w:bidi w:val="0"/>
        <w:adjustRightInd/>
        <w:snapToGrid/>
        <w:spacing w:before="0" w:beforeAutospacing="0"/>
        <w:jc w:val="center"/>
        <w:textAlignment w:val="auto"/>
        <w:outlineLvl w:val="0"/>
        <w:rPr>
          <w:rFonts w:hint="eastAsia" w:ascii="宋体" w:hAnsi="宋体" w:eastAsia="宋体" w:cs="宋体"/>
          <w:b/>
          <w:bCs/>
          <w:snapToGrid w:val="0"/>
          <w:sz w:val="30"/>
          <w:szCs w:val="30"/>
        </w:rPr>
      </w:pPr>
      <w:r>
        <w:rPr>
          <w:rFonts w:hint="eastAsia" w:ascii="宋体" w:hAnsi="宋体" w:eastAsia="宋体" w:cs="宋体"/>
          <w:b/>
          <w:bCs/>
          <w:snapToGrid w:val="0"/>
          <w:sz w:val="30"/>
          <w:szCs w:val="30"/>
        </w:rPr>
        <w:t>二、建设项目工程分析</w:t>
      </w:r>
    </w:p>
    <w:tbl>
      <w:tblPr>
        <w:tblStyle w:val="24"/>
        <w:tblW w:w="907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8680"/>
      </w:tblGrid>
      <w:tr w14:paraId="45CD6A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454" w:type="dxa"/>
            <w:tcBorders>
              <w:tl2br w:val="nil"/>
              <w:tr2bl w:val="nil"/>
            </w:tcBorders>
            <w:noWrap w:val="0"/>
            <w:vAlign w:val="center"/>
          </w:tcPr>
          <w:p w14:paraId="4F924D9B">
            <w:pPr>
              <w:pStyle w:val="22"/>
              <w:adjustRightInd w:val="0"/>
              <w:snapToGrid w:val="0"/>
              <w:spacing w:before="0" w:beforeAutospacing="0" w:after="0" w:afterAutospacing="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建设内容</w:t>
            </w:r>
          </w:p>
        </w:tc>
        <w:tc>
          <w:tcPr>
            <w:tcW w:w="8620" w:type="dxa"/>
            <w:tcBorders>
              <w:tl2br w:val="nil"/>
              <w:tr2bl w:val="nil"/>
            </w:tcBorders>
            <w:noWrap w:val="0"/>
            <w:vAlign w:val="top"/>
          </w:tcPr>
          <w:p w14:paraId="7AC9EF8E">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eastAsia" w:ascii="Times New Roman" w:hAnsi="Times New Roman" w:eastAsia="宋体" w:cs="Times New Roman"/>
                <w:sz w:val="24"/>
                <w:szCs w:val="24"/>
                <w:lang w:eastAsia="zh-CN"/>
              </w:rPr>
            </w:pPr>
            <w:r>
              <w:rPr>
                <w:rFonts w:hint="eastAsia" w:cs="Times New Roman"/>
                <w:b/>
                <w:bCs/>
                <w:color w:val="auto"/>
                <w:sz w:val="24"/>
                <w:szCs w:val="24"/>
                <w:lang w:val="en-US" w:eastAsia="zh-CN"/>
              </w:rPr>
              <w:t>1.</w:t>
            </w:r>
            <w:r>
              <w:rPr>
                <w:rFonts w:hint="eastAsia" w:ascii="Times New Roman" w:hAnsi="Times New Roman" w:eastAsia="宋体" w:cs="Times New Roman"/>
                <w:b/>
                <w:bCs/>
                <w:color w:val="auto"/>
                <w:sz w:val="24"/>
                <w:szCs w:val="24"/>
                <w:lang w:val="en-US" w:eastAsia="zh-CN"/>
              </w:rPr>
              <w:t>项目建设基本情况</w:t>
            </w:r>
          </w:p>
          <w:p w14:paraId="0970461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0" w:firstLineChars="0"/>
              <w:jc w:val="both"/>
              <w:textAlignment w:val="auto"/>
              <w:rPr>
                <w:rFonts w:hint="default" w:eastAsia="宋体"/>
                <w:color w:val="000000"/>
                <w:sz w:val="24"/>
                <w:lang w:val="en-US" w:eastAsia="zh-CN"/>
              </w:rPr>
            </w:pPr>
            <w:r>
              <w:rPr>
                <w:rFonts w:hint="eastAsia" w:eastAsia="宋体"/>
                <w:color w:val="000000"/>
                <w:sz w:val="24"/>
                <w:lang w:val="en-US" w:eastAsia="zh-CN"/>
              </w:rPr>
              <w:t>（1）</w:t>
            </w:r>
            <w:r>
              <w:rPr>
                <w:rFonts w:hint="eastAsia"/>
                <w:color w:val="000000"/>
                <w:sz w:val="24"/>
                <w:lang w:val="en-US" w:eastAsia="zh-CN"/>
              </w:rPr>
              <w:t>项目背景</w:t>
            </w:r>
          </w:p>
          <w:p w14:paraId="742A4D5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eastAsia="宋体" w:cs="Times New Roman"/>
                <w:sz w:val="24"/>
                <w:szCs w:val="24"/>
                <w:lang w:val="en-US" w:eastAsia="zh-CN"/>
              </w:rPr>
            </w:pPr>
            <w:r>
              <w:rPr>
                <w:rFonts w:hint="default" w:ascii="Times New Roman" w:hAnsi="Times New Roman" w:eastAsia="宋体" w:cs="Times New Roman"/>
                <w:sz w:val="24"/>
                <w:szCs w:val="24"/>
                <w:lang w:val="en-US" w:eastAsia="zh-CN"/>
              </w:rPr>
              <w:t>安徽爱乐新材料科技有限公司</w:t>
            </w:r>
            <w:r>
              <w:rPr>
                <w:rFonts w:hint="eastAsia" w:cs="Times New Roman"/>
                <w:sz w:val="24"/>
                <w:szCs w:val="24"/>
                <w:lang w:val="en-US" w:eastAsia="zh-CN"/>
              </w:rPr>
              <w:t>曾用名</w:t>
            </w:r>
            <w:r>
              <w:rPr>
                <w:rFonts w:hint="default" w:ascii="Times New Roman" w:hAnsi="Times New Roman" w:eastAsia="宋体" w:cs="Times New Roman"/>
                <w:sz w:val="24"/>
                <w:szCs w:val="24"/>
                <w:lang w:val="en-US" w:eastAsia="zh-CN"/>
              </w:rPr>
              <w:t>安徽淮宿建材有限公司</w:t>
            </w:r>
            <w:r>
              <w:rPr>
                <w:rFonts w:hint="eastAsia" w:cs="Times New Roman"/>
                <w:sz w:val="24"/>
                <w:szCs w:val="24"/>
                <w:lang w:val="en-US" w:eastAsia="zh-CN"/>
              </w:rPr>
              <w:t>，成立于2013年4月，主要从事木塑型材生产及深加工。2015年安徽爱乐新材料科技有限公司在</w:t>
            </w:r>
            <w:r>
              <w:rPr>
                <w:rFonts w:ascii="宋体" w:hAnsi="宋体" w:eastAsia="宋体" w:cs="宋体"/>
                <w:sz w:val="24"/>
                <w:szCs w:val="24"/>
              </w:rPr>
              <w:t>安徽省宿州市埇桥区循环经济示范园仁和路西侧</w:t>
            </w:r>
            <w:r>
              <w:rPr>
                <w:rFonts w:hint="eastAsia" w:ascii="宋体" w:hAnsi="宋体" w:cs="宋体"/>
                <w:sz w:val="24"/>
                <w:szCs w:val="24"/>
                <w:lang w:eastAsia="zh-CN"/>
              </w:rPr>
              <w:t>（厂区一）</w:t>
            </w:r>
            <w:r>
              <w:rPr>
                <w:rFonts w:hint="eastAsia" w:cs="Times New Roman"/>
                <w:sz w:val="24"/>
                <w:szCs w:val="24"/>
                <w:lang w:val="en-US" w:eastAsia="zh-CN"/>
              </w:rPr>
              <w:t>投资5500万元建设年产1万吨木塑型材及深加工项目。该项目已于2014年12月30日经宿州市埇桥区发展和改革委员会予以备案。于2015年3月16日经埇桥区环保局以《关于安徽淮宿建材有限公司年产1万吨木塑型材及深加工项目环境影响报告表的批复》(埇环建字〔2015〕10号）从环保角度同意该项目开工建设。2017年2月，项目建设完成。2017年3月27日经埇桥区环境保护局以《关于安徽淮宿建材有限公司年产1万吨木塑型材及深加工项目竣工环保验收意见》（埇环验字【2017]11号）同意该项目通过竣工环境保护验收。2020年10月28日，安徽爱乐新材料科技有限公司进行了排污许可登记管理申请（证书编号：91341302066516894M001X）。2024年10月16日对排污登记进行变更。</w:t>
            </w:r>
          </w:p>
          <w:p w14:paraId="1849CBD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sz w:val="24"/>
                <w:szCs w:val="24"/>
                <w:lang w:val="en-US" w:eastAsia="zh-CN"/>
              </w:rPr>
            </w:pPr>
            <w:r>
              <w:rPr>
                <w:rFonts w:hint="eastAsia" w:cs="Times New Roman"/>
                <w:sz w:val="24"/>
                <w:szCs w:val="24"/>
                <w:lang w:val="en-US" w:eastAsia="zh-CN"/>
              </w:rPr>
              <w:t>2023年5月，安徽爱乐新材料科技有限公司在厂区一内进行扩建，投资4600 万元建设《安徽淮宿建材有限公司年产3万吨节能环保木塑型材及深加工扩建项目》，该项目于2023年10月26日取得《关于安徽淮宿建材有限公司年产3万吨节能环保木塑型材及深加工扩建项目环境影响报告表的批复》（宿州市埇桥区生态环境分局，埇环建字[2023]57号），2024年4月7日该项目在全国建设项目竣工环境保护验收系统进行备案（阶段性验收，验收产能为20000 吨木塑型材）。2025年2月8日该项目在全国建设项目竣工环境保护验收系统进行备案（阶段性验收，验收产能为7500 吨木塑型材）。</w:t>
            </w:r>
          </w:p>
          <w:p w14:paraId="14BBFE78">
            <w:pPr>
              <w:pStyle w:val="2"/>
              <w:keepNext w:val="0"/>
              <w:keepLines w:val="0"/>
              <w:pageBreakBefore w:val="0"/>
              <w:widowControl/>
              <w:kinsoku/>
              <w:wordWrap/>
              <w:overflowPunct/>
              <w:topLinePunct w:val="0"/>
              <w:autoSpaceDE/>
              <w:autoSpaceDN/>
              <w:bidi w:val="0"/>
              <w:adjustRightInd w:val="0"/>
              <w:snapToGrid w:val="0"/>
              <w:spacing w:line="360" w:lineRule="auto"/>
              <w:ind w:right="113" w:firstLine="480" w:firstLineChars="200"/>
              <w:textAlignment w:val="auto"/>
              <w:rPr>
                <w:rFonts w:hint="default"/>
                <w:lang w:val="en-US" w:eastAsia="zh-CN"/>
              </w:rPr>
            </w:pPr>
            <w:r>
              <w:rPr>
                <w:rFonts w:hint="eastAsia" w:cs="Times New Roman"/>
                <w:sz w:val="24"/>
                <w:szCs w:val="24"/>
                <w:lang w:val="en-US" w:eastAsia="zh-CN"/>
              </w:rPr>
              <w:t>由于市场原因安徽爱乐新材料科技有限公司拟在</w:t>
            </w:r>
            <w:r>
              <w:rPr>
                <w:rFonts w:ascii="宋体" w:hAnsi="宋体" w:eastAsia="宋体" w:cs="宋体"/>
                <w:sz w:val="24"/>
                <w:szCs w:val="24"/>
              </w:rPr>
              <w:t>宿州</w:t>
            </w:r>
            <w:r>
              <w:rPr>
                <w:rFonts w:hint="eastAsia" w:ascii="宋体" w:hAnsi="宋体" w:cs="宋体"/>
                <w:sz w:val="24"/>
                <w:szCs w:val="24"/>
                <w:lang w:eastAsia="zh-CN"/>
              </w:rPr>
              <w:t>市</w:t>
            </w:r>
            <w:r>
              <w:rPr>
                <w:rFonts w:ascii="宋体" w:hAnsi="宋体" w:eastAsia="宋体" w:cs="宋体"/>
                <w:sz w:val="24"/>
                <w:szCs w:val="24"/>
              </w:rPr>
              <w:t>埇桥</w:t>
            </w:r>
            <w:r>
              <w:rPr>
                <w:rFonts w:hint="eastAsia" w:ascii="宋体" w:hAnsi="宋体" w:cs="宋体"/>
                <w:sz w:val="24"/>
                <w:szCs w:val="24"/>
                <w:lang w:eastAsia="zh-CN"/>
              </w:rPr>
              <w:t>区</w:t>
            </w:r>
            <w:r>
              <w:rPr>
                <w:rFonts w:ascii="宋体" w:hAnsi="宋体" w:eastAsia="宋体" w:cs="宋体"/>
                <w:sz w:val="24"/>
                <w:szCs w:val="24"/>
              </w:rPr>
              <w:t>循环经济示范园</w:t>
            </w:r>
            <w:r>
              <w:rPr>
                <w:rFonts w:ascii="宋体" w:hAnsi="宋体" w:eastAsia="宋体" w:cs="宋体"/>
                <w:sz w:val="24"/>
                <w:szCs w:val="24"/>
                <w:highlight w:val="none"/>
              </w:rPr>
              <w:t>东二环西侧</w:t>
            </w:r>
            <w:r>
              <w:rPr>
                <w:rFonts w:hint="eastAsia" w:ascii="宋体" w:hAnsi="宋体" w:cs="宋体"/>
                <w:color w:val="000000" w:themeColor="text1"/>
                <w:sz w:val="24"/>
                <w:szCs w:val="24"/>
                <w:highlight w:val="none"/>
                <w:u w:val="none"/>
                <w:lang w:val="en-US" w:eastAsia="zh-CN"/>
                <w14:textFill>
                  <w14:solidFill>
                    <w14:schemeClr w14:val="tx1"/>
                  </w14:solidFill>
                </w14:textFill>
              </w:rPr>
              <w:t>（厂区二）新建厂房，</w:t>
            </w:r>
            <w:r>
              <w:rPr>
                <w:rFonts w:hint="eastAsia" w:ascii="宋体" w:hAnsi="宋体" w:cs="宋体"/>
                <w:color w:val="000000" w:themeColor="text1"/>
                <w:sz w:val="24"/>
                <w:szCs w:val="24"/>
                <w:u w:val="none"/>
                <w:lang w:val="en-US" w:eastAsia="zh-CN"/>
                <w14:textFill>
                  <w14:solidFill>
                    <w14:schemeClr w14:val="tx1"/>
                  </w14:solidFill>
                </w14:textFill>
              </w:rPr>
              <w:t>建设</w:t>
            </w:r>
            <w:r>
              <w:rPr>
                <w:rFonts w:hint="eastAsia" w:ascii="宋体" w:hAnsi="宋体" w:eastAsia="宋体" w:cs="宋体"/>
                <w:color w:val="000000" w:themeColor="text1"/>
                <w:sz w:val="24"/>
                <w:szCs w:val="24"/>
                <w:u w:val="none"/>
                <w:lang w:val="en-US" w:eastAsia="zh-CN"/>
                <w14:textFill>
                  <w14:solidFill>
                    <w14:schemeClr w14:val="tx1"/>
                  </w14:solidFill>
                </w14:textFill>
              </w:rPr>
              <w:t>《</w:t>
            </w:r>
            <w:r>
              <w:rPr>
                <w:rFonts w:hint="default" w:ascii="Times New Roman" w:hAnsi="Times New Roman" w:eastAsia="宋体" w:cs="Times New Roman"/>
                <w:sz w:val="24"/>
                <w:szCs w:val="24"/>
                <w:lang w:val="en-US" w:eastAsia="zh-CN"/>
              </w:rPr>
              <w:t>安徽爱乐新材料科技有限公司年产一万吨高性能秸秆木塑型材智能制造项目</w:t>
            </w:r>
            <w:r>
              <w:rPr>
                <w:rFonts w:hint="eastAsia" w:cs="Times New Roman"/>
                <w:sz w:val="24"/>
                <w:szCs w:val="24"/>
                <w:lang w:val="en-US" w:eastAsia="zh-CN"/>
              </w:rPr>
              <w:t>》，新建厂房3000平方米，项目建成后能够达到</w:t>
            </w:r>
            <w:r>
              <w:rPr>
                <w:rFonts w:hint="eastAsia" w:ascii="Times New Roman" w:hAnsi="Times New Roman" w:eastAsia="宋体" w:cs="Times New Roman"/>
                <w:snapToGrid/>
                <w:color w:val="auto"/>
                <w:spacing w:val="0"/>
                <w:kern w:val="0"/>
                <w:position w:val="0"/>
                <w:sz w:val="24"/>
                <w:szCs w:val="24"/>
                <w:lang w:val="en-US" w:eastAsia="zh-CN"/>
              </w:rPr>
              <w:t>年产7100</w:t>
            </w:r>
            <w:r>
              <w:rPr>
                <w:rFonts w:hint="eastAsia" w:cs="Times New Roman"/>
                <w:snapToGrid/>
                <w:color w:val="auto"/>
                <w:spacing w:val="0"/>
                <w:kern w:val="0"/>
                <w:position w:val="0"/>
                <w:sz w:val="24"/>
                <w:szCs w:val="24"/>
                <w:lang w:val="en-US" w:eastAsia="zh-CN"/>
              </w:rPr>
              <w:t>吨</w:t>
            </w:r>
            <w:r>
              <w:rPr>
                <w:rFonts w:hint="eastAsia" w:ascii="Times New Roman" w:hAnsi="Times New Roman" w:cs="Times New Roman"/>
                <w:color w:val="auto"/>
                <w:kern w:val="0"/>
                <w:sz w:val="24"/>
                <w:szCs w:val="24"/>
                <w:lang w:val="en-US" w:eastAsia="zh-CN"/>
              </w:rPr>
              <w:t>PVC板</w:t>
            </w:r>
            <w:r>
              <w:rPr>
                <w:rFonts w:hint="eastAsia" w:cs="Times New Roman"/>
                <w:color w:val="auto"/>
                <w:kern w:val="0"/>
                <w:sz w:val="24"/>
                <w:szCs w:val="24"/>
                <w:lang w:val="en-US" w:eastAsia="zh-CN"/>
              </w:rPr>
              <w:t>，</w:t>
            </w:r>
            <w:r>
              <w:rPr>
                <w:rFonts w:hint="eastAsia" w:cs="Times New Roman"/>
                <w:snapToGrid/>
                <w:color w:val="auto"/>
                <w:spacing w:val="0"/>
                <w:kern w:val="0"/>
                <w:position w:val="0"/>
                <w:sz w:val="24"/>
                <w:szCs w:val="24"/>
                <w:lang w:val="en-US" w:eastAsia="zh-CN"/>
              </w:rPr>
              <w:t>2900吨</w:t>
            </w:r>
            <w:r>
              <w:rPr>
                <w:rFonts w:hint="eastAsia" w:ascii="Times New Roman" w:hAnsi="Times New Roman" w:cs="Times New Roman"/>
                <w:color w:val="auto"/>
                <w:kern w:val="0"/>
                <w:sz w:val="24"/>
                <w:szCs w:val="24"/>
                <w:lang w:val="en-US" w:eastAsia="zh-CN"/>
              </w:rPr>
              <w:t>PE</w:t>
            </w:r>
            <w:r>
              <w:rPr>
                <w:rFonts w:hint="eastAsia" w:cs="Times New Roman"/>
                <w:color w:val="auto"/>
                <w:kern w:val="0"/>
                <w:sz w:val="24"/>
                <w:szCs w:val="24"/>
                <w:lang w:val="en-US" w:eastAsia="zh-CN"/>
              </w:rPr>
              <w:t>板</w:t>
            </w:r>
            <w:r>
              <w:rPr>
                <w:rFonts w:hint="eastAsia" w:cs="Times New Roman"/>
                <w:snapToGrid/>
                <w:color w:val="auto"/>
                <w:spacing w:val="0"/>
                <w:kern w:val="0"/>
                <w:position w:val="0"/>
                <w:sz w:val="24"/>
                <w:szCs w:val="24"/>
                <w:lang w:val="en-US" w:eastAsia="zh-CN"/>
              </w:rPr>
              <w:t>的生产能力</w:t>
            </w:r>
            <w:r>
              <w:rPr>
                <w:rFonts w:hint="eastAsia" w:ascii="Times New Roman" w:hAnsi="Times New Roman" w:eastAsia="宋体" w:cs="Times New Roman"/>
                <w:snapToGrid/>
                <w:color w:val="auto"/>
                <w:spacing w:val="0"/>
                <w:kern w:val="0"/>
                <w:position w:val="0"/>
                <w:sz w:val="24"/>
                <w:szCs w:val="24"/>
                <w:lang w:val="en-US" w:eastAsia="zh-CN"/>
              </w:rPr>
              <w:t>。</w:t>
            </w:r>
          </w:p>
          <w:p w14:paraId="6DDC4139">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eastAsia="宋体"/>
                <w:color w:val="auto"/>
                <w:sz w:val="24"/>
                <w:lang w:val="en-US" w:eastAsia="zh-CN"/>
              </w:rPr>
            </w:pPr>
            <w:r>
              <w:rPr>
                <w:rFonts w:hint="eastAsia"/>
                <w:color w:val="auto"/>
                <w:sz w:val="24"/>
                <w:lang w:val="en-US" w:eastAsia="zh-CN"/>
              </w:rPr>
              <w:t>（2）</w:t>
            </w:r>
            <w:r>
              <w:rPr>
                <w:rFonts w:hint="eastAsia" w:eastAsia="宋体"/>
                <w:color w:val="auto"/>
                <w:sz w:val="24"/>
                <w:lang w:val="en-US" w:eastAsia="zh-CN"/>
              </w:rPr>
              <w:t>环评报告表类别确定</w:t>
            </w:r>
          </w:p>
          <w:p w14:paraId="4A7EF76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根据《中华人民共和国环境保护法》《中华人民共和国环境影响评价法》《建设项目环境影响评价分类管理名录（2021 年版）》（生态环境部令第16号）中的有关规定，本项目属于“</w:t>
            </w:r>
            <w:r>
              <w:rPr>
                <w:rFonts w:hint="eastAsia" w:cs="Times New Roman"/>
                <w:color w:val="auto"/>
                <w:kern w:val="2"/>
                <w:sz w:val="24"/>
                <w:szCs w:val="24"/>
                <w:lang w:val="en-US" w:eastAsia="zh-CN" w:bidi="ar-SA"/>
              </w:rPr>
              <w:t>二</w:t>
            </w:r>
            <w:r>
              <w:rPr>
                <w:rFonts w:hint="eastAsia" w:ascii="Times New Roman" w:hAnsi="Times New Roman" w:eastAsia="宋体" w:cs="Times New Roman"/>
                <w:color w:val="auto"/>
                <w:kern w:val="2"/>
                <w:sz w:val="24"/>
                <w:szCs w:val="24"/>
                <w:lang w:val="en-US" w:eastAsia="zh-CN" w:bidi="ar-SA"/>
              </w:rPr>
              <w:t>十六、</w:t>
            </w:r>
            <w:r>
              <w:rPr>
                <w:rFonts w:hint="eastAsia" w:cs="Times New Roman"/>
                <w:color w:val="auto"/>
                <w:kern w:val="2"/>
                <w:sz w:val="24"/>
                <w:szCs w:val="24"/>
                <w:lang w:val="en-US" w:eastAsia="zh-CN" w:bidi="ar-SA"/>
              </w:rPr>
              <w:t>橡胶和塑料制品业 29，53塑料制品业292</w:t>
            </w:r>
            <w:r>
              <w:rPr>
                <w:rFonts w:hint="eastAsia" w:ascii="Times New Roman" w:hAnsi="Times New Roman" w:eastAsia="宋体" w:cs="Times New Roman"/>
                <w:color w:val="auto"/>
                <w:kern w:val="2"/>
                <w:sz w:val="24"/>
                <w:szCs w:val="24"/>
                <w:lang w:val="en-US" w:eastAsia="zh-CN" w:bidi="ar-SA"/>
              </w:rPr>
              <w:t>”，应当编制环境影响报告表。</w:t>
            </w:r>
          </w:p>
          <w:p w14:paraId="550FBE62">
            <w:pPr>
              <w:widowControl/>
              <w:spacing w:line="360" w:lineRule="auto"/>
              <w:jc w:val="center"/>
              <w:rPr>
                <w:rFonts w:ascii="宋体" w:hAnsi="宋体" w:cs="宋体"/>
                <w:b/>
                <w:bCs/>
                <w:color w:val="auto"/>
                <w:kern w:val="0"/>
                <w:sz w:val="24"/>
                <w:lang w:bidi="ar"/>
              </w:rPr>
            </w:pPr>
            <w:r>
              <w:rPr>
                <w:rFonts w:hint="eastAsia"/>
                <w:b/>
                <w:bCs/>
                <w:color w:val="auto"/>
                <w:sz w:val="24"/>
              </w:rPr>
              <w:t xml:space="preserve">表2.1 </w:t>
            </w:r>
            <w:r>
              <w:rPr>
                <w:rFonts w:hint="eastAsia"/>
                <w:b/>
                <w:bCs/>
                <w:color w:val="auto"/>
                <w:sz w:val="24"/>
                <w:lang w:val="en-US" w:eastAsia="zh-CN"/>
              </w:rPr>
              <w:t xml:space="preserve"> </w:t>
            </w:r>
            <w:r>
              <w:rPr>
                <w:rFonts w:hint="eastAsia" w:ascii="宋体" w:hAnsi="宋体" w:cs="宋体"/>
                <w:b/>
                <w:bCs/>
                <w:color w:val="auto"/>
                <w:kern w:val="0"/>
                <w:sz w:val="24"/>
                <w:lang w:bidi="ar"/>
              </w:rPr>
              <w:t>环评类别对照表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
              <w:gridCol w:w="1687"/>
              <w:gridCol w:w="1991"/>
              <w:gridCol w:w="2076"/>
              <w:gridCol w:w="916"/>
              <w:gridCol w:w="1271"/>
            </w:tblGrid>
            <w:tr w14:paraId="039DD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00" w:type="pct"/>
                  <w:gridSpan w:val="2"/>
                  <w:vMerge w:val="restart"/>
                  <w:noWrap w:val="0"/>
                  <w:vAlign w:val="center"/>
                </w:tcPr>
                <w:p w14:paraId="26B2DD15">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项目类别</w:t>
                  </w:r>
                </w:p>
                <w:p w14:paraId="4BBD1991">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环评类别</w:t>
                  </w:r>
                </w:p>
              </w:tc>
              <w:tc>
                <w:tcPr>
                  <w:tcW w:w="2948" w:type="pct"/>
                  <w:gridSpan w:val="3"/>
                  <w:noWrap w:val="0"/>
                  <w:vAlign w:val="center"/>
                </w:tcPr>
                <w:p w14:paraId="6CCB27F7">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环境影响评价类别</w:t>
                  </w:r>
                </w:p>
              </w:tc>
              <w:tc>
                <w:tcPr>
                  <w:tcW w:w="750" w:type="pct"/>
                  <w:vMerge w:val="restart"/>
                  <w:noWrap w:val="0"/>
                  <w:vAlign w:val="center"/>
                </w:tcPr>
                <w:p w14:paraId="531BD9D6">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项目环评类别判定</w:t>
                  </w:r>
                </w:p>
              </w:tc>
            </w:tr>
            <w:tr w14:paraId="3BB9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00" w:type="pct"/>
                  <w:gridSpan w:val="2"/>
                  <w:vMerge w:val="continue"/>
                  <w:noWrap w:val="0"/>
                  <w:vAlign w:val="center"/>
                </w:tcPr>
                <w:p w14:paraId="5F12B7B3">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p>
              </w:tc>
              <w:tc>
                <w:tcPr>
                  <w:tcW w:w="1178" w:type="pct"/>
                  <w:noWrap w:val="0"/>
                  <w:vAlign w:val="center"/>
                </w:tcPr>
                <w:p w14:paraId="18A8C83A">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报告书</w:t>
                  </w:r>
                </w:p>
              </w:tc>
              <w:tc>
                <w:tcPr>
                  <w:tcW w:w="1228" w:type="pct"/>
                  <w:noWrap w:val="0"/>
                  <w:vAlign w:val="center"/>
                </w:tcPr>
                <w:p w14:paraId="5ACA924D">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报告表</w:t>
                  </w:r>
                </w:p>
              </w:tc>
              <w:tc>
                <w:tcPr>
                  <w:tcW w:w="542" w:type="pct"/>
                  <w:noWrap w:val="0"/>
                  <w:vAlign w:val="center"/>
                </w:tcPr>
                <w:p w14:paraId="726E0DC0">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登记表</w:t>
                  </w:r>
                </w:p>
              </w:tc>
              <w:tc>
                <w:tcPr>
                  <w:tcW w:w="750" w:type="pct"/>
                  <w:vMerge w:val="continue"/>
                  <w:noWrap w:val="0"/>
                  <w:vAlign w:val="center"/>
                </w:tcPr>
                <w:p w14:paraId="080726AE">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p>
              </w:tc>
            </w:tr>
            <w:tr w14:paraId="65344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0"/>
                  <w:vAlign w:val="center"/>
                </w:tcPr>
                <w:p w14:paraId="43125B69">
                  <w:pPr>
                    <w:keepNext w:val="0"/>
                    <w:keepLines w:val="0"/>
                    <w:pageBreakBefore w:val="0"/>
                    <w:kinsoku/>
                    <w:wordWrap/>
                    <w:overflowPunct/>
                    <w:topLinePunct w:val="0"/>
                    <w:autoSpaceDE/>
                    <w:autoSpaceDN/>
                    <w:bidi w:val="0"/>
                    <w:ind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二十六、橡胶和塑料制品业 29</w:t>
                  </w:r>
                </w:p>
              </w:tc>
            </w:tr>
            <w:tr w14:paraId="31D5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02" w:type="pct"/>
                  <w:noWrap w:val="0"/>
                  <w:vAlign w:val="center"/>
                </w:tcPr>
                <w:p w14:paraId="2530E59E">
                  <w:pPr>
                    <w:keepNext w:val="0"/>
                    <w:keepLines w:val="0"/>
                    <w:pageBreakBefore w:val="0"/>
                    <w:kinsoku/>
                    <w:wordWrap/>
                    <w:overflowPunct/>
                    <w:topLinePunct w:val="0"/>
                    <w:autoSpaceDE/>
                    <w:autoSpaceDN/>
                    <w:bidi w:val="0"/>
                    <w:ind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53</w:t>
                  </w:r>
                </w:p>
              </w:tc>
              <w:tc>
                <w:tcPr>
                  <w:tcW w:w="998" w:type="pct"/>
                  <w:noWrap w:val="0"/>
                  <w:vAlign w:val="center"/>
                </w:tcPr>
                <w:p w14:paraId="3CD3B9DD">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塑料制品业 292</w:t>
                  </w:r>
                </w:p>
              </w:tc>
              <w:tc>
                <w:tcPr>
                  <w:tcW w:w="1178" w:type="pct"/>
                  <w:noWrap w:val="0"/>
                  <w:vAlign w:val="center"/>
                </w:tcPr>
                <w:p w14:paraId="6FBB076E">
                  <w:pPr>
                    <w:keepNext w:val="0"/>
                    <w:keepLines w:val="0"/>
                    <w:pageBreakBefore w:val="0"/>
                    <w:kinsoku/>
                    <w:wordWrap/>
                    <w:overflowPunct/>
                    <w:topLinePunct w:val="0"/>
                    <w:autoSpaceDE/>
                    <w:autoSpaceDN/>
                    <w:bidi w:val="0"/>
                    <w:ind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以再生塑料为原料生产的；有电镀工艺的；年用溶剂型胶粘剂10吨及以上的；年用溶剂型涂料（含稀释剂）10吨及以上的</w:t>
                  </w:r>
                </w:p>
              </w:tc>
              <w:tc>
                <w:tcPr>
                  <w:tcW w:w="1228" w:type="pct"/>
                  <w:noWrap w:val="0"/>
                  <w:vAlign w:val="center"/>
                </w:tcPr>
                <w:p w14:paraId="3C0A745A">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其他（年用非溶剂型低VOCs含量涂料10吨以下的除外）</w:t>
                  </w:r>
                </w:p>
              </w:tc>
              <w:tc>
                <w:tcPr>
                  <w:tcW w:w="542" w:type="pct"/>
                  <w:noWrap w:val="0"/>
                  <w:vAlign w:val="center"/>
                </w:tcPr>
                <w:p w14:paraId="7B1F1C78">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w:t>
                  </w:r>
                </w:p>
              </w:tc>
              <w:tc>
                <w:tcPr>
                  <w:tcW w:w="750" w:type="pct"/>
                  <w:noWrap w:val="0"/>
                  <w:vAlign w:val="center"/>
                </w:tcPr>
                <w:p w14:paraId="0D014C6E">
                  <w:pPr>
                    <w:keepNext w:val="0"/>
                    <w:keepLines w:val="0"/>
                    <w:pageBreakBefore w:val="0"/>
                    <w:kinsoku/>
                    <w:wordWrap/>
                    <w:overflowPunct/>
                    <w:topLinePunct w:val="0"/>
                    <w:autoSpaceDE/>
                    <w:autoSpaceDN/>
                    <w:bidi w:val="0"/>
                    <w:ind w:firstLineChars="0"/>
                    <w:jc w:val="center"/>
                    <w:textAlignment w:val="auto"/>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报告表</w:t>
                  </w:r>
                </w:p>
              </w:tc>
            </w:tr>
          </w:tbl>
          <w:p w14:paraId="12A48DF5">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eastAsia" w:eastAsia="宋体"/>
                <w:color w:val="000000"/>
                <w:sz w:val="24"/>
                <w:lang w:val="en-US" w:eastAsia="zh-CN"/>
              </w:rPr>
            </w:pPr>
            <w:r>
              <w:rPr>
                <w:rFonts w:hint="eastAsia" w:eastAsia="宋体"/>
                <w:color w:val="000000"/>
                <w:sz w:val="24"/>
                <w:lang w:val="en-US" w:eastAsia="zh-CN"/>
              </w:rPr>
              <w:t>（</w:t>
            </w:r>
            <w:r>
              <w:rPr>
                <w:rFonts w:hint="eastAsia"/>
                <w:color w:val="000000"/>
                <w:sz w:val="24"/>
                <w:lang w:val="en-US" w:eastAsia="zh-CN"/>
              </w:rPr>
              <w:t>3</w:t>
            </w:r>
            <w:r>
              <w:rPr>
                <w:rFonts w:hint="eastAsia" w:eastAsia="宋体"/>
                <w:color w:val="000000"/>
                <w:sz w:val="24"/>
                <w:lang w:val="en-US" w:eastAsia="zh-CN"/>
              </w:rPr>
              <w:t>）排污许可管理类别确定</w:t>
            </w:r>
          </w:p>
          <w:p w14:paraId="3FBDA1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eastAsia="宋体"/>
                <w:color w:val="000000"/>
                <w:sz w:val="24"/>
                <w:lang w:val="en-US" w:eastAsia="zh-CN"/>
              </w:rPr>
            </w:pPr>
            <w:r>
              <w:rPr>
                <w:rFonts w:hint="eastAsia" w:eastAsia="宋体"/>
                <w:color w:val="000000"/>
                <w:sz w:val="24"/>
                <w:lang w:val="en-US" w:eastAsia="zh-CN"/>
              </w:rPr>
              <w:t>根据《固定污染源排污许可分类管理名录（2019年版）》（生态环境部令第11号）中的有关规定，本项目属于“二十四、橡胶和塑料制品业 29</w:t>
            </w:r>
            <w:r>
              <w:rPr>
                <w:rFonts w:hint="eastAsia"/>
                <w:color w:val="000000"/>
                <w:sz w:val="24"/>
                <w:lang w:val="en-US" w:eastAsia="zh-CN"/>
              </w:rPr>
              <w:t xml:space="preserve"> </w:t>
            </w:r>
            <w:r>
              <w:rPr>
                <w:rFonts w:hint="eastAsia" w:cs="Times New Roman"/>
                <w:b w:val="0"/>
                <w:bCs w:val="0"/>
                <w:color w:val="auto"/>
                <w:sz w:val="24"/>
                <w:szCs w:val="24"/>
                <w:lang w:val="en-US" w:eastAsia="zh-CN"/>
              </w:rPr>
              <w:t>62塑料制品业 292</w:t>
            </w:r>
            <w:r>
              <w:rPr>
                <w:rFonts w:hint="eastAsia" w:eastAsia="宋体"/>
                <w:color w:val="000000"/>
                <w:sz w:val="24"/>
                <w:lang w:val="en-US" w:eastAsia="zh-CN"/>
              </w:rPr>
              <w:t>”，本项目</w:t>
            </w:r>
            <w:r>
              <w:rPr>
                <w:rFonts w:hint="eastAsia"/>
                <w:color w:val="000000"/>
                <w:sz w:val="24"/>
                <w:lang w:val="en-US" w:eastAsia="zh-CN"/>
              </w:rPr>
              <w:t>属于塑料板、管、型材制造 2922</w:t>
            </w:r>
            <w:r>
              <w:rPr>
                <w:rFonts w:hint="eastAsia" w:eastAsia="宋体"/>
                <w:color w:val="000000"/>
                <w:sz w:val="24"/>
                <w:lang w:val="en-US" w:eastAsia="zh-CN"/>
              </w:rPr>
              <w:t>，属于简化管理，故本项目执行排污许可简化管理。</w:t>
            </w:r>
          </w:p>
          <w:p w14:paraId="07761468">
            <w:pPr>
              <w:pStyle w:val="30"/>
              <w:spacing w:line="360" w:lineRule="auto"/>
              <w:jc w:val="center"/>
              <w:rPr>
                <w:b/>
                <w:bCs/>
                <w:color w:val="auto"/>
              </w:rPr>
            </w:pPr>
            <w:r>
              <w:rPr>
                <w:rFonts w:hint="eastAsia"/>
                <w:b/>
                <w:bCs/>
                <w:color w:val="auto"/>
              </w:rPr>
              <w:t>表</w:t>
            </w:r>
            <w:r>
              <w:rPr>
                <w:rFonts w:hint="default" w:ascii="Times New Roman" w:hAnsi="Times New Roman" w:cs="Times New Roman"/>
                <w:b/>
                <w:bCs/>
                <w:color w:val="auto"/>
              </w:rPr>
              <w:t xml:space="preserve">2.2 </w:t>
            </w:r>
            <w:r>
              <w:rPr>
                <w:rFonts w:hint="eastAsia"/>
                <w:b/>
                <w:bCs/>
                <w:color w:val="auto"/>
              </w:rPr>
              <w:t xml:space="preserve"> 排污许可类别对照</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1247"/>
              <w:gridCol w:w="1692"/>
              <w:gridCol w:w="2733"/>
              <w:gridCol w:w="972"/>
              <w:gridCol w:w="1259"/>
            </w:tblGrid>
            <w:tr w14:paraId="6675C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62" w:type="pct"/>
                  <w:gridSpan w:val="2"/>
                  <w:vMerge w:val="restart"/>
                  <w:noWrap w:val="0"/>
                  <w:vAlign w:val="center"/>
                </w:tcPr>
                <w:p w14:paraId="630B5A9D">
                  <w:pPr>
                    <w:keepNext w:val="0"/>
                    <w:keepLines w:val="0"/>
                    <w:pageBreakBefore w:val="0"/>
                    <w:kinsoku/>
                    <w:wordWrap/>
                    <w:overflowPunct/>
                    <w:topLinePunct w:val="0"/>
                    <w:autoSpaceDE/>
                    <w:autoSpaceDN/>
                    <w:bidi w:val="0"/>
                    <w:ind w:firstLineChars="0"/>
                    <w:jc w:val="center"/>
                    <w:textAlignment w:val="auto"/>
                    <w:rPr>
                      <w:color w:val="auto"/>
                      <w:sz w:val="21"/>
                      <w:szCs w:val="21"/>
                    </w:rPr>
                  </w:pPr>
                  <w:r>
                    <w:rPr>
                      <w:color w:val="auto"/>
                      <w:sz w:val="21"/>
                      <w:szCs w:val="21"/>
                    </w:rPr>
                    <w:t>项目类别</w:t>
                  </w:r>
                </w:p>
                <w:p w14:paraId="18FBC575">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r>
                    <w:rPr>
                      <w:color w:val="auto"/>
                      <w:sz w:val="21"/>
                      <w:szCs w:val="21"/>
                    </w:rPr>
                    <w:t>排污许可类别</w:t>
                  </w:r>
                </w:p>
              </w:tc>
              <w:tc>
                <w:tcPr>
                  <w:tcW w:w="3193" w:type="pct"/>
                  <w:gridSpan w:val="3"/>
                  <w:noWrap w:val="0"/>
                  <w:vAlign w:val="center"/>
                </w:tcPr>
                <w:p w14:paraId="53F026ED">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r>
                    <w:rPr>
                      <w:color w:val="auto"/>
                      <w:sz w:val="21"/>
                      <w:szCs w:val="21"/>
                    </w:rPr>
                    <w:t>排污许可类别</w:t>
                  </w:r>
                </w:p>
              </w:tc>
              <w:tc>
                <w:tcPr>
                  <w:tcW w:w="744" w:type="pct"/>
                  <w:vMerge w:val="restart"/>
                  <w:noWrap w:val="0"/>
                  <w:vAlign w:val="center"/>
                </w:tcPr>
                <w:p w14:paraId="4A083733">
                  <w:pPr>
                    <w:keepNext w:val="0"/>
                    <w:keepLines w:val="0"/>
                    <w:pageBreakBefore w:val="0"/>
                    <w:widowControl/>
                    <w:kinsoku/>
                    <w:wordWrap/>
                    <w:overflowPunct/>
                    <w:topLinePunct w:val="0"/>
                    <w:autoSpaceDE/>
                    <w:autoSpaceDN/>
                    <w:bidi w:val="0"/>
                    <w:adjustRightInd w:val="0"/>
                    <w:snapToGrid w:val="0"/>
                    <w:ind w:firstLineChars="0"/>
                    <w:jc w:val="center"/>
                    <w:textAlignment w:val="auto"/>
                    <w:rPr>
                      <w:color w:val="auto"/>
                      <w:kern w:val="0"/>
                      <w:sz w:val="21"/>
                      <w:szCs w:val="21"/>
                    </w:rPr>
                  </w:pPr>
                  <w:r>
                    <w:rPr>
                      <w:rFonts w:hint="eastAsia"/>
                      <w:color w:val="auto"/>
                      <w:kern w:val="0"/>
                      <w:sz w:val="21"/>
                      <w:szCs w:val="21"/>
                    </w:rPr>
                    <w:t>排污许可</w:t>
                  </w:r>
                </w:p>
                <w:p w14:paraId="29C92904">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r>
                    <w:rPr>
                      <w:rFonts w:hint="eastAsia"/>
                      <w:color w:val="auto"/>
                      <w:sz w:val="21"/>
                      <w:szCs w:val="21"/>
                    </w:rPr>
                    <w:t>管理类别</w:t>
                  </w:r>
                </w:p>
              </w:tc>
            </w:tr>
            <w:tr w14:paraId="4883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62" w:type="pct"/>
                  <w:gridSpan w:val="2"/>
                  <w:vMerge w:val="continue"/>
                  <w:noWrap w:val="0"/>
                  <w:vAlign w:val="center"/>
                </w:tcPr>
                <w:p w14:paraId="764C99FA">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p>
              </w:tc>
              <w:tc>
                <w:tcPr>
                  <w:tcW w:w="1001" w:type="pct"/>
                  <w:noWrap w:val="0"/>
                  <w:vAlign w:val="center"/>
                </w:tcPr>
                <w:p w14:paraId="43C937EE">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r>
                    <w:rPr>
                      <w:rFonts w:hint="eastAsia"/>
                      <w:color w:val="auto"/>
                      <w:sz w:val="21"/>
                      <w:szCs w:val="21"/>
                    </w:rPr>
                    <w:t>重点</w:t>
                  </w:r>
                </w:p>
              </w:tc>
              <w:tc>
                <w:tcPr>
                  <w:tcW w:w="1617" w:type="pct"/>
                  <w:noWrap w:val="0"/>
                  <w:vAlign w:val="center"/>
                </w:tcPr>
                <w:p w14:paraId="4EA131CA">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r>
                    <w:rPr>
                      <w:rFonts w:hint="eastAsia"/>
                      <w:color w:val="auto"/>
                      <w:sz w:val="21"/>
                      <w:szCs w:val="21"/>
                    </w:rPr>
                    <w:t>简化</w:t>
                  </w:r>
                </w:p>
              </w:tc>
              <w:tc>
                <w:tcPr>
                  <w:tcW w:w="574" w:type="pct"/>
                  <w:noWrap w:val="0"/>
                  <w:vAlign w:val="center"/>
                </w:tcPr>
                <w:p w14:paraId="17F0C4E8">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r>
                    <w:rPr>
                      <w:color w:val="auto"/>
                      <w:sz w:val="21"/>
                      <w:szCs w:val="21"/>
                    </w:rPr>
                    <w:t>登记</w:t>
                  </w:r>
                </w:p>
              </w:tc>
              <w:tc>
                <w:tcPr>
                  <w:tcW w:w="744" w:type="pct"/>
                  <w:vMerge w:val="continue"/>
                  <w:noWrap w:val="0"/>
                  <w:vAlign w:val="center"/>
                </w:tcPr>
                <w:p w14:paraId="104B5180">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p>
              </w:tc>
            </w:tr>
            <w:tr w14:paraId="2A4A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0"/>
                  <w:vAlign w:val="center"/>
                </w:tcPr>
                <w:p w14:paraId="5ABAE26B">
                  <w:pPr>
                    <w:keepNext w:val="0"/>
                    <w:keepLines w:val="0"/>
                    <w:pageBreakBefore w:val="0"/>
                    <w:widowControl/>
                    <w:kinsoku/>
                    <w:wordWrap/>
                    <w:overflowPunct/>
                    <w:topLinePunct w:val="0"/>
                    <w:autoSpaceDE/>
                    <w:autoSpaceDN/>
                    <w:bidi w:val="0"/>
                    <w:ind w:firstLineChars="0"/>
                    <w:jc w:val="center"/>
                    <w:textAlignment w:val="auto"/>
                    <w:rPr>
                      <w:rFonts w:hint="default" w:eastAsia="宋体"/>
                      <w:color w:val="auto"/>
                      <w:sz w:val="21"/>
                      <w:szCs w:val="21"/>
                      <w:lang w:val="en-US" w:eastAsia="zh-CN"/>
                    </w:rPr>
                  </w:pPr>
                  <w:r>
                    <w:rPr>
                      <w:rFonts w:hint="default" w:eastAsia="宋体"/>
                      <w:color w:val="auto"/>
                      <w:sz w:val="21"/>
                      <w:szCs w:val="21"/>
                      <w:lang w:val="en-US" w:eastAsia="zh-CN"/>
                    </w:rPr>
                    <w:t>二十四、橡胶和塑料制品业 29</w:t>
                  </w:r>
                </w:p>
              </w:tc>
            </w:tr>
            <w:tr w14:paraId="7235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4" w:type="pct"/>
                  <w:noWrap w:val="0"/>
                  <w:vAlign w:val="center"/>
                </w:tcPr>
                <w:p w14:paraId="26AF0946">
                  <w:pPr>
                    <w:keepNext w:val="0"/>
                    <w:keepLines w:val="0"/>
                    <w:pageBreakBefore w:val="0"/>
                    <w:widowControl/>
                    <w:kinsoku/>
                    <w:wordWrap/>
                    <w:overflowPunct/>
                    <w:topLinePunct w:val="0"/>
                    <w:autoSpaceDE/>
                    <w:autoSpaceDN/>
                    <w:bidi w:val="0"/>
                    <w:ind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62</w:t>
                  </w:r>
                </w:p>
              </w:tc>
              <w:tc>
                <w:tcPr>
                  <w:tcW w:w="738" w:type="pct"/>
                  <w:noWrap w:val="0"/>
                  <w:vAlign w:val="center"/>
                </w:tcPr>
                <w:p w14:paraId="49A4294C">
                  <w:pPr>
                    <w:keepNext w:val="0"/>
                    <w:keepLines w:val="0"/>
                    <w:pageBreakBefore w:val="0"/>
                    <w:widowControl/>
                    <w:kinsoku/>
                    <w:wordWrap/>
                    <w:overflowPunct/>
                    <w:topLinePunct w:val="0"/>
                    <w:autoSpaceDE/>
                    <w:autoSpaceDN/>
                    <w:bidi w:val="0"/>
                    <w:ind w:firstLineChars="0"/>
                    <w:jc w:val="center"/>
                    <w:textAlignment w:val="auto"/>
                    <w:rPr>
                      <w:color w:val="auto"/>
                      <w:sz w:val="21"/>
                      <w:szCs w:val="21"/>
                    </w:rPr>
                  </w:pPr>
                  <w:r>
                    <w:rPr>
                      <w:rFonts w:hint="eastAsia"/>
                      <w:color w:val="auto"/>
                      <w:sz w:val="21"/>
                      <w:szCs w:val="21"/>
                    </w:rPr>
                    <w:t>塑料制品业 292</w:t>
                  </w:r>
                </w:p>
              </w:tc>
              <w:tc>
                <w:tcPr>
                  <w:tcW w:w="1001" w:type="pct"/>
                  <w:noWrap w:val="0"/>
                  <w:vAlign w:val="center"/>
                </w:tcPr>
                <w:p w14:paraId="12345F9B">
                  <w:pPr>
                    <w:keepNext w:val="0"/>
                    <w:keepLines w:val="0"/>
                    <w:pageBreakBefore w:val="0"/>
                    <w:widowControl/>
                    <w:kinsoku/>
                    <w:wordWrap/>
                    <w:overflowPunct/>
                    <w:topLinePunct w:val="0"/>
                    <w:autoSpaceDE/>
                    <w:autoSpaceDN/>
                    <w:bidi w:val="0"/>
                    <w:ind w:firstLineChars="0"/>
                    <w:jc w:val="both"/>
                    <w:textAlignment w:val="auto"/>
                    <w:rPr>
                      <w:color w:val="auto"/>
                      <w:sz w:val="21"/>
                      <w:szCs w:val="21"/>
                    </w:rPr>
                  </w:pPr>
                  <w:r>
                    <w:rPr>
                      <w:rFonts w:hint="eastAsia"/>
                      <w:color w:val="auto"/>
                      <w:sz w:val="21"/>
                      <w:szCs w:val="21"/>
                    </w:rPr>
                    <w:t>塑料人造革、合成革制造 2925</w:t>
                  </w:r>
                </w:p>
              </w:tc>
              <w:tc>
                <w:tcPr>
                  <w:tcW w:w="1617" w:type="pct"/>
                  <w:noWrap w:val="0"/>
                  <w:vAlign w:val="center"/>
                </w:tcPr>
                <w:p w14:paraId="490E7AAD">
                  <w:pPr>
                    <w:keepNext w:val="0"/>
                    <w:keepLines w:val="0"/>
                    <w:pageBreakBefore w:val="0"/>
                    <w:widowControl/>
                    <w:kinsoku/>
                    <w:wordWrap/>
                    <w:overflowPunct/>
                    <w:topLinePunct w:val="0"/>
                    <w:autoSpaceDE/>
                    <w:autoSpaceDN/>
                    <w:bidi w:val="0"/>
                    <w:adjustRightInd w:val="0"/>
                    <w:snapToGrid w:val="0"/>
                    <w:ind w:firstLineChars="0"/>
                    <w:jc w:val="center"/>
                    <w:textAlignment w:val="auto"/>
                    <w:rPr>
                      <w:color w:val="auto"/>
                      <w:sz w:val="21"/>
                      <w:szCs w:val="21"/>
                      <w:highlight w:val="lightGray"/>
                    </w:rPr>
                  </w:pPr>
                  <w:r>
                    <w:rPr>
                      <w:rFonts w:hint="eastAsia"/>
                      <w:color w:val="auto"/>
                      <w:sz w:val="21"/>
                      <w:szCs w:val="21"/>
                      <w:highlight w:val="none"/>
                    </w:rPr>
                    <w:t>年产 1 万吨及以上的泡沫塑料制造2924，年产 1 万吨及以上涉及改性的塑料薄膜制造 2921、塑料板、管、型材制造 2922、塑料丝、绳和编织品制造 2923、塑料包装箱及容器制造 2926、日用塑料品制造 2927、人造草坪制造 2928、塑料零件及其他塑料制品制造 2929</w:t>
                  </w:r>
                </w:p>
              </w:tc>
              <w:tc>
                <w:tcPr>
                  <w:tcW w:w="574" w:type="pct"/>
                  <w:noWrap w:val="0"/>
                  <w:vAlign w:val="center"/>
                </w:tcPr>
                <w:p w14:paraId="47D654BF">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color w:val="auto"/>
                      <w:sz w:val="21"/>
                      <w:szCs w:val="21"/>
                    </w:rPr>
                  </w:pPr>
                  <w:r>
                    <w:rPr>
                      <w:rFonts w:hint="eastAsia"/>
                      <w:color w:val="auto"/>
                      <w:sz w:val="21"/>
                      <w:szCs w:val="21"/>
                    </w:rPr>
                    <w:t>其他</w:t>
                  </w:r>
                </w:p>
              </w:tc>
              <w:tc>
                <w:tcPr>
                  <w:tcW w:w="744" w:type="pct"/>
                  <w:noWrap w:val="0"/>
                  <w:vAlign w:val="center"/>
                </w:tcPr>
                <w:p w14:paraId="08DD9C46">
                  <w:pPr>
                    <w:pStyle w:val="14"/>
                    <w:keepNext w:val="0"/>
                    <w:keepLines w:val="0"/>
                    <w:pageBreakBefore w:val="0"/>
                    <w:kinsoku/>
                    <w:wordWrap/>
                    <w:overflowPunct/>
                    <w:topLinePunct w:val="0"/>
                    <w:autoSpaceDE/>
                    <w:autoSpaceDN/>
                    <w:bidi w:val="0"/>
                    <w:spacing w:after="0"/>
                    <w:ind w:left="0" w:leftChars="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bidi="ar"/>
                    </w:rPr>
                    <w:t>简化</w:t>
                  </w:r>
                </w:p>
              </w:tc>
            </w:tr>
          </w:tbl>
          <w:p w14:paraId="01097DDF">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eastAsia" w:eastAsia="宋体"/>
                <w:color w:val="000000"/>
                <w:sz w:val="24"/>
                <w:lang w:val="en-US" w:eastAsia="zh-CN"/>
              </w:rPr>
            </w:pPr>
            <w:r>
              <w:rPr>
                <w:rFonts w:hint="eastAsia" w:eastAsia="宋体"/>
                <w:color w:val="000000"/>
                <w:sz w:val="24"/>
                <w:lang w:val="en-US" w:eastAsia="zh-CN"/>
              </w:rPr>
              <w:t>（</w:t>
            </w:r>
            <w:r>
              <w:rPr>
                <w:rFonts w:hint="eastAsia"/>
                <w:color w:val="000000"/>
                <w:sz w:val="24"/>
                <w:lang w:val="en-US" w:eastAsia="zh-CN"/>
              </w:rPr>
              <w:t>4</w:t>
            </w:r>
            <w:r>
              <w:rPr>
                <w:rFonts w:hint="eastAsia" w:eastAsia="宋体"/>
                <w:color w:val="000000"/>
                <w:sz w:val="24"/>
                <w:lang w:val="en-US" w:eastAsia="zh-CN"/>
              </w:rPr>
              <w:t>）项目建设内容</w:t>
            </w:r>
          </w:p>
          <w:p w14:paraId="69601C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eastAsia" w:ascii="Times New Roman" w:hAnsi="Times New Roman" w:eastAsia="宋体" w:cs="Times New Roman"/>
                <w:snapToGrid/>
                <w:color w:val="auto"/>
                <w:spacing w:val="0"/>
                <w:kern w:val="0"/>
                <w:position w:val="0"/>
                <w:sz w:val="24"/>
                <w:szCs w:val="24"/>
                <w:lang w:val="en-US" w:eastAsia="zh-CN"/>
              </w:rPr>
              <w:t>安徽爱乐新材料科技有限公司位于</w:t>
            </w:r>
            <w:r>
              <w:rPr>
                <w:rFonts w:ascii="宋体" w:hAnsi="宋体" w:eastAsia="宋体" w:cs="宋体"/>
                <w:sz w:val="24"/>
                <w:szCs w:val="24"/>
              </w:rPr>
              <w:t>宿州经济技术开发区埇桥循环经济示范园东二环西侧</w:t>
            </w:r>
            <w:r>
              <w:rPr>
                <w:rFonts w:hint="eastAsia"/>
                <w:sz w:val="24"/>
                <w:szCs w:val="24"/>
                <w:lang w:eastAsia="zh-CN"/>
              </w:rPr>
              <w:t>，</w:t>
            </w:r>
            <w:r>
              <w:rPr>
                <w:rFonts w:hint="eastAsia" w:ascii="Times New Roman" w:hAnsi="Times New Roman" w:eastAsia="宋体" w:cs="Times New Roman"/>
                <w:snapToGrid/>
                <w:color w:val="auto"/>
                <w:spacing w:val="0"/>
                <w:kern w:val="0"/>
                <w:position w:val="0"/>
                <w:sz w:val="24"/>
                <w:szCs w:val="24"/>
                <w:lang w:val="en-US" w:eastAsia="zh-CN"/>
              </w:rPr>
              <w:t>项目</w:t>
            </w:r>
            <w:r>
              <w:rPr>
                <w:rFonts w:hint="eastAsia" w:cs="Times New Roman"/>
                <w:snapToGrid/>
                <w:color w:val="auto"/>
                <w:spacing w:val="0"/>
                <w:kern w:val="0"/>
                <w:position w:val="0"/>
                <w:sz w:val="24"/>
                <w:szCs w:val="24"/>
                <w:lang w:val="en-US" w:eastAsia="zh-CN"/>
              </w:rPr>
              <w:t>新建厂</w:t>
            </w:r>
            <w:r>
              <w:rPr>
                <w:rFonts w:hint="eastAsia" w:ascii="Times New Roman" w:hAnsi="Times New Roman" w:eastAsia="宋体" w:cs="Times New Roman"/>
                <w:snapToGrid/>
                <w:color w:val="auto"/>
                <w:spacing w:val="0"/>
                <w:kern w:val="0"/>
                <w:position w:val="0"/>
                <w:sz w:val="24"/>
                <w:szCs w:val="24"/>
                <w:lang w:val="en-US" w:eastAsia="zh-CN"/>
              </w:rPr>
              <w:t>房约</w:t>
            </w:r>
            <w:r>
              <w:rPr>
                <w:rFonts w:hint="eastAsia" w:cs="Times New Roman"/>
                <w:snapToGrid/>
                <w:color w:val="auto"/>
                <w:spacing w:val="0"/>
                <w:kern w:val="0"/>
                <w:position w:val="0"/>
                <w:sz w:val="24"/>
                <w:szCs w:val="24"/>
                <w:lang w:val="en-US" w:eastAsia="zh-CN"/>
              </w:rPr>
              <w:t>30</w:t>
            </w:r>
            <w:r>
              <w:rPr>
                <w:rFonts w:hint="eastAsia" w:ascii="Times New Roman" w:hAnsi="Times New Roman" w:eastAsia="宋体" w:cs="Times New Roman"/>
                <w:snapToGrid/>
                <w:color w:val="auto"/>
                <w:spacing w:val="0"/>
                <w:kern w:val="0"/>
                <w:position w:val="0"/>
                <w:sz w:val="24"/>
                <w:szCs w:val="24"/>
                <w:lang w:val="en-US" w:eastAsia="zh-CN"/>
              </w:rPr>
              <w:t>00平方米，拟购置</w:t>
            </w:r>
            <w:r>
              <w:rPr>
                <w:rFonts w:hint="eastAsia" w:ascii="Times New Roman" w:hAnsi="Times New Roman" w:cs="Times New Roman"/>
                <w:color w:val="auto"/>
                <w:kern w:val="0"/>
                <w:sz w:val="24"/>
                <w:szCs w:val="24"/>
                <w:lang w:val="en-US" w:eastAsia="zh-CN"/>
              </w:rPr>
              <w:t>PVC板</w:t>
            </w:r>
            <w:r>
              <w:rPr>
                <w:rFonts w:hint="eastAsia" w:cs="Times New Roman"/>
                <w:color w:val="auto"/>
                <w:kern w:val="0"/>
                <w:sz w:val="24"/>
                <w:szCs w:val="24"/>
                <w:lang w:val="en-US" w:eastAsia="zh-CN"/>
              </w:rPr>
              <w:t>材</w:t>
            </w:r>
            <w:r>
              <w:rPr>
                <w:rFonts w:hint="eastAsia" w:ascii="Times New Roman" w:hAnsi="Times New Roman" w:cs="Times New Roman"/>
                <w:color w:val="auto"/>
                <w:kern w:val="0"/>
                <w:sz w:val="24"/>
                <w:szCs w:val="24"/>
                <w:lang w:val="en-US" w:eastAsia="zh-CN"/>
              </w:rPr>
              <w:t>生产线7条，</w:t>
            </w:r>
            <w:r>
              <w:rPr>
                <w:rFonts w:hint="eastAsia" w:cs="Times New Roman"/>
                <w:snapToGrid/>
                <w:color w:val="auto"/>
                <w:spacing w:val="0"/>
                <w:kern w:val="0"/>
                <w:position w:val="0"/>
                <w:sz w:val="24"/>
                <w:szCs w:val="24"/>
                <w:lang w:val="en-US" w:eastAsia="zh-CN"/>
              </w:rPr>
              <w:t>PE板材生产线3条，</w:t>
            </w:r>
            <w:r>
              <w:rPr>
                <w:rFonts w:hint="eastAsia" w:ascii="Times New Roman" w:hAnsi="Times New Roman" w:eastAsia="宋体" w:cs="Times New Roman"/>
                <w:snapToGrid/>
                <w:color w:val="auto"/>
                <w:spacing w:val="0"/>
                <w:kern w:val="0"/>
                <w:position w:val="0"/>
                <w:sz w:val="24"/>
                <w:szCs w:val="24"/>
                <w:lang w:val="en-US" w:eastAsia="zh-CN"/>
              </w:rPr>
              <w:t>配套建设变配电、给排水、消防、环保设施等辅助工程，项目建成后能够达到年产7100</w:t>
            </w:r>
            <w:r>
              <w:rPr>
                <w:rFonts w:hint="eastAsia" w:cs="Times New Roman"/>
                <w:snapToGrid/>
                <w:color w:val="auto"/>
                <w:spacing w:val="0"/>
                <w:kern w:val="0"/>
                <w:position w:val="0"/>
                <w:sz w:val="24"/>
                <w:szCs w:val="24"/>
                <w:lang w:val="en-US" w:eastAsia="zh-CN"/>
              </w:rPr>
              <w:t>吨</w:t>
            </w:r>
            <w:r>
              <w:rPr>
                <w:rFonts w:hint="eastAsia" w:ascii="Times New Roman" w:hAnsi="Times New Roman" w:cs="Times New Roman"/>
                <w:color w:val="auto"/>
                <w:kern w:val="0"/>
                <w:sz w:val="24"/>
                <w:szCs w:val="24"/>
                <w:lang w:val="en-US" w:eastAsia="zh-CN"/>
              </w:rPr>
              <w:t>PVC板</w:t>
            </w:r>
            <w:r>
              <w:rPr>
                <w:rFonts w:hint="eastAsia" w:cs="Times New Roman"/>
                <w:snapToGrid/>
                <w:color w:val="auto"/>
                <w:spacing w:val="0"/>
                <w:kern w:val="0"/>
                <w:position w:val="0"/>
                <w:sz w:val="24"/>
                <w:szCs w:val="24"/>
                <w:lang w:val="en-US" w:eastAsia="zh-CN"/>
              </w:rPr>
              <w:t>的，2900吨</w:t>
            </w:r>
            <w:r>
              <w:rPr>
                <w:rFonts w:hint="eastAsia" w:ascii="Times New Roman" w:hAnsi="Times New Roman" w:cs="Times New Roman"/>
                <w:color w:val="auto"/>
                <w:kern w:val="0"/>
                <w:sz w:val="24"/>
                <w:szCs w:val="24"/>
                <w:lang w:val="en-US" w:eastAsia="zh-CN"/>
              </w:rPr>
              <w:t>PE</w:t>
            </w:r>
            <w:r>
              <w:rPr>
                <w:rFonts w:hint="eastAsia" w:cs="Times New Roman"/>
                <w:color w:val="auto"/>
                <w:kern w:val="0"/>
                <w:sz w:val="24"/>
                <w:szCs w:val="24"/>
                <w:lang w:val="en-US" w:eastAsia="zh-CN"/>
              </w:rPr>
              <w:t>板</w:t>
            </w:r>
            <w:r>
              <w:rPr>
                <w:rFonts w:hint="eastAsia" w:cs="Times New Roman"/>
                <w:snapToGrid/>
                <w:color w:val="auto"/>
                <w:spacing w:val="0"/>
                <w:kern w:val="0"/>
                <w:position w:val="0"/>
                <w:sz w:val="24"/>
                <w:szCs w:val="24"/>
                <w:lang w:val="en-US" w:eastAsia="zh-CN"/>
              </w:rPr>
              <w:t>的生产能力</w:t>
            </w:r>
            <w:r>
              <w:rPr>
                <w:rFonts w:hint="eastAsia" w:ascii="Times New Roman" w:hAnsi="Times New Roman" w:eastAsia="宋体" w:cs="Times New Roman"/>
                <w:snapToGrid/>
                <w:color w:val="auto"/>
                <w:spacing w:val="0"/>
                <w:kern w:val="0"/>
                <w:position w:val="0"/>
                <w:sz w:val="24"/>
                <w:szCs w:val="24"/>
                <w:lang w:val="en-US" w:eastAsia="zh-CN"/>
              </w:rPr>
              <w:t>。</w:t>
            </w:r>
            <w:r>
              <w:rPr>
                <w:rFonts w:hint="default" w:ascii="Times New Roman" w:hAnsi="Times New Roman" w:eastAsia="宋体" w:cs="Times New Roman"/>
                <w:sz w:val="24"/>
                <w:szCs w:val="24"/>
              </w:rPr>
              <w:t>项目建</w:t>
            </w:r>
            <w:r>
              <w:rPr>
                <w:rFonts w:hint="default" w:ascii="Times New Roman" w:hAnsi="Times New Roman" w:eastAsia="宋体" w:cs="Times New Roman"/>
                <w:b w:val="0"/>
                <w:bCs w:val="0"/>
                <w:sz w:val="24"/>
                <w:szCs w:val="24"/>
              </w:rPr>
              <w:t>设</w:t>
            </w:r>
            <w:r>
              <w:rPr>
                <w:rFonts w:hint="eastAsia" w:ascii="Times New Roman" w:hAnsi="Times New Roman" w:eastAsia="宋体" w:cs="Times New Roman"/>
                <w:b w:val="0"/>
                <w:bCs w:val="0"/>
                <w:color w:val="auto"/>
                <w:sz w:val="24"/>
                <w:szCs w:val="24"/>
                <w:lang w:val="en-US" w:eastAsia="zh-CN"/>
              </w:rPr>
              <w:t>基本情况</w:t>
            </w:r>
            <w:r>
              <w:rPr>
                <w:rFonts w:hint="default" w:ascii="Times New Roman" w:hAnsi="Times New Roman" w:eastAsia="宋体" w:cs="Times New Roman"/>
                <w:sz w:val="24"/>
                <w:szCs w:val="24"/>
              </w:rPr>
              <w:t>见表</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w:t>
            </w:r>
            <w:r>
              <w:rPr>
                <w:rFonts w:hint="eastAsia" w:cs="Times New Roman"/>
                <w:sz w:val="24"/>
                <w:szCs w:val="24"/>
                <w:lang w:val="en-US" w:eastAsia="zh-CN"/>
              </w:rPr>
              <w:t>3</w:t>
            </w:r>
            <w:r>
              <w:rPr>
                <w:rFonts w:hint="default" w:ascii="Times New Roman" w:hAnsi="Times New Roman" w:eastAsia="宋体" w:cs="Times New Roman"/>
                <w:sz w:val="24"/>
                <w:szCs w:val="24"/>
              </w:rPr>
              <w:t>。</w:t>
            </w:r>
          </w:p>
          <w:p w14:paraId="3990909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w:t>
            </w:r>
            <w:r>
              <w:rPr>
                <w:rFonts w:hint="eastAsia" w:cs="Times New Roman"/>
                <w:b/>
                <w:bCs/>
                <w:sz w:val="24"/>
                <w:szCs w:val="24"/>
                <w:lang w:val="en-US" w:eastAsia="zh-CN"/>
              </w:rPr>
              <w:t>3</w:t>
            </w:r>
            <w:r>
              <w:rPr>
                <w:rFonts w:hint="default" w:ascii="Times New Roman" w:hAnsi="Times New Roman" w:eastAsia="宋体" w:cs="Times New Roman"/>
                <w:b/>
                <w:bCs/>
                <w:sz w:val="24"/>
                <w:szCs w:val="24"/>
              </w:rPr>
              <w:t xml:space="preserve"> 项目建设</w:t>
            </w:r>
            <w:r>
              <w:rPr>
                <w:rFonts w:hint="eastAsia" w:ascii="Times New Roman" w:hAnsi="Times New Roman" w:eastAsia="宋体" w:cs="Times New Roman"/>
                <w:b/>
                <w:bCs/>
                <w:color w:val="auto"/>
                <w:sz w:val="24"/>
                <w:szCs w:val="24"/>
                <w:lang w:val="en-US" w:eastAsia="zh-CN"/>
              </w:rPr>
              <w:t>基本情况</w:t>
            </w:r>
            <w:r>
              <w:rPr>
                <w:rFonts w:hint="default" w:ascii="Times New Roman" w:hAnsi="Times New Roman" w:eastAsia="宋体" w:cs="Times New Roman"/>
                <w:b/>
                <w:bCs/>
                <w:sz w:val="24"/>
                <w:szCs w:val="24"/>
              </w:rPr>
              <w:t>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567"/>
              <w:gridCol w:w="5336"/>
              <w:gridCol w:w="810"/>
            </w:tblGrid>
            <w:tr w14:paraId="0EE6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noWrap w:val="0"/>
                  <w:vAlign w:val="center"/>
                </w:tcPr>
                <w:p w14:paraId="09B100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工程类别</w:t>
                  </w:r>
                </w:p>
              </w:tc>
              <w:tc>
                <w:tcPr>
                  <w:tcW w:w="1556" w:type="dxa"/>
                  <w:noWrap w:val="0"/>
                  <w:vAlign w:val="center"/>
                </w:tcPr>
                <w:p w14:paraId="7B72F4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单项工程名称</w:t>
                  </w:r>
                </w:p>
              </w:tc>
              <w:tc>
                <w:tcPr>
                  <w:tcW w:w="5298" w:type="dxa"/>
                  <w:noWrap w:val="0"/>
                  <w:vAlign w:val="center"/>
                </w:tcPr>
                <w:p w14:paraId="3228BF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工程内容及规模</w:t>
                  </w:r>
                </w:p>
              </w:tc>
              <w:tc>
                <w:tcPr>
                  <w:tcW w:w="804" w:type="dxa"/>
                  <w:noWrap w:val="0"/>
                  <w:vAlign w:val="center"/>
                </w:tcPr>
                <w:p w14:paraId="6F3248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 w:val="0"/>
                      <w:bCs w:val="0"/>
                      <w:color w:val="auto"/>
                      <w:lang w:val="en-US" w:eastAsia="zh-CN"/>
                    </w:rPr>
                  </w:pPr>
                  <w:r>
                    <w:rPr>
                      <w:rFonts w:hint="eastAsia" w:ascii="Times New Roman" w:hAnsi="Times New Roman" w:cs="Times New Roman"/>
                      <w:b w:val="0"/>
                      <w:bCs w:val="0"/>
                      <w:color w:val="auto"/>
                      <w:lang w:val="en-US" w:eastAsia="zh-CN"/>
                    </w:rPr>
                    <w:t>备注</w:t>
                  </w:r>
                </w:p>
              </w:tc>
            </w:tr>
            <w:tr w14:paraId="335BD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noWrap w:val="0"/>
                  <w:vAlign w:val="center"/>
                </w:tcPr>
                <w:p w14:paraId="47E16C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主体工程</w:t>
                  </w:r>
                </w:p>
              </w:tc>
              <w:tc>
                <w:tcPr>
                  <w:tcW w:w="1556" w:type="dxa"/>
                  <w:noWrap w:val="0"/>
                  <w:vAlign w:val="center"/>
                </w:tcPr>
                <w:p w14:paraId="14856558">
                  <w:pPr>
                    <w:jc w:val="center"/>
                    <w:rPr>
                      <w:rFonts w:hint="eastAsia" w:ascii="Times New Roman" w:hAnsi="Times New Roman" w:cs="Times New Roman"/>
                      <w:color w:val="auto"/>
                      <w:highlight w:val="none"/>
                      <w:lang w:eastAsia="zh-CN"/>
                    </w:rPr>
                  </w:pPr>
                  <w:r>
                    <w:rPr>
                      <w:rFonts w:hint="eastAsia" w:cs="Times New Roman"/>
                      <w:color w:val="auto"/>
                      <w:highlight w:val="none"/>
                      <w:lang w:eastAsia="zh-CN"/>
                    </w:rPr>
                    <w:t>生产</w:t>
                  </w:r>
                  <w:r>
                    <w:rPr>
                      <w:rFonts w:hint="eastAsia" w:ascii="Times New Roman" w:hAnsi="Times New Roman" w:cs="Times New Roman"/>
                      <w:color w:val="auto"/>
                      <w:highlight w:val="none"/>
                      <w:lang w:eastAsia="zh-CN"/>
                    </w:rPr>
                    <w:t>车间</w:t>
                  </w:r>
                </w:p>
              </w:tc>
              <w:tc>
                <w:tcPr>
                  <w:tcW w:w="5298" w:type="dxa"/>
                  <w:noWrap w:val="0"/>
                  <w:vAlign w:val="center"/>
                </w:tcPr>
                <w:p w14:paraId="3EF0B6FE">
                  <w:pPr>
                    <w:jc w:val="center"/>
                    <w:rPr>
                      <w:rFonts w:hint="default" w:ascii="Times New Roman" w:hAnsi="Times New Roman" w:cs="Times New Roman"/>
                      <w:color w:val="auto"/>
                      <w:vertAlign w:val="baseline"/>
                      <w:lang w:val="en-US" w:eastAsia="zh-CN"/>
                    </w:rPr>
                  </w:pPr>
                  <w:r>
                    <w:rPr>
                      <w:rFonts w:hint="eastAsia" w:cs="Times New Roman"/>
                      <w:color w:val="auto"/>
                      <w:highlight w:val="none"/>
                      <w:lang w:val="en-US" w:eastAsia="zh-CN"/>
                    </w:rPr>
                    <w:t>建筑面积3000m</w:t>
                  </w:r>
                  <w:r>
                    <w:rPr>
                      <w:rFonts w:hint="eastAsia" w:cs="Times New Roman"/>
                      <w:color w:val="auto"/>
                      <w:highlight w:val="none"/>
                      <w:vertAlign w:val="superscript"/>
                      <w:lang w:val="en-US" w:eastAsia="zh-CN"/>
                    </w:rPr>
                    <w:t>2</w:t>
                  </w:r>
                  <w:r>
                    <w:rPr>
                      <w:rFonts w:hint="eastAsia" w:cs="Times New Roman"/>
                      <w:color w:val="auto"/>
                      <w:highlight w:val="none"/>
                      <w:vertAlign w:val="baseline"/>
                      <w:lang w:val="en-US" w:eastAsia="zh-CN"/>
                    </w:rPr>
                    <w:t>，</w:t>
                  </w:r>
                  <w:r>
                    <w:rPr>
                      <w:rFonts w:hint="eastAsia" w:cs="Times New Roman"/>
                      <w:color w:val="auto"/>
                      <w:kern w:val="2"/>
                      <w:sz w:val="21"/>
                      <w:szCs w:val="24"/>
                      <w:lang w:val="en-US" w:eastAsia="zh-CN" w:bidi="ar-SA"/>
                    </w:rPr>
                    <w:t>1F，</w:t>
                  </w:r>
                  <w:r>
                    <w:rPr>
                      <w:rFonts w:hint="eastAsia" w:cs="Times New Roman"/>
                      <w:color w:val="auto"/>
                      <w:highlight w:val="none"/>
                      <w:vertAlign w:val="baseline"/>
                      <w:lang w:val="en-US" w:eastAsia="zh-CN"/>
                    </w:rPr>
                    <w:t>钢结构，设置7条PVC生产线，3条PE生产线，购置挤出机、定型台、牵引机、切割锯、砂光打磨机等设备，项目建设后可达到年产7100吨PVC板材生产线，2900吨PE板材生产线的生产能力。</w:t>
                  </w:r>
                </w:p>
              </w:tc>
              <w:tc>
                <w:tcPr>
                  <w:tcW w:w="804" w:type="dxa"/>
                  <w:noWrap w:val="0"/>
                  <w:vAlign w:val="center"/>
                </w:tcPr>
                <w:p w14:paraId="737A8A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新建</w:t>
                  </w:r>
                </w:p>
              </w:tc>
            </w:tr>
            <w:tr w14:paraId="2CC3E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noWrap w:val="0"/>
                  <w:vAlign w:val="center"/>
                </w:tcPr>
                <w:p w14:paraId="1A0DBF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辅助工程</w:t>
                  </w:r>
                </w:p>
              </w:tc>
              <w:tc>
                <w:tcPr>
                  <w:tcW w:w="1556" w:type="dxa"/>
                  <w:noWrap w:val="0"/>
                  <w:vAlign w:val="center"/>
                </w:tcPr>
                <w:p w14:paraId="7119E5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4"/>
                      <w:lang w:val="en-US" w:eastAsia="zh-CN" w:bidi="ar-SA"/>
                    </w:rPr>
                  </w:pPr>
                  <w:r>
                    <w:rPr>
                      <w:rFonts w:hint="eastAsia" w:cs="Times New Roman"/>
                      <w:color w:val="auto"/>
                      <w:sz w:val="21"/>
                      <w:szCs w:val="21"/>
                      <w:highlight w:val="none"/>
                      <w:lang w:val="en-US" w:eastAsia="zh-CN"/>
                    </w:rPr>
                    <w:t>办公室+展厅</w:t>
                  </w:r>
                </w:p>
              </w:tc>
              <w:tc>
                <w:tcPr>
                  <w:tcW w:w="5298" w:type="dxa"/>
                  <w:noWrap w:val="0"/>
                  <w:vAlign w:val="center"/>
                </w:tcPr>
                <w:p w14:paraId="58EC20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4"/>
                      <w:vertAlign w:val="baseline"/>
                      <w:lang w:val="en-US" w:eastAsia="zh-CN" w:bidi="ar-SA"/>
                    </w:rPr>
                  </w:pPr>
                  <w:r>
                    <w:rPr>
                      <w:rFonts w:hint="eastAsia" w:cs="Times New Roman"/>
                      <w:color w:val="auto"/>
                      <w:kern w:val="2"/>
                      <w:sz w:val="21"/>
                      <w:szCs w:val="24"/>
                      <w:lang w:val="en-US" w:eastAsia="zh-CN" w:bidi="ar-SA"/>
                    </w:rPr>
                    <w:t>位于生产车间内部东南侧，建筑面积200m</w:t>
                  </w:r>
                  <w:r>
                    <w:rPr>
                      <w:rFonts w:hint="eastAsia" w:cs="Times New Roman"/>
                      <w:color w:val="auto"/>
                      <w:kern w:val="2"/>
                      <w:sz w:val="21"/>
                      <w:szCs w:val="24"/>
                      <w:vertAlign w:val="superscript"/>
                      <w:lang w:val="en-US" w:eastAsia="zh-CN" w:bidi="ar-SA"/>
                    </w:rPr>
                    <w:t>2</w:t>
                  </w:r>
                  <w:r>
                    <w:rPr>
                      <w:rFonts w:hint="eastAsia" w:cs="Times New Roman"/>
                      <w:color w:val="auto"/>
                      <w:kern w:val="2"/>
                      <w:sz w:val="21"/>
                      <w:szCs w:val="24"/>
                      <w:vertAlign w:val="baseline"/>
                      <w:lang w:val="en-US" w:eastAsia="zh-CN" w:bidi="ar-SA"/>
                    </w:rPr>
                    <w:t>，用于日常办公和产品的展示。</w:t>
                  </w:r>
                </w:p>
              </w:tc>
              <w:tc>
                <w:tcPr>
                  <w:tcW w:w="804" w:type="dxa"/>
                  <w:noWrap w:val="0"/>
                  <w:vAlign w:val="center"/>
                </w:tcPr>
                <w:p w14:paraId="0C427E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2"/>
                      <w:sz w:val="21"/>
                      <w:szCs w:val="24"/>
                      <w:lang w:val="en-US" w:eastAsia="zh-CN" w:bidi="ar-SA"/>
                    </w:rPr>
                  </w:pPr>
                  <w:r>
                    <w:rPr>
                      <w:rFonts w:hint="eastAsia" w:cs="Times New Roman"/>
                      <w:color w:val="auto"/>
                      <w:lang w:val="en-US" w:eastAsia="zh-CN"/>
                    </w:rPr>
                    <w:t>新建</w:t>
                  </w:r>
                </w:p>
              </w:tc>
            </w:tr>
            <w:tr w14:paraId="0687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restart"/>
                  <w:noWrap w:val="0"/>
                  <w:vAlign w:val="center"/>
                </w:tcPr>
                <w:p w14:paraId="7D91284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储运工程</w:t>
                  </w:r>
                </w:p>
              </w:tc>
              <w:tc>
                <w:tcPr>
                  <w:tcW w:w="1556" w:type="dxa"/>
                  <w:noWrap w:val="0"/>
                  <w:vAlign w:val="center"/>
                </w:tcPr>
                <w:p w14:paraId="51352F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highlight w:val="none"/>
                      <w:vertAlign w:val="baseline"/>
                      <w:lang w:val="en-US" w:eastAsia="zh-CN"/>
                    </w:rPr>
                    <w:t>PVC板材混料区</w:t>
                  </w:r>
                </w:p>
              </w:tc>
              <w:tc>
                <w:tcPr>
                  <w:tcW w:w="5298" w:type="dxa"/>
                  <w:noWrap w:val="0"/>
                  <w:vAlign w:val="center"/>
                </w:tcPr>
                <w:p w14:paraId="10E85413">
                  <w:pPr>
                    <w:jc w:val="center"/>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位于生产车间内部西北侧，面积约400m</w:t>
                  </w:r>
                  <w:r>
                    <w:rPr>
                      <w:rFonts w:hint="eastAsia" w:cs="Times New Roman"/>
                      <w:color w:val="auto"/>
                      <w:vertAlign w:val="superscript"/>
                      <w:lang w:val="en-US" w:eastAsia="zh-CN"/>
                    </w:rPr>
                    <w:t>2</w:t>
                  </w:r>
                  <w:r>
                    <w:rPr>
                      <w:rFonts w:hint="eastAsia" w:cs="Times New Roman"/>
                      <w:color w:val="auto"/>
                      <w:lang w:val="en-US" w:eastAsia="zh-CN"/>
                    </w:rPr>
                    <w:t>，用于PVC板材原料的储存及投料混合。</w:t>
                  </w:r>
                </w:p>
              </w:tc>
              <w:tc>
                <w:tcPr>
                  <w:tcW w:w="804" w:type="dxa"/>
                  <w:vMerge w:val="restart"/>
                  <w:noWrap w:val="0"/>
                  <w:vAlign w:val="center"/>
                </w:tcPr>
                <w:p w14:paraId="5234C0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新建</w:t>
                  </w:r>
                </w:p>
              </w:tc>
            </w:tr>
            <w:tr w14:paraId="71081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09BAAD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p>
              </w:tc>
              <w:tc>
                <w:tcPr>
                  <w:tcW w:w="1556" w:type="dxa"/>
                  <w:noWrap w:val="0"/>
                  <w:vAlign w:val="center"/>
                </w:tcPr>
                <w:p w14:paraId="2B1272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kern w:val="2"/>
                      <w:sz w:val="21"/>
                      <w:szCs w:val="24"/>
                      <w:lang w:val="en-US" w:eastAsia="zh-CN" w:bidi="ar-SA"/>
                    </w:rPr>
                  </w:pPr>
                  <w:r>
                    <w:rPr>
                      <w:rFonts w:hint="eastAsia" w:cs="Times New Roman"/>
                      <w:color w:val="auto"/>
                      <w:highlight w:val="none"/>
                      <w:vertAlign w:val="baseline"/>
                      <w:lang w:val="en-US" w:eastAsia="zh-CN"/>
                    </w:rPr>
                    <w:t>PE板材混料区</w:t>
                  </w:r>
                </w:p>
              </w:tc>
              <w:tc>
                <w:tcPr>
                  <w:tcW w:w="5298" w:type="dxa"/>
                  <w:noWrap w:val="0"/>
                  <w:vAlign w:val="center"/>
                </w:tcPr>
                <w:p w14:paraId="6DE3C30D">
                  <w:pPr>
                    <w:jc w:val="center"/>
                    <w:rPr>
                      <w:rFonts w:hint="eastAsia"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位于生产车间内部西北侧，面积约200m</w:t>
                  </w:r>
                  <w:r>
                    <w:rPr>
                      <w:rFonts w:hint="eastAsia" w:cs="Times New Roman"/>
                      <w:color w:val="auto"/>
                      <w:vertAlign w:val="superscript"/>
                      <w:lang w:val="en-US" w:eastAsia="zh-CN"/>
                    </w:rPr>
                    <w:t>2</w:t>
                  </w:r>
                  <w:r>
                    <w:rPr>
                      <w:rFonts w:hint="eastAsia" w:cs="Times New Roman"/>
                      <w:color w:val="auto"/>
                      <w:lang w:val="en-US" w:eastAsia="zh-CN"/>
                    </w:rPr>
                    <w:t>，用于PE板材原料的储存及投料混合。</w:t>
                  </w:r>
                </w:p>
              </w:tc>
              <w:tc>
                <w:tcPr>
                  <w:tcW w:w="804" w:type="dxa"/>
                  <w:vMerge w:val="continue"/>
                  <w:noWrap w:val="0"/>
                  <w:vAlign w:val="center"/>
                </w:tcPr>
                <w:p w14:paraId="768BB4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FF0000"/>
                      <w:lang w:val="en-US" w:eastAsia="zh-CN"/>
                    </w:rPr>
                  </w:pPr>
                </w:p>
              </w:tc>
            </w:tr>
            <w:tr w14:paraId="19C4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08C24E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p>
              </w:tc>
              <w:tc>
                <w:tcPr>
                  <w:tcW w:w="1556" w:type="dxa"/>
                  <w:noWrap w:val="0"/>
                  <w:vAlign w:val="center"/>
                </w:tcPr>
                <w:p w14:paraId="016905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highlight w:val="none"/>
                      <w:vertAlign w:val="baseline"/>
                      <w:lang w:val="en-US" w:eastAsia="zh-CN"/>
                    </w:rPr>
                  </w:pPr>
                  <w:r>
                    <w:rPr>
                      <w:rFonts w:hint="eastAsia" w:cs="Times New Roman"/>
                      <w:color w:val="auto"/>
                      <w:highlight w:val="none"/>
                      <w:vertAlign w:val="baseline"/>
                      <w:lang w:val="en-US" w:eastAsia="zh-CN"/>
                    </w:rPr>
                    <w:t>成品区</w:t>
                  </w:r>
                </w:p>
              </w:tc>
              <w:tc>
                <w:tcPr>
                  <w:tcW w:w="5298" w:type="dxa"/>
                  <w:noWrap w:val="0"/>
                  <w:vAlign w:val="center"/>
                </w:tcPr>
                <w:p w14:paraId="10CB5070">
                  <w:pPr>
                    <w:jc w:val="center"/>
                    <w:rPr>
                      <w:rFonts w:hint="default" w:cs="Times New Roman"/>
                      <w:color w:val="auto"/>
                      <w:lang w:val="en-US" w:eastAsia="zh-CN"/>
                    </w:rPr>
                  </w:pPr>
                  <w:r>
                    <w:rPr>
                      <w:rFonts w:hint="eastAsia" w:cs="Times New Roman"/>
                      <w:color w:val="auto"/>
                      <w:lang w:val="en-US" w:eastAsia="zh-CN"/>
                    </w:rPr>
                    <w:t>位于生产车间内部东北侧，面积约600m</w:t>
                  </w:r>
                  <w:r>
                    <w:rPr>
                      <w:rFonts w:hint="eastAsia" w:cs="Times New Roman"/>
                      <w:color w:val="auto"/>
                      <w:vertAlign w:val="superscript"/>
                      <w:lang w:val="en-US" w:eastAsia="zh-CN"/>
                    </w:rPr>
                    <w:t>2</w:t>
                  </w:r>
                  <w:r>
                    <w:rPr>
                      <w:rFonts w:hint="eastAsia" w:cs="Times New Roman"/>
                      <w:color w:val="auto"/>
                      <w:lang w:val="en-US" w:eastAsia="zh-CN"/>
                    </w:rPr>
                    <w:t>，用于PVC板材、PE板材成品的堆放。</w:t>
                  </w:r>
                </w:p>
              </w:tc>
              <w:tc>
                <w:tcPr>
                  <w:tcW w:w="804" w:type="dxa"/>
                  <w:vMerge w:val="continue"/>
                  <w:noWrap w:val="0"/>
                  <w:vAlign w:val="center"/>
                </w:tcPr>
                <w:p w14:paraId="3D5EF5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FF0000"/>
                      <w:lang w:val="en-US" w:eastAsia="zh-CN"/>
                    </w:rPr>
                  </w:pPr>
                </w:p>
              </w:tc>
            </w:tr>
            <w:tr w14:paraId="788F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restart"/>
                  <w:noWrap w:val="0"/>
                  <w:vAlign w:val="center"/>
                </w:tcPr>
                <w:p w14:paraId="387241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公用工程</w:t>
                  </w:r>
                </w:p>
              </w:tc>
              <w:tc>
                <w:tcPr>
                  <w:tcW w:w="1556" w:type="dxa"/>
                  <w:noWrap w:val="0"/>
                  <w:vAlign w:val="center"/>
                </w:tcPr>
                <w:p w14:paraId="725A5F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给水</w:t>
                  </w:r>
                </w:p>
              </w:tc>
              <w:tc>
                <w:tcPr>
                  <w:tcW w:w="5298" w:type="dxa"/>
                  <w:noWrap w:val="0"/>
                  <w:vAlign w:val="center"/>
                </w:tcPr>
                <w:p w14:paraId="56A009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eastAsia" w:cs="Times New Roman"/>
                      <w:bCs/>
                      <w:color w:val="auto"/>
                      <w:sz w:val="21"/>
                      <w:szCs w:val="21"/>
                      <w:shd w:val="clear" w:color="auto" w:fill="auto"/>
                      <w:lang w:eastAsia="zh-CN"/>
                    </w:rPr>
                    <w:t>给水来自</w:t>
                  </w:r>
                  <w:r>
                    <w:rPr>
                      <w:rFonts w:hint="default" w:ascii="Times New Roman" w:hAnsi="Times New Roman" w:cs="Times New Roman"/>
                      <w:bCs/>
                      <w:color w:val="auto"/>
                      <w:sz w:val="21"/>
                      <w:szCs w:val="21"/>
                      <w:shd w:val="clear" w:color="auto" w:fill="auto"/>
                      <w:lang w:eastAsia="zh-CN"/>
                    </w:rPr>
                    <w:t>市政管网</w:t>
                  </w:r>
                  <w:r>
                    <w:rPr>
                      <w:rFonts w:hint="eastAsia" w:cs="Times New Roman"/>
                      <w:bCs/>
                      <w:color w:val="auto"/>
                      <w:sz w:val="21"/>
                      <w:szCs w:val="21"/>
                      <w:shd w:val="clear" w:color="auto" w:fill="auto"/>
                      <w:lang w:eastAsia="zh-CN"/>
                    </w:rPr>
                    <w:t>，供水量</w:t>
                  </w:r>
                  <w:r>
                    <w:rPr>
                      <w:rFonts w:hint="eastAsia" w:cs="Times New Roman"/>
                      <w:bCs/>
                      <w:color w:val="auto"/>
                      <w:sz w:val="21"/>
                      <w:szCs w:val="21"/>
                      <w:shd w:val="clear" w:color="auto" w:fill="auto"/>
                      <w:lang w:val="en-US" w:eastAsia="zh-CN"/>
                    </w:rPr>
                    <w:t>为</w:t>
                  </w:r>
                  <w:r>
                    <w:rPr>
                      <w:rFonts w:hint="eastAsia" w:cs="Times New Roman"/>
                      <w:color w:val="auto"/>
                      <w:sz w:val="21"/>
                      <w:szCs w:val="21"/>
                      <w:highlight w:val="none"/>
                      <w:lang w:val="en-US" w:eastAsia="zh-CN"/>
                    </w:rPr>
                    <w:t>2310</w:t>
                  </w:r>
                  <w:r>
                    <w:rPr>
                      <w:rFonts w:hint="eastAsia" w:cs="Times New Roman"/>
                      <w:bCs/>
                      <w:color w:val="auto"/>
                      <w:sz w:val="21"/>
                      <w:szCs w:val="21"/>
                      <w:shd w:val="clear" w:color="auto" w:fill="auto"/>
                      <w:lang w:val="en-US" w:eastAsia="zh-CN"/>
                    </w:rPr>
                    <w:t>t/a。</w:t>
                  </w:r>
                </w:p>
              </w:tc>
              <w:tc>
                <w:tcPr>
                  <w:tcW w:w="804" w:type="dxa"/>
                  <w:vMerge w:val="restart"/>
                  <w:noWrap w:val="0"/>
                  <w:vAlign w:val="center"/>
                </w:tcPr>
                <w:p w14:paraId="2A56B0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r>
                    <w:rPr>
                      <w:rFonts w:hint="eastAsia" w:cs="Times New Roman"/>
                      <w:color w:val="auto"/>
                      <w:lang w:val="en-US" w:eastAsia="zh-CN"/>
                    </w:rPr>
                    <w:t>新建</w:t>
                  </w:r>
                </w:p>
              </w:tc>
            </w:tr>
            <w:tr w14:paraId="3C17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233F34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p>
              </w:tc>
              <w:tc>
                <w:tcPr>
                  <w:tcW w:w="1556" w:type="dxa"/>
                  <w:noWrap w:val="0"/>
                  <w:vAlign w:val="center"/>
                </w:tcPr>
                <w:p w14:paraId="152F77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排水</w:t>
                  </w:r>
                </w:p>
              </w:tc>
              <w:tc>
                <w:tcPr>
                  <w:tcW w:w="5298" w:type="dxa"/>
                  <w:noWrap w:val="0"/>
                  <w:vAlign w:val="center"/>
                </w:tcPr>
                <w:p w14:paraId="0EC5DDBD">
                  <w:pPr>
                    <w:spacing w:line="240" w:lineRule="auto"/>
                    <w:jc w:val="center"/>
                    <w:rPr>
                      <w:rFonts w:hint="eastAsia" w:ascii="Times New Roman" w:hAnsi="Times New Roman" w:eastAsia="宋体" w:cs="Times New Roman"/>
                      <w:color w:val="auto"/>
                      <w:kern w:val="2"/>
                      <w:sz w:val="21"/>
                      <w:szCs w:val="21"/>
                      <w:highlight w:val="none"/>
                      <w:shd w:val="clear" w:color="auto" w:fill="auto"/>
                      <w:vertAlign w:val="baseline"/>
                      <w:lang w:val="en-US" w:eastAsia="zh-CN" w:bidi="ar-SA"/>
                    </w:rPr>
                  </w:pPr>
                  <w:r>
                    <w:rPr>
                      <w:rFonts w:hint="default" w:ascii="Times New Roman" w:hAnsi="Times New Roman" w:cs="Times New Roman"/>
                      <w:color w:val="auto"/>
                      <w:sz w:val="21"/>
                      <w:szCs w:val="21"/>
                      <w:highlight w:val="none"/>
                      <w:shd w:val="clear" w:color="auto" w:fill="auto"/>
                      <w:vertAlign w:val="baseline"/>
                      <w:lang w:val="en-US" w:eastAsia="zh-CN"/>
                    </w:rPr>
                    <w:t>排水实行雨污分流制</w:t>
                  </w:r>
                  <w:r>
                    <w:rPr>
                      <w:rFonts w:hint="eastAsia" w:cs="Times New Roman"/>
                      <w:color w:val="auto"/>
                      <w:sz w:val="21"/>
                      <w:szCs w:val="21"/>
                      <w:highlight w:val="none"/>
                      <w:shd w:val="clear" w:color="auto" w:fill="auto"/>
                      <w:vertAlign w:val="baseline"/>
                      <w:lang w:val="en-US" w:eastAsia="zh-CN"/>
                    </w:rPr>
                    <w:t>，</w:t>
                  </w:r>
                  <w:r>
                    <w:rPr>
                      <w:rFonts w:hint="default" w:ascii="Times New Roman" w:hAnsi="Times New Roman" w:cs="Times New Roman"/>
                      <w:color w:val="auto"/>
                      <w:sz w:val="21"/>
                      <w:szCs w:val="21"/>
                      <w:highlight w:val="none"/>
                      <w:shd w:val="clear" w:color="auto" w:fill="auto"/>
                      <w:vertAlign w:val="baseline"/>
                      <w:lang w:val="en-US" w:eastAsia="zh-CN"/>
                    </w:rPr>
                    <w:t>雨水经厂区雨水管网排入市政雨水管网</w:t>
                  </w:r>
                  <w:r>
                    <w:rPr>
                      <w:rFonts w:hint="eastAsia" w:cs="Times New Roman"/>
                      <w:color w:val="auto"/>
                      <w:sz w:val="21"/>
                      <w:szCs w:val="21"/>
                      <w:highlight w:val="none"/>
                      <w:shd w:val="clear" w:color="auto" w:fill="auto"/>
                      <w:vertAlign w:val="baseline"/>
                      <w:lang w:val="en-US" w:eastAsia="zh-CN"/>
                    </w:rPr>
                    <w:t>；项目冷却废水循环使用不外排，喷淋废水经收集后作为危废交由资质单位处理，生活污水经化粪池预处理后排入</w:t>
                  </w:r>
                  <w:r>
                    <w:rPr>
                      <w:rFonts w:hint="eastAsia"/>
                      <w:color w:val="auto"/>
                      <w:sz w:val="21"/>
                      <w:szCs w:val="21"/>
                      <w:lang w:eastAsia="zh-CN"/>
                    </w:rPr>
                    <w:t>城东</w:t>
                  </w:r>
                  <w:r>
                    <w:rPr>
                      <w:rFonts w:hint="eastAsia"/>
                      <w:color w:val="auto"/>
                      <w:sz w:val="21"/>
                      <w:szCs w:val="21"/>
                    </w:rPr>
                    <w:t>污水处理厂</w:t>
                  </w:r>
                  <w:r>
                    <w:rPr>
                      <w:rFonts w:hint="eastAsia" w:cs="Times New Roman"/>
                      <w:color w:val="auto"/>
                      <w:sz w:val="21"/>
                      <w:szCs w:val="21"/>
                      <w:highlight w:val="none"/>
                      <w:shd w:val="clear" w:color="auto" w:fill="auto"/>
                      <w:vertAlign w:val="baseline"/>
                      <w:lang w:val="en-US" w:eastAsia="zh-CN"/>
                    </w:rPr>
                    <w:t>进行处理。</w:t>
                  </w:r>
                </w:p>
              </w:tc>
              <w:tc>
                <w:tcPr>
                  <w:tcW w:w="804" w:type="dxa"/>
                  <w:vMerge w:val="continue"/>
                  <w:noWrap w:val="0"/>
                  <w:vAlign w:val="center"/>
                </w:tcPr>
                <w:p w14:paraId="59748C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r>
            <w:tr w14:paraId="2E20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26FBE8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p>
              </w:tc>
              <w:tc>
                <w:tcPr>
                  <w:tcW w:w="1556" w:type="dxa"/>
                  <w:noWrap w:val="0"/>
                  <w:vAlign w:val="center"/>
                </w:tcPr>
                <w:p w14:paraId="7F813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供电</w:t>
                  </w:r>
                </w:p>
              </w:tc>
              <w:tc>
                <w:tcPr>
                  <w:tcW w:w="5298" w:type="dxa"/>
                  <w:noWrap w:val="0"/>
                  <w:vAlign w:val="center"/>
                </w:tcPr>
                <w:p w14:paraId="684A5083">
                  <w:pPr>
                    <w:spacing w:line="240" w:lineRule="auto"/>
                    <w:jc w:val="center"/>
                    <w:rPr>
                      <w:rFonts w:hint="default" w:ascii="Times New Roman" w:hAnsi="Times New Roman" w:eastAsia="宋体" w:cs="Times New Roman"/>
                      <w:color w:val="auto"/>
                      <w:kern w:val="2"/>
                      <w:sz w:val="21"/>
                      <w:szCs w:val="21"/>
                      <w:highlight w:val="none"/>
                      <w:shd w:val="clear" w:color="auto" w:fill="auto"/>
                      <w:vertAlign w:val="baseline"/>
                      <w:lang w:val="en-US" w:eastAsia="zh-CN" w:bidi="ar-SA"/>
                    </w:rPr>
                  </w:pPr>
                  <w:r>
                    <w:rPr>
                      <w:rFonts w:hint="default" w:ascii="Times New Roman" w:hAnsi="Times New Roman" w:cs="Times New Roman"/>
                      <w:color w:val="auto"/>
                      <w:sz w:val="21"/>
                      <w:szCs w:val="21"/>
                      <w:highlight w:val="none"/>
                      <w:shd w:val="clear" w:color="auto" w:fill="auto"/>
                      <w:vertAlign w:val="baseline"/>
                      <w:lang w:eastAsia="zh-CN"/>
                    </w:rPr>
                    <w:t>市政供电管网统一供电，</w:t>
                  </w:r>
                  <w:r>
                    <w:rPr>
                      <w:rFonts w:hint="default" w:ascii="Times New Roman" w:hAnsi="Times New Roman" w:cs="Times New Roman"/>
                      <w:bCs/>
                      <w:color w:val="auto"/>
                      <w:sz w:val="21"/>
                      <w:szCs w:val="21"/>
                      <w:shd w:val="clear" w:color="auto" w:fill="auto"/>
                    </w:rPr>
                    <w:t>用电量</w:t>
                  </w:r>
                  <w:r>
                    <w:rPr>
                      <w:rFonts w:hint="eastAsia" w:cs="Times New Roman"/>
                      <w:bCs/>
                      <w:color w:val="auto"/>
                      <w:sz w:val="21"/>
                      <w:szCs w:val="21"/>
                      <w:shd w:val="clear" w:color="auto" w:fill="auto"/>
                      <w:lang w:val="en-US" w:eastAsia="zh-CN"/>
                    </w:rPr>
                    <w:t>80</w:t>
                  </w:r>
                  <w:r>
                    <w:rPr>
                      <w:rFonts w:hint="default" w:ascii="Times New Roman" w:hAnsi="Times New Roman" w:cs="Times New Roman"/>
                      <w:bCs/>
                      <w:color w:val="auto"/>
                      <w:sz w:val="21"/>
                      <w:szCs w:val="21"/>
                      <w:shd w:val="clear" w:color="auto" w:fill="auto"/>
                      <w:lang w:val="en-US" w:eastAsia="zh-CN"/>
                    </w:rPr>
                    <w:t>万kW·h/a</w:t>
                  </w:r>
                  <w:r>
                    <w:rPr>
                      <w:rFonts w:hint="eastAsia" w:cs="Times New Roman"/>
                      <w:bCs/>
                      <w:color w:val="auto"/>
                      <w:sz w:val="21"/>
                      <w:szCs w:val="21"/>
                      <w:shd w:val="clear" w:color="auto" w:fill="auto"/>
                      <w:lang w:val="en-US" w:eastAsia="zh-CN"/>
                    </w:rPr>
                    <w:t>。</w:t>
                  </w:r>
                </w:p>
              </w:tc>
              <w:tc>
                <w:tcPr>
                  <w:tcW w:w="804" w:type="dxa"/>
                  <w:vMerge w:val="continue"/>
                  <w:noWrap w:val="0"/>
                  <w:vAlign w:val="center"/>
                </w:tcPr>
                <w:p w14:paraId="148D88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r>
            <w:tr w14:paraId="49D85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453EDA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c>
                <w:tcPr>
                  <w:tcW w:w="1556" w:type="dxa"/>
                  <w:noWrap w:val="0"/>
                  <w:vAlign w:val="center"/>
                </w:tcPr>
                <w:p w14:paraId="4B5E55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eastAsia" w:cs="Times New Roman"/>
                      <w:color w:val="auto"/>
                      <w:lang w:val="en-US" w:eastAsia="zh-CN"/>
                    </w:rPr>
                    <w:t>消防</w:t>
                  </w:r>
                </w:p>
              </w:tc>
              <w:tc>
                <w:tcPr>
                  <w:tcW w:w="5298" w:type="dxa"/>
                  <w:noWrap w:val="0"/>
                  <w:vAlign w:val="center"/>
                </w:tcPr>
                <w:p w14:paraId="4B8E95F3">
                  <w:pPr>
                    <w:spacing w:line="240" w:lineRule="auto"/>
                    <w:jc w:val="center"/>
                    <w:rPr>
                      <w:rFonts w:hint="default" w:ascii="Times New Roman" w:hAnsi="Times New Roman" w:cs="Times New Roman"/>
                      <w:color w:val="auto"/>
                      <w:sz w:val="21"/>
                      <w:szCs w:val="21"/>
                      <w:highlight w:val="none"/>
                      <w:shd w:val="clear" w:color="auto" w:fill="auto"/>
                      <w:vertAlign w:val="baseline"/>
                      <w:lang w:eastAsia="zh-CN"/>
                    </w:rPr>
                  </w:pPr>
                  <w:r>
                    <w:rPr>
                      <w:rFonts w:hint="eastAsia"/>
                      <w:color w:val="auto"/>
                      <w:lang w:val="en-US" w:eastAsia="zh-CN"/>
                    </w:rPr>
                    <w:t>按照相关规定设置各类消防设施。</w:t>
                  </w:r>
                </w:p>
              </w:tc>
              <w:tc>
                <w:tcPr>
                  <w:tcW w:w="804" w:type="dxa"/>
                  <w:vMerge w:val="continue"/>
                  <w:noWrap w:val="0"/>
                  <w:vAlign w:val="center"/>
                </w:tcPr>
                <w:p w14:paraId="171C44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FF0000"/>
                      <w:lang w:val="en-US" w:eastAsia="zh-CN"/>
                    </w:rPr>
                  </w:pPr>
                </w:p>
              </w:tc>
            </w:tr>
            <w:tr w14:paraId="664F1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restart"/>
                  <w:noWrap w:val="0"/>
                  <w:vAlign w:val="center"/>
                </w:tcPr>
                <w:p w14:paraId="77E1C4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r>
                    <w:rPr>
                      <w:rFonts w:hint="default" w:ascii="Times New Roman" w:hAnsi="Times New Roman" w:cs="Times New Roman"/>
                      <w:color w:val="auto"/>
                      <w:lang w:val="en-US" w:eastAsia="zh-CN"/>
                    </w:rPr>
                    <w:t>环保工程</w:t>
                  </w:r>
                </w:p>
              </w:tc>
              <w:tc>
                <w:tcPr>
                  <w:tcW w:w="1556" w:type="dxa"/>
                  <w:vMerge w:val="restart"/>
                  <w:noWrap w:val="0"/>
                  <w:vAlign w:val="center"/>
                </w:tcPr>
                <w:p w14:paraId="30A613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废气治理</w:t>
                  </w:r>
                </w:p>
              </w:tc>
              <w:tc>
                <w:tcPr>
                  <w:tcW w:w="5298" w:type="dxa"/>
                  <w:noWrap w:val="0"/>
                  <w:vAlign w:val="center"/>
                </w:tcPr>
                <w:p w14:paraId="0B00CF73">
                  <w:pPr>
                    <w:adjustRightInd w:val="0"/>
                    <w:snapToGrid w:val="0"/>
                    <w:jc w:val="center"/>
                    <w:rPr>
                      <w:rFonts w:hint="default" w:ascii="Times New Roman" w:hAnsi="Times New Roman" w:cs="Times New Roman"/>
                      <w:color w:val="auto"/>
                      <w:sz w:val="21"/>
                      <w:szCs w:val="21"/>
                      <w:highlight w:val="none"/>
                      <w:shd w:val="clear" w:color="auto" w:fill="auto"/>
                      <w:vertAlign w:val="baseline"/>
                      <w:lang w:val="en-US" w:eastAsia="zh-CN"/>
                    </w:rPr>
                  </w:pPr>
                  <w:r>
                    <w:rPr>
                      <w:rFonts w:hint="default" w:eastAsia="宋体"/>
                      <w:color w:val="000000" w:themeColor="text1"/>
                      <w:sz w:val="21"/>
                      <w:szCs w:val="21"/>
                      <w:lang w:val="en-US" w:eastAsia="zh-CN"/>
                      <w14:textFill>
                        <w14:solidFill>
                          <w14:schemeClr w14:val="tx1"/>
                        </w14:solidFill>
                      </w14:textFill>
                    </w:rPr>
                    <w:t>混料、</w:t>
                  </w:r>
                  <w:r>
                    <w:rPr>
                      <w:rFonts w:hint="eastAsia"/>
                      <w:color w:val="000000" w:themeColor="text1"/>
                      <w:sz w:val="21"/>
                      <w:szCs w:val="21"/>
                      <w:lang w:val="en-US" w:eastAsia="zh-CN"/>
                      <w14:textFill>
                        <w14:solidFill>
                          <w14:schemeClr w14:val="tx1"/>
                        </w14:solidFill>
                      </w14:textFill>
                    </w:rPr>
                    <w:t>牵引</w:t>
                  </w:r>
                  <w:r>
                    <w:rPr>
                      <w:rFonts w:hint="default" w:eastAsia="宋体"/>
                      <w:color w:val="000000" w:themeColor="text1"/>
                      <w:sz w:val="21"/>
                      <w:szCs w:val="21"/>
                      <w:lang w:val="en-US" w:eastAsia="zh-CN"/>
                      <w14:textFill>
                        <w14:solidFill>
                          <w14:schemeClr w14:val="tx1"/>
                        </w14:solidFill>
                      </w14:textFill>
                    </w:rPr>
                    <w:t>切割、</w:t>
                  </w:r>
                  <w:r>
                    <w:rPr>
                      <w:rFonts w:hint="eastAsia"/>
                      <w:color w:val="000000" w:themeColor="text1"/>
                      <w:sz w:val="21"/>
                      <w:szCs w:val="21"/>
                      <w:lang w:val="en-US" w:eastAsia="zh-CN"/>
                      <w14:textFill>
                        <w14:solidFill>
                          <w14:schemeClr w14:val="tx1"/>
                        </w14:solidFill>
                      </w14:textFill>
                    </w:rPr>
                    <w:t>精确</w:t>
                  </w:r>
                  <w:r>
                    <w:rPr>
                      <w:rFonts w:hint="default" w:eastAsia="宋体"/>
                      <w:color w:val="000000" w:themeColor="text1"/>
                      <w:sz w:val="21"/>
                      <w:szCs w:val="21"/>
                      <w:lang w:val="en-US" w:eastAsia="zh-CN"/>
                      <w14:textFill>
                        <w14:solidFill>
                          <w14:schemeClr w14:val="tx1"/>
                        </w14:solidFill>
                      </w14:textFill>
                    </w:rPr>
                    <w:t>切割、砂光打磨废气</w:t>
                  </w:r>
                  <w:r>
                    <w:rPr>
                      <w:rFonts w:hint="eastAsia"/>
                      <w:color w:val="000000" w:themeColor="text1"/>
                      <w:sz w:val="21"/>
                      <w:szCs w:val="21"/>
                      <w:lang w:val="en-US" w:eastAsia="zh-CN"/>
                      <w14:textFill>
                        <w14:solidFill>
                          <w14:schemeClr w14:val="tx1"/>
                        </w14:solidFill>
                      </w14:textFill>
                    </w:rPr>
                    <w:t>：集气罩+</w:t>
                  </w:r>
                  <w:r>
                    <w:rPr>
                      <w:rFonts w:hint="eastAsia" w:cs="Times New Roman"/>
                      <w:color w:val="000000" w:themeColor="text1"/>
                      <w:kern w:val="2"/>
                      <w:sz w:val="21"/>
                      <w:szCs w:val="21"/>
                      <w:lang w:val="en-US" w:eastAsia="zh-CN" w:bidi="ar-SA"/>
                      <w14:textFill>
                        <w14:solidFill>
                          <w14:schemeClr w14:val="tx1"/>
                        </w14:solidFill>
                      </w14:textFill>
                    </w:rPr>
                    <w:t>布</w:t>
                  </w: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袋除尘器</w:t>
                  </w:r>
                  <w:r>
                    <w:rPr>
                      <w:rFonts w:hint="eastAsia" w:cs="Times New Roman"/>
                      <w:color w:val="000000" w:themeColor="text1"/>
                      <w:kern w:val="2"/>
                      <w:sz w:val="21"/>
                      <w:szCs w:val="21"/>
                      <w:lang w:val="en-US" w:eastAsia="zh-CN" w:bidi="ar-SA"/>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15m</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排气筒（DA00</w:t>
                  </w:r>
                  <w:r>
                    <w:rPr>
                      <w:rFonts w:hint="eastAsia" w:cs="Times New Roman"/>
                      <w:color w:val="000000" w:themeColor="text1"/>
                      <w:sz w:val="21"/>
                      <w:szCs w:val="21"/>
                      <w:lang w:val="en-US" w:eastAsia="zh-CN"/>
                      <w14:textFill>
                        <w14:solidFill>
                          <w14:schemeClr w14:val="tx1"/>
                        </w14:solidFill>
                      </w14:textFill>
                    </w:rPr>
                    <w:t>6</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）排放</w:t>
                  </w:r>
                  <w:r>
                    <w:rPr>
                      <w:rFonts w:hint="eastAsia" w:cs="Times New Roman"/>
                      <w:color w:val="000000" w:themeColor="text1"/>
                      <w:sz w:val="21"/>
                      <w:szCs w:val="21"/>
                      <w:lang w:val="en-US" w:eastAsia="zh-CN"/>
                      <w14:textFill>
                        <w14:solidFill>
                          <w14:schemeClr w14:val="tx1"/>
                        </w14:solidFill>
                      </w14:textFill>
                    </w:rPr>
                    <w:t>。</w:t>
                  </w:r>
                </w:p>
              </w:tc>
              <w:tc>
                <w:tcPr>
                  <w:tcW w:w="804" w:type="dxa"/>
                  <w:vMerge w:val="restart"/>
                  <w:noWrap w:val="0"/>
                  <w:vAlign w:val="center"/>
                </w:tcPr>
                <w:p w14:paraId="776A38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lang w:val="en-US" w:eastAsia="zh-CN"/>
                    </w:rPr>
                  </w:pPr>
                  <w:r>
                    <w:rPr>
                      <w:rFonts w:hint="eastAsia" w:cs="Times New Roman"/>
                      <w:color w:val="auto"/>
                      <w:lang w:val="en-US" w:eastAsia="zh-CN"/>
                    </w:rPr>
                    <w:t>新建</w:t>
                  </w:r>
                </w:p>
              </w:tc>
            </w:tr>
            <w:tr w14:paraId="785E6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5B02F3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p>
              </w:tc>
              <w:tc>
                <w:tcPr>
                  <w:tcW w:w="1556" w:type="dxa"/>
                  <w:vMerge w:val="continue"/>
                  <w:noWrap w:val="0"/>
                  <w:vAlign w:val="center"/>
                </w:tcPr>
                <w:p w14:paraId="722223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lang w:val="en-US" w:eastAsia="zh-CN"/>
                    </w:rPr>
                  </w:pPr>
                </w:p>
              </w:tc>
              <w:tc>
                <w:tcPr>
                  <w:tcW w:w="5298" w:type="dxa"/>
                  <w:noWrap w:val="0"/>
                  <w:vAlign w:val="center"/>
                </w:tcPr>
                <w:p w14:paraId="32B0C8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highlight w:val="none"/>
                      <w:shd w:val="clear" w:color="auto" w:fill="auto"/>
                      <w:vertAlign w:val="baseline"/>
                      <w:lang w:val="en-US" w:eastAsia="zh-CN"/>
                    </w:rPr>
                  </w:pPr>
                  <w:r>
                    <w:rPr>
                      <w:rFonts w:hint="eastAsia" w:cs="Times New Roman"/>
                      <w:b w:val="0"/>
                      <w:bCs w:val="0"/>
                      <w:color w:val="auto"/>
                      <w:sz w:val="21"/>
                      <w:szCs w:val="21"/>
                      <w:lang w:val="en-US" w:eastAsia="zh-CN"/>
                    </w:rPr>
                    <w:t>融熔挤出废气：集气罩+</w:t>
                  </w:r>
                  <w:r>
                    <w:rPr>
                      <w:rFonts w:hint="eastAsia" w:cs="Times New Roman"/>
                      <w:color w:val="auto"/>
                      <w:kern w:val="2"/>
                      <w:sz w:val="21"/>
                      <w:szCs w:val="21"/>
                      <w:lang w:val="en-US" w:eastAsia="zh-CN" w:bidi="ar-SA"/>
                    </w:rPr>
                    <w:t>碱液喷淋+除雾器+CO催化燃烧装置+</w:t>
                  </w:r>
                  <w:r>
                    <w:rPr>
                      <w:rFonts w:hint="eastAsia" w:cs="Times New Roman"/>
                      <w:color w:val="000000" w:themeColor="text1"/>
                      <w:sz w:val="21"/>
                      <w:szCs w:val="21"/>
                      <w:lang w:val="en-US" w:eastAsia="zh-CN"/>
                      <w14:textFill>
                        <w14:solidFill>
                          <w14:schemeClr w14:val="tx1"/>
                        </w14:solidFill>
                      </w14:textFill>
                    </w:rPr>
                    <w:t>15m</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排气筒（DA00</w:t>
                  </w:r>
                  <w:r>
                    <w:rPr>
                      <w:rFonts w:hint="eastAsia" w:cs="Times New Roman"/>
                      <w:color w:val="000000" w:themeColor="text1"/>
                      <w:sz w:val="21"/>
                      <w:szCs w:val="21"/>
                      <w:lang w:val="en-US" w:eastAsia="zh-CN"/>
                      <w14:textFill>
                        <w14:solidFill>
                          <w14:schemeClr w14:val="tx1"/>
                        </w14:solidFill>
                      </w14:textFill>
                    </w:rPr>
                    <w:t>7</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）排放</w:t>
                  </w:r>
                </w:p>
              </w:tc>
              <w:tc>
                <w:tcPr>
                  <w:tcW w:w="804" w:type="dxa"/>
                  <w:vMerge w:val="continue"/>
                  <w:noWrap w:val="0"/>
                  <w:vAlign w:val="center"/>
                </w:tcPr>
                <w:p w14:paraId="7DA34B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lang w:val="en-US" w:eastAsia="zh-CN"/>
                    </w:rPr>
                  </w:pPr>
                </w:p>
              </w:tc>
            </w:tr>
            <w:tr w14:paraId="4281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5B347B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c>
                <w:tcPr>
                  <w:tcW w:w="1556" w:type="dxa"/>
                  <w:noWrap w:val="0"/>
                  <w:vAlign w:val="center"/>
                </w:tcPr>
                <w:p w14:paraId="681D0C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废水治理</w:t>
                  </w:r>
                </w:p>
              </w:tc>
              <w:tc>
                <w:tcPr>
                  <w:tcW w:w="5298" w:type="dxa"/>
                  <w:noWrap w:val="0"/>
                  <w:vAlign w:val="center"/>
                </w:tcPr>
                <w:p w14:paraId="32E267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highlight w:val="none"/>
                      <w:shd w:val="clear" w:color="auto" w:fill="auto"/>
                      <w:vertAlign w:val="baseline"/>
                      <w:lang w:val="en-US" w:eastAsia="zh-CN"/>
                    </w:rPr>
                    <w:t>排水实行雨污分流制</w:t>
                  </w:r>
                  <w:r>
                    <w:rPr>
                      <w:rFonts w:hint="eastAsia" w:cs="Times New Roman"/>
                      <w:color w:val="auto"/>
                      <w:sz w:val="21"/>
                      <w:szCs w:val="21"/>
                      <w:highlight w:val="none"/>
                      <w:shd w:val="clear" w:color="auto" w:fill="auto"/>
                      <w:vertAlign w:val="baseline"/>
                      <w:lang w:val="en-US" w:eastAsia="zh-CN"/>
                    </w:rPr>
                    <w:t>，</w:t>
                  </w:r>
                  <w:r>
                    <w:rPr>
                      <w:rFonts w:hint="default" w:ascii="Times New Roman" w:hAnsi="Times New Roman" w:cs="Times New Roman"/>
                      <w:color w:val="auto"/>
                      <w:sz w:val="21"/>
                      <w:szCs w:val="21"/>
                      <w:highlight w:val="none"/>
                      <w:shd w:val="clear" w:color="auto" w:fill="auto"/>
                      <w:vertAlign w:val="baseline"/>
                      <w:lang w:val="en-US" w:eastAsia="zh-CN"/>
                    </w:rPr>
                    <w:t>雨水经厂区雨水管网排入市政雨水管网</w:t>
                  </w:r>
                  <w:r>
                    <w:rPr>
                      <w:rFonts w:hint="eastAsia" w:cs="Times New Roman"/>
                      <w:color w:val="auto"/>
                      <w:sz w:val="21"/>
                      <w:szCs w:val="21"/>
                      <w:highlight w:val="none"/>
                      <w:shd w:val="clear" w:color="auto" w:fill="auto"/>
                      <w:vertAlign w:val="baseline"/>
                      <w:lang w:val="en-US" w:eastAsia="zh-CN"/>
                    </w:rPr>
                    <w:t>；项目冷却废水循环使用不外排，喷淋废水经收集后作为危废交由资质单位处理，生活污水经化粪池处理后排入</w:t>
                  </w:r>
                  <w:r>
                    <w:rPr>
                      <w:rFonts w:hint="eastAsia"/>
                      <w:color w:val="auto"/>
                      <w:sz w:val="21"/>
                      <w:szCs w:val="21"/>
                      <w:lang w:eastAsia="zh-CN"/>
                    </w:rPr>
                    <w:t>城东</w:t>
                  </w:r>
                  <w:r>
                    <w:rPr>
                      <w:rFonts w:hint="eastAsia"/>
                      <w:color w:val="auto"/>
                      <w:sz w:val="21"/>
                      <w:szCs w:val="21"/>
                    </w:rPr>
                    <w:t>污水处理厂</w:t>
                  </w:r>
                  <w:r>
                    <w:rPr>
                      <w:rFonts w:hint="eastAsia" w:cs="Times New Roman"/>
                      <w:color w:val="auto"/>
                      <w:sz w:val="21"/>
                      <w:szCs w:val="21"/>
                      <w:highlight w:val="none"/>
                      <w:shd w:val="clear" w:color="auto" w:fill="auto"/>
                      <w:vertAlign w:val="baseline"/>
                      <w:lang w:val="en-US" w:eastAsia="zh-CN"/>
                    </w:rPr>
                    <w:t>进行处理。</w:t>
                  </w:r>
                </w:p>
              </w:tc>
              <w:tc>
                <w:tcPr>
                  <w:tcW w:w="804" w:type="dxa"/>
                  <w:noWrap w:val="0"/>
                  <w:vAlign w:val="center"/>
                </w:tcPr>
                <w:p w14:paraId="19F929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新建</w:t>
                  </w:r>
                </w:p>
              </w:tc>
            </w:tr>
            <w:tr w14:paraId="7DF8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675A2D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c>
                <w:tcPr>
                  <w:tcW w:w="1556" w:type="dxa"/>
                  <w:noWrap w:val="0"/>
                  <w:vAlign w:val="center"/>
                </w:tcPr>
                <w:p w14:paraId="0B64B0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噪声治理</w:t>
                  </w:r>
                </w:p>
              </w:tc>
              <w:tc>
                <w:tcPr>
                  <w:tcW w:w="5298" w:type="dxa"/>
                  <w:noWrap w:val="0"/>
                  <w:vAlign w:val="center"/>
                </w:tcPr>
                <w:p w14:paraId="4A70D4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eastAsia="宋体" w:cs="Times New Roman"/>
                      <w:color w:val="auto"/>
                      <w:sz w:val="21"/>
                      <w:szCs w:val="21"/>
                      <w:highlight w:val="none"/>
                      <w:shd w:val="clear" w:color="auto" w:fill="auto"/>
                      <w:vertAlign w:val="baseline"/>
                      <w:lang w:val="en-US" w:eastAsia="zh-CN"/>
                    </w:rPr>
                    <w:t>隔声、消声、减振、设备定期保养等</w:t>
                  </w:r>
                  <w:r>
                    <w:rPr>
                      <w:rFonts w:hint="eastAsia" w:cs="Times New Roman"/>
                      <w:color w:val="auto"/>
                      <w:sz w:val="21"/>
                      <w:szCs w:val="21"/>
                      <w:highlight w:val="none"/>
                      <w:shd w:val="clear" w:color="auto" w:fill="auto"/>
                      <w:vertAlign w:val="baseline"/>
                      <w:lang w:val="en-US" w:eastAsia="zh-CN"/>
                    </w:rPr>
                    <w:t>。</w:t>
                  </w:r>
                </w:p>
              </w:tc>
              <w:tc>
                <w:tcPr>
                  <w:tcW w:w="804" w:type="dxa"/>
                  <w:noWrap w:val="0"/>
                  <w:vAlign w:val="center"/>
                </w:tcPr>
                <w:p w14:paraId="498409E3">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lang w:val="en-US" w:eastAsia="zh-CN"/>
                    </w:rPr>
                    <w:t>新建</w:t>
                  </w:r>
                </w:p>
              </w:tc>
            </w:tr>
            <w:tr w14:paraId="0BF8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1DE77E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c>
                <w:tcPr>
                  <w:tcW w:w="1556" w:type="dxa"/>
                  <w:vMerge w:val="restart"/>
                  <w:noWrap w:val="0"/>
                  <w:vAlign w:val="center"/>
                </w:tcPr>
                <w:p w14:paraId="7C6B46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固废治理</w:t>
                  </w:r>
                </w:p>
              </w:tc>
              <w:tc>
                <w:tcPr>
                  <w:tcW w:w="5298" w:type="dxa"/>
                  <w:noWrap w:val="0"/>
                  <w:vAlign w:val="center"/>
                </w:tcPr>
                <w:p w14:paraId="27F7AC0B">
                  <w:pPr>
                    <w:spacing w:line="240" w:lineRule="auto"/>
                    <w:jc w:val="center"/>
                    <w:rPr>
                      <w:rFonts w:hint="default" w:ascii="Times New Roman" w:hAnsi="Times New Roman" w:eastAsia="宋体" w:cs="Times New Roman"/>
                      <w:color w:val="auto"/>
                      <w:kern w:val="2"/>
                      <w:sz w:val="21"/>
                      <w:szCs w:val="21"/>
                      <w:highlight w:val="none"/>
                      <w:shd w:val="clear" w:color="auto" w:fill="auto"/>
                      <w:vertAlign w:val="baseline"/>
                      <w:lang w:val="en-US" w:eastAsia="zh-CN" w:bidi="ar-SA"/>
                    </w:rPr>
                  </w:pPr>
                  <w:r>
                    <w:rPr>
                      <w:rFonts w:hint="default" w:ascii="Times New Roman" w:hAnsi="Times New Roman" w:eastAsia="宋体" w:cs="Times New Roman"/>
                      <w:color w:val="auto"/>
                      <w:sz w:val="21"/>
                      <w:szCs w:val="21"/>
                    </w:rPr>
                    <w:t>一般工业固体废物：一般工业固体废物暂存</w:t>
                  </w:r>
                  <w:r>
                    <w:rPr>
                      <w:rFonts w:hint="eastAsia" w:ascii="Times New Roman" w:hAnsi="Times New Roman" w:cs="Times New Roman"/>
                      <w:color w:val="auto"/>
                      <w:sz w:val="21"/>
                      <w:szCs w:val="21"/>
                      <w:lang w:val="en-US" w:eastAsia="zh-CN"/>
                    </w:rPr>
                    <w:t>区</w:t>
                  </w:r>
                  <w:r>
                    <w:rPr>
                      <w:rFonts w:hint="default" w:ascii="Times New Roman" w:hAnsi="Times New Roman" w:eastAsia="宋体" w:cs="Times New Roman"/>
                      <w:color w:val="auto"/>
                      <w:sz w:val="21"/>
                      <w:szCs w:val="21"/>
                      <w:lang w:eastAsia="zh-CN"/>
                    </w:rPr>
                    <w:t>，</w:t>
                  </w:r>
                  <w:r>
                    <w:rPr>
                      <w:rFonts w:hint="eastAsia" w:cs="Times New Roman"/>
                      <w:color w:val="auto"/>
                      <w:sz w:val="21"/>
                      <w:szCs w:val="21"/>
                      <w:lang w:val="en-US" w:eastAsia="zh-CN"/>
                    </w:rPr>
                    <w:t>面积60m</w:t>
                  </w:r>
                  <w:r>
                    <w:rPr>
                      <w:rFonts w:hint="eastAsia" w:cs="Times New Roman"/>
                      <w:color w:val="auto"/>
                      <w:sz w:val="21"/>
                      <w:szCs w:val="21"/>
                      <w:vertAlign w:val="superscript"/>
                      <w:lang w:val="en-US" w:eastAsia="zh-CN"/>
                    </w:rPr>
                    <w:t>2</w:t>
                  </w:r>
                  <w:r>
                    <w:rPr>
                      <w:rFonts w:hint="eastAsia" w:cs="Times New Roman"/>
                      <w:color w:val="auto"/>
                      <w:sz w:val="21"/>
                      <w:szCs w:val="21"/>
                      <w:vertAlign w:val="baseline"/>
                      <w:lang w:val="en-US" w:eastAsia="zh-CN"/>
                    </w:rPr>
                    <w:t>，</w:t>
                  </w:r>
                  <w:r>
                    <w:rPr>
                      <w:rFonts w:hint="default" w:ascii="Times New Roman" w:hAnsi="Times New Roman" w:eastAsia="宋体" w:cs="Times New Roman"/>
                      <w:color w:val="auto"/>
                      <w:sz w:val="21"/>
                      <w:szCs w:val="21"/>
                      <w:lang w:eastAsia="zh-CN"/>
                    </w:rPr>
                    <w:t>位于</w:t>
                  </w:r>
                  <w:r>
                    <w:rPr>
                      <w:rFonts w:hint="eastAsia" w:cs="Times New Roman"/>
                      <w:color w:val="auto"/>
                      <w:sz w:val="21"/>
                      <w:szCs w:val="21"/>
                      <w:lang w:val="en-US" w:eastAsia="zh-CN"/>
                    </w:rPr>
                    <w:t>厂区南</w:t>
                  </w:r>
                  <w:r>
                    <w:rPr>
                      <w:rFonts w:hint="default" w:ascii="Times New Roman" w:hAnsi="Times New Roman" w:eastAsia="宋体" w:cs="Times New Roman"/>
                      <w:color w:val="auto"/>
                      <w:sz w:val="21"/>
                      <w:szCs w:val="21"/>
                      <w:lang w:eastAsia="zh-CN"/>
                    </w:rPr>
                    <w:t>侧</w:t>
                  </w:r>
                  <w:r>
                    <w:rPr>
                      <w:rFonts w:hint="eastAsia" w:cs="Times New Roman"/>
                      <w:color w:val="auto"/>
                      <w:sz w:val="21"/>
                      <w:szCs w:val="21"/>
                      <w:lang w:eastAsia="zh-CN"/>
                    </w:rPr>
                    <w:t>。</w:t>
                  </w:r>
                </w:p>
              </w:tc>
              <w:tc>
                <w:tcPr>
                  <w:tcW w:w="804" w:type="dxa"/>
                  <w:noWrap w:val="0"/>
                  <w:vAlign w:val="center"/>
                </w:tcPr>
                <w:p w14:paraId="7F420D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新建</w:t>
                  </w:r>
                </w:p>
              </w:tc>
            </w:tr>
            <w:tr w14:paraId="4349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057686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c>
                <w:tcPr>
                  <w:tcW w:w="1556" w:type="dxa"/>
                  <w:vMerge w:val="continue"/>
                  <w:noWrap w:val="0"/>
                  <w:vAlign w:val="center"/>
                </w:tcPr>
                <w:p w14:paraId="001AA2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p>
              </w:tc>
              <w:tc>
                <w:tcPr>
                  <w:tcW w:w="5298" w:type="dxa"/>
                  <w:noWrap w:val="0"/>
                  <w:vAlign w:val="center"/>
                </w:tcPr>
                <w:p w14:paraId="4B3AF6E5">
                  <w:pPr>
                    <w:spacing w:line="240" w:lineRule="auto"/>
                    <w:jc w:val="center"/>
                    <w:rPr>
                      <w:rFonts w:hint="default" w:ascii="Times New Roman" w:hAnsi="Times New Roman" w:eastAsia="宋体" w:cs="Times New Roman"/>
                      <w:b/>
                      <w:bCs/>
                      <w:color w:val="auto"/>
                      <w:sz w:val="21"/>
                      <w:szCs w:val="21"/>
                    </w:rPr>
                  </w:pPr>
                  <w:r>
                    <w:rPr>
                      <w:rFonts w:hint="eastAsia" w:cs="Times New Roman"/>
                      <w:color w:val="auto"/>
                      <w:sz w:val="21"/>
                      <w:szCs w:val="21"/>
                      <w:lang w:val="en-US" w:eastAsia="zh-CN"/>
                    </w:rPr>
                    <w:t>危险废物：危险废物暂存间，面积50m</w:t>
                  </w:r>
                  <w:r>
                    <w:rPr>
                      <w:rFonts w:hint="eastAsia" w:cs="Times New Roman"/>
                      <w:color w:val="auto"/>
                      <w:sz w:val="21"/>
                      <w:szCs w:val="21"/>
                      <w:vertAlign w:val="superscript"/>
                      <w:lang w:val="en-US" w:eastAsia="zh-CN"/>
                    </w:rPr>
                    <w:t>2</w:t>
                  </w:r>
                  <w:r>
                    <w:rPr>
                      <w:rFonts w:hint="eastAsia" w:cs="Times New Roman"/>
                      <w:color w:val="auto"/>
                      <w:sz w:val="21"/>
                      <w:szCs w:val="21"/>
                      <w:vertAlign w:val="baseline"/>
                      <w:lang w:val="en-US" w:eastAsia="zh-CN"/>
                    </w:rPr>
                    <w:t>，</w:t>
                  </w:r>
                  <w:r>
                    <w:rPr>
                      <w:rFonts w:hint="default" w:ascii="Times New Roman" w:hAnsi="Times New Roman" w:eastAsia="宋体" w:cs="Times New Roman"/>
                      <w:color w:val="auto"/>
                      <w:sz w:val="21"/>
                      <w:szCs w:val="21"/>
                      <w:lang w:eastAsia="zh-CN"/>
                    </w:rPr>
                    <w:t>位于</w:t>
                  </w:r>
                  <w:r>
                    <w:rPr>
                      <w:rFonts w:hint="eastAsia" w:cs="Times New Roman"/>
                      <w:color w:val="auto"/>
                      <w:sz w:val="21"/>
                      <w:szCs w:val="21"/>
                      <w:lang w:val="en-US" w:eastAsia="zh-CN"/>
                    </w:rPr>
                    <w:t>厂区北</w:t>
                  </w:r>
                  <w:r>
                    <w:rPr>
                      <w:rFonts w:hint="default" w:ascii="Times New Roman" w:hAnsi="Times New Roman" w:eastAsia="宋体" w:cs="Times New Roman"/>
                      <w:color w:val="auto"/>
                      <w:sz w:val="21"/>
                      <w:szCs w:val="21"/>
                      <w:lang w:eastAsia="zh-CN"/>
                    </w:rPr>
                    <w:t>侧</w:t>
                  </w:r>
                  <w:r>
                    <w:rPr>
                      <w:rFonts w:hint="eastAsia" w:cs="Times New Roman"/>
                      <w:color w:val="auto"/>
                      <w:sz w:val="21"/>
                      <w:szCs w:val="21"/>
                      <w:lang w:eastAsia="zh-CN"/>
                    </w:rPr>
                    <w:t>，</w:t>
                  </w:r>
                  <w:r>
                    <w:rPr>
                      <w:rFonts w:hint="eastAsia" w:cs="Times New Roman"/>
                      <w:color w:val="auto"/>
                      <w:sz w:val="21"/>
                      <w:szCs w:val="21"/>
                      <w:lang w:val="en-US" w:eastAsia="zh-CN"/>
                    </w:rPr>
                    <w:t>并进行</w:t>
                  </w:r>
                  <w:r>
                    <w:rPr>
                      <w:rFonts w:hint="eastAsia"/>
                      <w:color w:val="auto"/>
                      <w:lang w:val="en-US" w:eastAsia="zh-CN"/>
                    </w:rPr>
                    <w:t>分区隔离。</w:t>
                  </w:r>
                </w:p>
              </w:tc>
              <w:tc>
                <w:tcPr>
                  <w:tcW w:w="804" w:type="dxa"/>
                  <w:noWrap w:val="0"/>
                  <w:vAlign w:val="center"/>
                </w:tcPr>
                <w:p w14:paraId="228223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s="Times New Roman"/>
                      <w:color w:val="auto"/>
                      <w:lang w:val="en-US" w:eastAsia="zh-CN"/>
                    </w:rPr>
                  </w:pPr>
                  <w:r>
                    <w:rPr>
                      <w:rFonts w:hint="eastAsia" w:cs="Times New Roman"/>
                      <w:color w:val="auto"/>
                      <w:lang w:val="en-US" w:eastAsia="zh-CN"/>
                    </w:rPr>
                    <w:t>新建</w:t>
                  </w:r>
                </w:p>
              </w:tc>
            </w:tr>
            <w:tr w14:paraId="226D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24E058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c>
                <w:tcPr>
                  <w:tcW w:w="1556" w:type="dxa"/>
                  <w:vMerge w:val="continue"/>
                  <w:noWrap w:val="0"/>
                  <w:vAlign w:val="center"/>
                </w:tcPr>
                <w:p w14:paraId="5D1611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lang w:val="en-US" w:eastAsia="zh-CN"/>
                    </w:rPr>
                  </w:pPr>
                </w:p>
              </w:tc>
              <w:tc>
                <w:tcPr>
                  <w:tcW w:w="5298" w:type="dxa"/>
                  <w:noWrap w:val="0"/>
                  <w:vAlign w:val="center"/>
                </w:tcPr>
                <w:p w14:paraId="09B6F031">
                  <w:pPr>
                    <w:spacing w:line="240" w:lineRule="auto"/>
                    <w:jc w:val="center"/>
                    <w:rPr>
                      <w:rFonts w:hint="default" w:ascii="Times New Roman" w:hAnsi="Times New Roman" w:eastAsia="宋体" w:cs="Times New Roman"/>
                      <w:color w:val="auto"/>
                      <w:kern w:val="2"/>
                      <w:sz w:val="21"/>
                      <w:szCs w:val="21"/>
                      <w:highlight w:val="none"/>
                      <w:shd w:val="clear" w:color="auto" w:fill="auto"/>
                      <w:vertAlign w:val="baseline"/>
                      <w:lang w:val="en-US" w:eastAsia="zh-CN" w:bidi="ar-SA"/>
                    </w:rPr>
                  </w:pPr>
                  <w:r>
                    <w:rPr>
                      <w:rFonts w:hint="default" w:ascii="Times New Roman" w:hAnsi="Times New Roman" w:cs="Times New Roman"/>
                      <w:color w:val="auto"/>
                      <w:sz w:val="21"/>
                      <w:szCs w:val="21"/>
                      <w:highlight w:val="none"/>
                      <w:shd w:val="clear" w:color="auto" w:fill="auto"/>
                      <w:vertAlign w:val="baseline"/>
                      <w:lang w:val="en-US" w:eastAsia="zh-CN"/>
                    </w:rPr>
                    <w:t>生活垃圾：垃圾桶等</w:t>
                  </w:r>
                  <w:r>
                    <w:rPr>
                      <w:rFonts w:hint="eastAsia" w:cs="Times New Roman"/>
                      <w:color w:val="auto"/>
                      <w:sz w:val="21"/>
                      <w:szCs w:val="21"/>
                      <w:highlight w:val="none"/>
                      <w:shd w:val="clear" w:color="auto" w:fill="auto"/>
                      <w:vertAlign w:val="baseline"/>
                      <w:lang w:val="en-US" w:eastAsia="zh-CN"/>
                    </w:rPr>
                    <w:t>。</w:t>
                  </w:r>
                </w:p>
              </w:tc>
              <w:tc>
                <w:tcPr>
                  <w:tcW w:w="804" w:type="dxa"/>
                  <w:noWrap w:val="0"/>
                  <w:vAlign w:val="center"/>
                </w:tcPr>
                <w:p w14:paraId="403050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新建</w:t>
                  </w:r>
                </w:p>
              </w:tc>
            </w:tr>
            <w:tr w14:paraId="60714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03E705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c>
                <w:tcPr>
                  <w:tcW w:w="1556" w:type="dxa"/>
                  <w:noWrap w:val="0"/>
                  <w:vAlign w:val="center"/>
                </w:tcPr>
                <w:p w14:paraId="6401BEB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color w:val="auto"/>
                      <w:sz w:val="21"/>
                      <w:szCs w:val="21"/>
                      <w:vertAlign w:val="baseline"/>
                      <w:lang w:val="en-US" w:eastAsia="zh-CN"/>
                    </w:rPr>
                    <w:t>地下水、土壤</w:t>
                  </w:r>
                </w:p>
              </w:tc>
              <w:tc>
                <w:tcPr>
                  <w:tcW w:w="5298" w:type="dxa"/>
                  <w:noWrap w:val="0"/>
                  <w:vAlign w:val="center"/>
                </w:tcPr>
                <w:p w14:paraId="2FAE3D1D">
                  <w:pPr>
                    <w:pStyle w:val="42"/>
                    <w:keepNext w:val="0"/>
                    <w:keepLines w:val="0"/>
                    <w:pageBreakBefore w:val="0"/>
                    <w:widowControl w:val="0"/>
                    <w:kinsoku/>
                    <w:wordWrap/>
                    <w:overflowPunct/>
                    <w:topLinePunct w:val="0"/>
                    <w:bidi w:val="0"/>
                    <w:adjustRightInd w:val="0"/>
                    <w:spacing w:before="63" w:beforeLines="20" w:line="240" w:lineRule="exact"/>
                    <w:jc w:val="center"/>
                    <w:textAlignment w:val="auto"/>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kern w:val="2"/>
                      <w:sz w:val="21"/>
                      <w:szCs w:val="21"/>
                      <w:vertAlign w:val="baseline"/>
                      <w:lang w:val="en-US" w:eastAsia="zh-CN" w:bidi="ar-SA"/>
                    </w:rPr>
                    <w:t>危废暂存间为重点防渗区域</w:t>
                  </w:r>
                  <w:r>
                    <w:rPr>
                      <w:rFonts w:hint="eastAsia" w:cs="Times New Roman"/>
                      <w:color w:val="auto"/>
                      <w:kern w:val="2"/>
                      <w:sz w:val="21"/>
                      <w:szCs w:val="21"/>
                      <w:vertAlign w:val="baseline"/>
                      <w:lang w:val="en-US" w:eastAsia="zh-CN" w:bidi="ar-SA"/>
                    </w:rPr>
                    <w:t>，</w:t>
                  </w:r>
                  <w:r>
                    <w:rPr>
                      <w:rFonts w:hint="default" w:ascii="Times New Roman" w:hAnsi="Times New Roman" w:eastAsia="宋体" w:cs="Times New Roman"/>
                      <w:color w:val="auto"/>
                      <w:kern w:val="2"/>
                      <w:sz w:val="21"/>
                      <w:szCs w:val="21"/>
                      <w:vertAlign w:val="baseline"/>
                      <w:lang w:val="en-US" w:eastAsia="zh-CN" w:bidi="ar-SA"/>
                    </w:rPr>
                    <w:t>采用环氧树脂漆（1.5mm）进行重点防渗，渗透系数≤1×10</w:t>
                  </w:r>
                  <w:r>
                    <w:rPr>
                      <w:rFonts w:hint="eastAsia" w:cs="Times New Roman"/>
                      <w:color w:val="auto"/>
                      <w:kern w:val="2"/>
                      <w:sz w:val="21"/>
                      <w:szCs w:val="21"/>
                      <w:vertAlign w:val="superscript"/>
                      <w:lang w:val="en-US" w:eastAsia="zh-CN" w:bidi="ar-SA"/>
                    </w:rPr>
                    <w:t>-</w:t>
                  </w:r>
                  <w:r>
                    <w:rPr>
                      <w:rFonts w:hint="default" w:ascii="Times New Roman" w:hAnsi="Times New Roman" w:eastAsia="宋体" w:cs="Times New Roman"/>
                      <w:color w:val="auto"/>
                      <w:kern w:val="2"/>
                      <w:sz w:val="21"/>
                      <w:szCs w:val="21"/>
                      <w:vertAlign w:val="superscript"/>
                      <w:lang w:val="en-US" w:eastAsia="zh-CN" w:bidi="ar-SA"/>
                    </w:rPr>
                    <w:t>10</w:t>
                  </w:r>
                  <w:r>
                    <w:rPr>
                      <w:rFonts w:hint="default" w:ascii="Times New Roman" w:hAnsi="Times New Roman" w:eastAsia="宋体" w:cs="Times New Roman"/>
                      <w:color w:val="auto"/>
                      <w:kern w:val="2"/>
                      <w:sz w:val="21"/>
                      <w:szCs w:val="21"/>
                      <w:vertAlign w:val="baseline"/>
                      <w:lang w:val="en-US" w:eastAsia="zh-CN" w:bidi="ar-SA"/>
                    </w:rPr>
                    <w:t>cm/s；一般防渗区采取粘土铺底+10～15cm的防渗水泥进行硬化，防渗层渗透系数达到1.0×10</w:t>
                  </w:r>
                  <w:r>
                    <w:rPr>
                      <w:rFonts w:hint="eastAsia" w:cs="Times New Roman"/>
                      <w:color w:val="auto"/>
                      <w:kern w:val="2"/>
                      <w:sz w:val="21"/>
                      <w:szCs w:val="21"/>
                      <w:vertAlign w:val="superscript"/>
                      <w:lang w:val="en-US" w:eastAsia="zh-CN" w:bidi="ar-SA"/>
                    </w:rPr>
                    <w:t>-</w:t>
                  </w:r>
                  <w:r>
                    <w:rPr>
                      <w:rFonts w:hint="default" w:ascii="Times New Roman" w:hAnsi="Times New Roman" w:eastAsia="宋体" w:cs="Times New Roman"/>
                      <w:color w:val="auto"/>
                      <w:kern w:val="2"/>
                      <w:sz w:val="21"/>
                      <w:szCs w:val="21"/>
                      <w:vertAlign w:val="superscript"/>
                      <w:lang w:val="en-US" w:eastAsia="zh-CN" w:bidi="ar-SA"/>
                    </w:rPr>
                    <w:t>7</w:t>
                  </w:r>
                  <w:r>
                    <w:rPr>
                      <w:rFonts w:hint="default" w:ascii="Times New Roman" w:hAnsi="Times New Roman" w:eastAsia="宋体" w:cs="Times New Roman"/>
                      <w:color w:val="auto"/>
                      <w:kern w:val="2"/>
                      <w:sz w:val="21"/>
                      <w:szCs w:val="21"/>
                      <w:vertAlign w:val="baseline"/>
                      <w:lang w:val="en-US" w:eastAsia="zh-CN" w:bidi="ar-SA"/>
                    </w:rPr>
                    <w:t>cm/s。</w:t>
                  </w:r>
                </w:p>
              </w:tc>
              <w:tc>
                <w:tcPr>
                  <w:tcW w:w="804" w:type="dxa"/>
                  <w:noWrap w:val="0"/>
                  <w:vAlign w:val="center"/>
                </w:tcPr>
                <w:p w14:paraId="01CB04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新建</w:t>
                  </w:r>
                </w:p>
              </w:tc>
            </w:tr>
            <w:tr w14:paraId="671C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14:paraId="17B91E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FF0000"/>
                      <w:lang w:val="en-US" w:eastAsia="zh-CN"/>
                    </w:rPr>
                  </w:pPr>
                </w:p>
              </w:tc>
              <w:tc>
                <w:tcPr>
                  <w:tcW w:w="1556" w:type="dxa"/>
                  <w:noWrap w:val="0"/>
                  <w:vAlign w:val="center"/>
                </w:tcPr>
                <w:p w14:paraId="529BFEF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kern w:val="2"/>
                      <w:sz w:val="21"/>
                      <w:szCs w:val="21"/>
                      <w:vertAlign w:val="baseline"/>
                      <w:lang w:val="en-US" w:eastAsia="zh-CN" w:bidi="ar-SA"/>
                    </w:rPr>
                  </w:pPr>
                  <w:r>
                    <w:rPr>
                      <w:rFonts w:hint="eastAsia" w:cs="Times New Roman"/>
                      <w:color w:val="auto"/>
                      <w:kern w:val="2"/>
                      <w:sz w:val="21"/>
                      <w:szCs w:val="21"/>
                      <w:vertAlign w:val="baseline"/>
                      <w:lang w:val="en-US" w:eastAsia="zh-CN" w:bidi="ar-SA"/>
                    </w:rPr>
                    <w:t>环境</w:t>
                  </w:r>
                  <w:r>
                    <w:rPr>
                      <w:rFonts w:hint="default" w:ascii="Times New Roman" w:hAnsi="Times New Roman" w:eastAsia="宋体" w:cs="Times New Roman"/>
                      <w:color w:val="auto"/>
                      <w:kern w:val="2"/>
                      <w:sz w:val="21"/>
                      <w:szCs w:val="21"/>
                      <w:vertAlign w:val="baseline"/>
                      <w:lang w:val="en-US" w:eastAsia="zh-CN" w:bidi="ar-SA"/>
                    </w:rPr>
                    <w:t>风险</w:t>
                  </w:r>
                </w:p>
              </w:tc>
              <w:tc>
                <w:tcPr>
                  <w:tcW w:w="5298" w:type="dxa"/>
                  <w:noWrap w:val="0"/>
                  <w:vAlign w:val="center"/>
                </w:tcPr>
                <w:p w14:paraId="5E94BDAD">
                  <w:pPr>
                    <w:pStyle w:val="42"/>
                    <w:keepNext w:val="0"/>
                    <w:keepLines w:val="0"/>
                    <w:pageBreakBefore w:val="0"/>
                    <w:widowControl w:val="0"/>
                    <w:kinsoku/>
                    <w:wordWrap/>
                    <w:overflowPunct/>
                    <w:topLinePunct w:val="0"/>
                    <w:bidi w:val="0"/>
                    <w:adjustRightInd w:val="0"/>
                    <w:spacing w:line="240" w:lineRule="auto"/>
                    <w:ind w:firstLine="0" w:firstLineChars="0"/>
                    <w:jc w:val="center"/>
                    <w:textAlignment w:val="auto"/>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 w:val="21"/>
                      <w:szCs w:val="21"/>
                      <w:lang w:eastAsia="zh-CN"/>
                    </w:rPr>
                    <w:t>设置室外消火栓、灭火器、制定风险应急预案等</w:t>
                  </w:r>
                  <w:r>
                    <w:rPr>
                      <w:rFonts w:hint="eastAsia" w:cs="Times New Roman"/>
                      <w:color w:val="auto"/>
                      <w:sz w:val="21"/>
                      <w:szCs w:val="21"/>
                      <w:lang w:eastAsia="zh-CN"/>
                    </w:rPr>
                    <w:t>。</w:t>
                  </w:r>
                </w:p>
              </w:tc>
              <w:tc>
                <w:tcPr>
                  <w:tcW w:w="804" w:type="dxa"/>
                  <w:noWrap w:val="0"/>
                  <w:vAlign w:val="center"/>
                </w:tcPr>
                <w:p w14:paraId="0043D7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新建</w:t>
                  </w:r>
                </w:p>
              </w:tc>
            </w:tr>
          </w:tbl>
          <w:p w14:paraId="0ADA08BA">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default" w:ascii="Times New Roman" w:hAnsi="Times New Roman" w:eastAsia="宋体" w:cs="Times New Roman"/>
                <w:b/>
                <w:bCs/>
                <w:color w:val="0000FF"/>
                <w:sz w:val="24"/>
                <w:szCs w:val="24"/>
                <w:lang w:val="en-US" w:eastAsia="zh-CN"/>
              </w:rPr>
            </w:pPr>
            <w:r>
              <w:rPr>
                <w:rFonts w:hint="eastAsia" w:cs="Times New Roman"/>
                <w:b/>
                <w:bCs/>
                <w:color w:val="auto"/>
                <w:sz w:val="24"/>
                <w:szCs w:val="24"/>
                <w:lang w:val="en-US" w:eastAsia="zh-CN"/>
              </w:rPr>
              <w:t>2.</w:t>
            </w:r>
            <w:r>
              <w:rPr>
                <w:rFonts w:hint="default" w:ascii="Times New Roman" w:hAnsi="Times New Roman" w:eastAsia="宋体" w:cs="Times New Roman"/>
                <w:b/>
                <w:bCs/>
                <w:color w:val="auto"/>
                <w:sz w:val="24"/>
                <w:szCs w:val="24"/>
              </w:rPr>
              <w:t>项目</w:t>
            </w:r>
            <w:r>
              <w:rPr>
                <w:rFonts w:hint="eastAsia" w:cs="Times New Roman"/>
                <w:b/>
                <w:bCs/>
                <w:color w:val="auto"/>
                <w:sz w:val="24"/>
                <w:szCs w:val="24"/>
                <w:lang w:val="en-US" w:eastAsia="zh-CN"/>
              </w:rPr>
              <w:t>拆解规模</w:t>
            </w:r>
            <w:r>
              <w:rPr>
                <w:rFonts w:hint="default" w:ascii="Times New Roman" w:hAnsi="Times New Roman" w:eastAsia="宋体" w:cs="Times New Roman"/>
                <w:b/>
                <w:bCs/>
                <w:color w:val="auto"/>
                <w:sz w:val="24"/>
                <w:szCs w:val="24"/>
                <w:lang w:eastAsia="zh-CN"/>
              </w:rPr>
              <w:t>及</w:t>
            </w:r>
            <w:r>
              <w:rPr>
                <w:rFonts w:hint="eastAsia" w:cs="Times New Roman"/>
                <w:b/>
                <w:bCs/>
                <w:color w:val="auto"/>
                <w:sz w:val="24"/>
                <w:szCs w:val="24"/>
                <w:lang w:val="en-US" w:eastAsia="zh-CN"/>
              </w:rPr>
              <w:t>产品方案</w:t>
            </w:r>
          </w:p>
          <w:p w14:paraId="25D4782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w:t>
            </w:r>
            <w:r>
              <w:rPr>
                <w:rFonts w:hint="eastAsia" w:cs="Times New Roman"/>
                <w:b/>
                <w:bCs/>
                <w:sz w:val="24"/>
                <w:szCs w:val="24"/>
                <w:lang w:val="en-US" w:eastAsia="zh-CN"/>
              </w:rPr>
              <w:t>4</w:t>
            </w:r>
            <w:r>
              <w:rPr>
                <w:rFonts w:hint="default" w:ascii="Times New Roman" w:hAnsi="Times New Roman" w:eastAsia="宋体" w:cs="Times New Roman"/>
                <w:b/>
                <w:bCs/>
                <w:sz w:val="24"/>
                <w:szCs w:val="24"/>
              </w:rPr>
              <w:t xml:space="preserve">  项目</w:t>
            </w:r>
            <w:r>
              <w:rPr>
                <w:rFonts w:hint="default" w:ascii="Times New Roman" w:hAnsi="Times New Roman" w:eastAsia="宋体" w:cs="Times New Roman"/>
                <w:b/>
                <w:bCs/>
                <w:sz w:val="24"/>
                <w:szCs w:val="24"/>
                <w:lang w:eastAsia="zh-CN"/>
              </w:rPr>
              <w:t>主要</w:t>
            </w:r>
            <w:r>
              <w:rPr>
                <w:rFonts w:hint="default" w:ascii="Times New Roman" w:hAnsi="Times New Roman" w:eastAsia="宋体" w:cs="Times New Roman"/>
                <w:b/>
                <w:bCs/>
                <w:sz w:val="24"/>
                <w:szCs w:val="24"/>
              </w:rPr>
              <w:t>产品</w:t>
            </w:r>
            <w:r>
              <w:rPr>
                <w:rFonts w:hint="default" w:ascii="Times New Roman" w:hAnsi="Times New Roman" w:eastAsia="宋体" w:cs="Times New Roman"/>
                <w:b/>
                <w:bCs/>
                <w:sz w:val="24"/>
                <w:szCs w:val="24"/>
                <w:lang w:eastAsia="zh-CN"/>
              </w:rPr>
              <w:t>及产能</w:t>
            </w:r>
            <w:r>
              <w:rPr>
                <w:rFonts w:hint="default" w:ascii="Times New Roman" w:hAnsi="Times New Roman" w:eastAsia="宋体" w:cs="Times New Roman"/>
                <w:b/>
                <w:bCs/>
                <w:sz w:val="24"/>
                <w:szCs w:val="24"/>
              </w:rPr>
              <w:t>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198"/>
              <w:gridCol w:w="1957"/>
              <w:gridCol w:w="1667"/>
              <w:gridCol w:w="1447"/>
              <w:gridCol w:w="1455"/>
            </w:tblGrid>
            <w:tr w14:paraId="3264F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0" w:type="pct"/>
                  <w:vAlign w:val="center"/>
                </w:tcPr>
                <w:p w14:paraId="31A7C208">
                  <w:pPr>
                    <w:autoSpaceDE w:val="0"/>
                    <w:autoSpaceDN w:val="0"/>
                    <w:adjustRightInd w:val="0"/>
                    <w:snapToGrid w:val="0"/>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序号</w:t>
                  </w:r>
                </w:p>
              </w:tc>
              <w:tc>
                <w:tcPr>
                  <w:tcW w:w="709" w:type="pct"/>
                  <w:vAlign w:val="center"/>
                </w:tcPr>
                <w:p w14:paraId="5F372336">
                  <w:pPr>
                    <w:autoSpaceDE w:val="0"/>
                    <w:autoSpaceDN w:val="0"/>
                    <w:adjustRightInd w:val="0"/>
                    <w:snapToGrid w:val="0"/>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产品名称</w:t>
                  </w:r>
                </w:p>
              </w:tc>
              <w:tc>
                <w:tcPr>
                  <w:tcW w:w="1158" w:type="pct"/>
                  <w:vAlign w:val="center"/>
                </w:tcPr>
                <w:p w14:paraId="3EA54463">
                  <w:pPr>
                    <w:autoSpaceDE w:val="0"/>
                    <w:autoSpaceDN w:val="0"/>
                    <w:adjustRightInd w:val="0"/>
                    <w:snapToGrid w:val="0"/>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产能</w:t>
                  </w:r>
                  <w:r>
                    <w:rPr>
                      <w:rFonts w:hint="eastAsia" w:ascii="Times New Roman" w:hAnsi="Times New Roman" w:eastAsia="宋体" w:cs="Times New Roman"/>
                      <w:color w:val="000000"/>
                      <w:kern w:val="0"/>
                      <w:szCs w:val="21"/>
                    </w:rPr>
                    <w:t>（t/a）</w:t>
                  </w:r>
                </w:p>
              </w:tc>
              <w:tc>
                <w:tcPr>
                  <w:tcW w:w="986" w:type="pct"/>
                  <w:vAlign w:val="center"/>
                </w:tcPr>
                <w:p w14:paraId="1221AD7C">
                  <w:pPr>
                    <w:autoSpaceDE w:val="0"/>
                    <w:autoSpaceDN w:val="0"/>
                    <w:adjustRightInd w:val="0"/>
                    <w:snapToGrid w:val="0"/>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规格（尺寸）</w:t>
                  </w:r>
                </w:p>
              </w:tc>
              <w:tc>
                <w:tcPr>
                  <w:tcW w:w="856" w:type="pct"/>
                  <w:vAlign w:val="center"/>
                </w:tcPr>
                <w:p w14:paraId="0B576904">
                  <w:pPr>
                    <w:autoSpaceDE w:val="0"/>
                    <w:autoSpaceDN w:val="0"/>
                    <w:adjustRightInd w:val="0"/>
                    <w:snapToGrid w:val="0"/>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备注</w:t>
                  </w:r>
                </w:p>
              </w:tc>
              <w:tc>
                <w:tcPr>
                  <w:tcW w:w="859" w:type="pct"/>
                  <w:vAlign w:val="center"/>
                </w:tcPr>
                <w:p w14:paraId="4B779BF9">
                  <w:pPr>
                    <w:autoSpaceDE w:val="0"/>
                    <w:autoSpaceDN w:val="0"/>
                    <w:adjustRightInd w:val="0"/>
                    <w:snapToGrid w:val="0"/>
                    <w:jc w:val="center"/>
                    <w:rPr>
                      <w:rFonts w:hint="eastAsia" w:ascii="Times New Roman" w:hAnsi="Times New Roman" w:eastAsia="宋体" w:cs="Times New Roman"/>
                      <w:color w:val="000000"/>
                      <w:kern w:val="0"/>
                      <w:szCs w:val="21"/>
                      <w:lang w:val="en-US" w:eastAsia="zh-CN"/>
                    </w:rPr>
                  </w:pPr>
                  <w:r>
                    <w:rPr>
                      <w:rFonts w:hint="eastAsia" w:cs="Times New Roman"/>
                      <w:color w:val="000000"/>
                      <w:kern w:val="0"/>
                      <w:szCs w:val="21"/>
                      <w:lang w:val="en-US" w:eastAsia="zh-CN"/>
                    </w:rPr>
                    <w:t>/</w:t>
                  </w:r>
                </w:p>
              </w:tc>
            </w:tr>
            <w:tr w14:paraId="0D40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30" w:type="pct"/>
                  <w:vMerge w:val="restart"/>
                  <w:vAlign w:val="center"/>
                </w:tcPr>
                <w:p w14:paraId="6411189F">
                  <w:pPr>
                    <w:autoSpaceDE w:val="0"/>
                    <w:autoSpaceDN w:val="0"/>
                    <w:adjustRightInd w:val="0"/>
                    <w:snapToGrid w:val="0"/>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1</w:t>
                  </w:r>
                </w:p>
              </w:tc>
              <w:tc>
                <w:tcPr>
                  <w:tcW w:w="709" w:type="pct"/>
                  <w:vMerge w:val="restart"/>
                  <w:vAlign w:val="center"/>
                </w:tcPr>
                <w:p w14:paraId="5BE4E23D">
                  <w:pPr>
                    <w:jc w:val="center"/>
                    <w:rPr>
                      <w:rFonts w:hint="eastAsia" w:ascii="Times New Roman" w:hAnsi="Times New Roman" w:eastAsia="宋体" w:cs="Times New Roman"/>
                      <w:color w:val="000000"/>
                      <w:kern w:val="0"/>
                      <w:szCs w:val="21"/>
                      <w:lang w:val="en-US" w:eastAsia="zh-CN"/>
                    </w:rPr>
                  </w:pPr>
                  <w:r>
                    <w:rPr>
                      <w:rFonts w:hint="eastAsia" w:ascii="Times New Roman" w:hAnsi="Times New Roman" w:cs="Times New Roman"/>
                      <w:color w:val="auto"/>
                      <w:kern w:val="0"/>
                      <w:szCs w:val="21"/>
                      <w:lang w:val="en-US" w:eastAsia="zh-CN"/>
                    </w:rPr>
                    <w:t>PVC板</w:t>
                  </w:r>
                  <w:r>
                    <w:rPr>
                      <w:rFonts w:hint="eastAsia" w:cs="Times New Roman"/>
                      <w:color w:val="auto"/>
                      <w:kern w:val="0"/>
                      <w:szCs w:val="21"/>
                      <w:lang w:val="en-US" w:eastAsia="zh-CN"/>
                    </w:rPr>
                    <w:t>材</w:t>
                  </w:r>
                </w:p>
              </w:tc>
              <w:tc>
                <w:tcPr>
                  <w:tcW w:w="1158" w:type="pct"/>
                  <w:vMerge w:val="restart"/>
                  <w:vAlign w:val="center"/>
                </w:tcPr>
                <w:p w14:paraId="472BA9CD">
                  <w:pPr>
                    <w:autoSpaceDE w:val="0"/>
                    <w:autoSpaceDN w:val="0"/>
                    <w:adjustRightInd w:val="0"/>
                    <w:snapToGrid w:val="0"/>
                    <w:jc w:val="center"/>
                    <w:rPr>
                      <w:rFonts w:hint="default" w:ascii="Times New Roman" w:hAnsi="Times New Roman" w:eastAsia="宋体" w:cs="Times New Roman"/>
                      <w:color w:val="000000"/>
                      <w:kern w:val="0"/>
                      <w:szCs w:val="21"/>
                      <w:lang w:val="en-US" w:eastAsia="zh-CN"/>
                    </w:rPr>
                  </w:pPr>
                  <w:r>
                    <w:rPr>
                      <w:rFonts w:hint="eastAsia" w:ascii="Times New Roman" w:hAnsi="Times New Roman" w:cs="Times New Roman"/>
                      <w:color w:val="000000"/>
                      <w:kern w:val="0"/>
                      <w:szCs w:val="21"/>
                      <w:lang w:val="en-US" w:eastAsia="zh-CN"/>
                    </w:rPr>
                    <w:t>7100</w:t>
                  </w:r>
                </w:p>
              </w:tc>
              <w:tc>
                <w:tcPr>
                  <w:tcW w:w="986" w:type="pct"/>
                  <w:vAlign w:val="center"/>
                </w:tcPr>
                <w:p w14:paraId="14D6A943">
                  <w:pPr>
                    <w:jc w:val="center"/>
                    <w:rPr>
                      <w:rFonts w:hint="default" w:ascii="Times New Roman" w:hAnsi="Times New Roman" w:eastAsia="宋体" w:cs="Times New Roman"/>
                      <w:color w:val="000000"/>
                      <w:kern w:val="0"/>
                      <w:szCs w:val="21"/>
                      <w:lang w:val="en-US" w:eastAsia="zh-CN"/>
                    </w:rPr>
                  </w:pPr>
                  <w:r>
                    <w:rPr>
                      <w:rFonts w:hint="eastAsia" w:ascii="Times New Roman" w:hAnsi="Times New Roman" w:eastAsia="宋体" w:cs="Times New Roman"/>
                      <w:color w:val="000000"/>
                      <w:kern w:val="0"/>
                      <w:szCs w:val="21"/>
                    </w:rPr>
                    <w:t>145</w:t>
                  </w:r>
                  <w:r>
                    <w:rPr>
                      <w:rFonts w:hint="eastAsia" w:cs="Times New Roman"/>
                      <w:color w:val="000000"/>
                      <w:kern w:val="0"/>
                      <w:szCs w:val="21"/>
                      <w:lang w:eastAsia="zh-CN"/>
                    </w:rPr>
                    <w:t>—</w:t>
                  </w:r>
                  <w:r>
                    <w:rPr>
                      <w:rFonts w:hint="eastAsia" w:ascii="Times New Roman" w:hAnsi="Times New Roman" w:eastAsia="宋体" w:cs="Times New Roman"/>
                      <w:color w:val="000000"/>
                      <w:kern w:val="0"/>
                      <w:szCs w:val="21"/>
                    </w:rPr>
                    <w:t>25</w:t>
                  </w:r>
                  <w:r>
                    <w:rPr>
                      <w:rFonts w:hint="eastAsia"/>
                      <w:lang w:val="en-US" w:eastAsia="zh-CN"/>
                    </w:rPr>
                    <w:t>mm</w:t>
                  </w:r>
                </w:p>
              </w:tc>
              <w:tc>
                <w:tcPr>
                  <w:tcW w:w="856" w:type="pct"/>
                  <w:vAlign w:val="center"/>
                </w:tcPr>
                <w:p w14:paraId="11F4BA99">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地板</w:t>
                  </w:r>
                </w:p>
              </w:tc>
              <w:tc>
                <w:tcPr>
                  <w:tcW w:w="859" w:type="pct"/>
                  <w:vMerge w:val="restart"/>
                  <w:vAlign w:val="center"/>
                </w:tcPr>
                <w:p w14:paraId="3427AED0">
                  <w:pPr>
                    <w:jc w:val="center"/>
                    <w:rPr>
                      <w:rFonts w:hint="eastAsia" w:ascii="Times New Roman" w:hAnsi="Times New Roman" w:eastAsia="宋体" w:cs="Times New Roman"/>
                      <w:color w:val="000000"/>
                      <w:kern w:val="0"/>
                      <w:szCs w:val="21"/>
                      <w:lang w:val="en-US" w:eastAsia="zh-CN"/>
                    </w:rPr>
                  </w:pPr>
                  <w:r>
                    <w:rPr>
                      <w:rFonts w:hint="eastAsia" w:ascii="Times New Roman" w:hAnsi="Times New Roman" w:cs="Times New Roman"/>
                      <w:color w:val="000000"/>
                      <w:kern w:val="0"/>
                      <w:szCs w:val="21"/>
                      <w:lang w:val="en-US" w:eastAsia="zh-CN"/>
                    </w:rPr>
                    <w:t>7条线</w:t>
                  </w:r>
                </w:p>
              </w:tc>
            </w:tr>
            <w:tr w14:paraId="6EBEB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30" w:type="pct"/>
                  <w:vMerge w:val="continue"/>
                  <w:vAlign w:val="center"/>
                </w:tcPr>
                <w:p w14:paraId="4A8D3B0D">
                  <w:pPr>
                    <w:autoSpaceDE w:val="0"/>
                    <w:autoSpaceDN w:val="0"/>
                    <w:adjustRightInd w:val="0"/>
                    <w:snapToGrid w:val="0"/>
                    <w:jc w:val="center"/>
                    <w:rPr>
                      <w:rFonts w:ascii="Times New Roman" w:hAnsi="Times New Roman" w:eastAsia="宋体" w:cs="Times New Roman"/>
                      <w:color w:val="000000"/>
                      <w:kern w:val="0"/>
                      <w:szCs w:val="21"/>
                    </w:rPr>
                  </w:pPr>
                </w:p>
              </w:tc>
              <w:tc>
                <w:tcPr>
                  <w:tcW w:w="709" w:type="pct"/>
                  <w:vMerge w:val="continue"/>
                  <w:vAlign w:val="center"/>
                </w:tcPr>
                <w:p w14:paraId="01C8FDA9">
                  <w:pPr>
                    <w:jc w:val="center"/>
                    <w:rPr>
                      <w:rFonts w:ascii="Times New Roman" w:hAnsi="Times New Roman" w:eastAsia="宋体" w:cs="Times New Roman"/>
                      <w:color w:val="000000"/>
                      <w:kern w:val="0"/>
                      <w:szCs w:val="21"/>
                    </w:rPr>
                  </w:pPr>
                </w:p>
              </w:tc>
              <w:tc>
                <w:tcPr>
                  <w:tcW w:w="1158" w:type="pct"/>
                  <w:vMerge w:val="continue"/>
                  <w:vAlign w:val="center"/>
                </w:tcPr>
                <w:p w14:paraId="04F3E3F6">
                  <w:pPr>
                    <w:autoSpaceDE w:val="0"/>
                    <w:autoSpaceDN w:val="0"/>
                    <w:adjustRightInd w:val="0"/>
                    <w:snapToGrid w:val="0"/>
                    <w:jc w:val="center"/>
                    <w:rPr>
                      <w:rFonts w:ascii="Times New Roman" w:hAnsi="Times New Roman" w:eastAsia="宋体" w:cs="Times New Roman"/>
                      <w:color w:val="000000"/>
                      <w:kern w:val="0"/>
                      <w:szCs w:val="21"/>
                    </w:rPr>
                  </w:pPr>
                </w:p>
              </w:tc>
              <w:tc>
                <w:tcPr>
                  <w:tcW w:w="986" w:type="pct"/>
                  <w:vAlign w:val="center"/>
                </w:tcPr>
                <w:p w14:paraId="688B9246">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219</w:t>
                  </w:r>
                  <w:r>
                    <w:rPr>
                      <w:rFonts w:hint="eastAsia" w:cs="Times New Roman"/>
                      <w:color w:val="000000"/>
                      <w:kern w:val="0"/>
                      <w:szCs w:val="21"/>
                      <w:lang w:eastAsia="zh-CN"/>
                    </w:rPr>
                    <w:t>—</w:t>
                  </w:r>
                  <w:r>
                    <w:rPr>
                      <w:rFonts w:hint="eastAsia" w:ascii="Times New Roman" w:hAnsi="Times New Roman" w:eastAsia="宋体" w:cs="Times New Roman"/>
                      <w:color w:val="000000"/>
                      <w:kern w:val="0"/>
                      <w:szCs w:val="21"/>
                    </w:rPr>
                    <w:t>26</w:t>
                  </w:r>
                  <w:r>
                    <w:rPr>
                      <w:rFonts w:hint="eastAsia"/>
                      <w:lang w:val="en-US" w:eastAsia="zh-CN"/>
                    </w:rPr>
                    <w:t>mm</w:t>
                  </w:r>
                </w:p>
              </w:tc>
              <w:tc>
                <w:tcPr>
                  <w:tcW w:w="856" w:type="pct"/>
                  <w:vAlign w:val="center"/>
                </w:tcPr>
                <w:p w14:paraId="10492D9C">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长城版</w:t>
                  </w:r>
                </w:p>
              </w:tc>
              <w:tc>
                <w:tcPr>
                  <w:tcW w:w="859" w:type="pct"/>
                  <w:vMerge w:val="continue"/>
                  <w:vAlign w:val="center"/>
                </w:tcPr>
                <w:p w14:paraId="070F8213">
                  <w:pPr>
                    <w:jc w:val="center"/>
                    <w:rPr>
                      <w:rFonts w:hint="eastAsia" w:ascii="Times New Roman" w:hAnsi="Times New Roman" w:eastAsia="宋体" w:cs="Times New Roman"/>
                      <w:color w:val="000000"/>
                      <w:kern w:val="0"/>
                      <w:szCs w:val="21"/>
                    </w:rPr>
                  </w:pPr>
                </w:p>
              </w:tc>
            </w:tr>
            <w:tr w14:paraId="3943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0" w:type="pct"/>
                  <w:vMerge w:val="restart"/>
                  <w:vAlign w:val="center"/>
                </w:tcPr>
                <w:p w14:paraId="328A7969">
                  <w:pPr>
                    <w:autoSpaceDE w:val="0"/>
                    <w:autoSpaceDN w:val="0"/>
                    <w:adjustRightInd w:val="0"/>
                    <w:snapToGrid w:val="0"/>
                    <w:jc w:val="center"/>
                    <w:rPr>
                      <w:rFonts w:ascii="Times New Roman" w:hAnsi="Times New Roman" w:eastAsia="宋体" w:cs="Times New Roman"/>
                      <w:color w:val="000000"/>
                      <w:kern w:val="0"/>
                      <w:szCs w:val="21"/>
                    </w:rPr>
                  </w:pPr>
                  <w:r>
                    <w:rPr>
                      <w:rFonts w:ascii="Times New Roman" w:hAnsi="Times New Roman" w:eastAsia="宋体" w:cs="Times New Roman"/>
                      <w:color w:val="000000"/>
                      <w:kern w:val="0"/>
                      <w:szCs w:val="21"/>
                    </w:rPr>
                    <w:t>2</w:t>
                  </w:r>
                </w:p>
              </w:tc>
              <w:tc>
                <w:tcPr>
                  <w:tcW w:w="709" w:type="pct"/>
                  <w:vMerge w:val="restart"/>
                  <w:vAlign w:val="center"/>
                </w:tcPr>
                <w:p w14:paraId="4D5FCAE7">
                  <w:pPr>
                    <w:jc w:val="center"/>
                    <w:rPr>
                      <w:rFonts w:hint="default" w:ascii="Times New Roman" w:hAnsi="Times New Roman" w:eastAsia="宋体" w:cs="Times New Roman"/>
                      <w:color w:val="000000"/>
                      <w:kern w:val="0"/>
                      <w:szCs w:val="21"/>
                      <w:lang w:val="en-US" w:eastAsia="zh-CN"/>
                    </w:rPr>
                  </w:pPr>
                  <w:r>
                    <w:rPr>
                      <w:rFonts w:hint="eastAsia" w:ascii="Times New Roman" w:hAnsi="Times New Roman" w:cs="Times New Roman"/>
                      <w:color w:val="000000"/>
                      <w:kern w:val="0"/>
                      <w:szCs w:val="21"/>
                      <w:lang w:val="en-US" w:eastAsia="zh-CN"/>
                    </w:rPr>
                    <w:t>PE</w:t>
                  </w:r>
                  <w:r>
                    <w:rPr>
                      <w:rFonts w:hint="eastAsia" w:ascii="Times New Roman" w:hAnsi="Times New Roman" w:cs="Times New Roman"/>
                      <w:color w:val="auto"/>
                      <w:kern w:val="0"/>
                      <w:szCs w:val="21"/>
                      <w:lang w:val="en-US" w:eastAsia="zh-CN"/>
                    </w:rPr>
                    <w:t>板</w:t>
                  </w:r>
                  <w:r>
                    <w:rPr>
                      <w:rFonts w:hint="eastAsia" w:cs="Times New Roman"/>
                      <w:color w:val="auto"/>
                      <w:kern w:val="0"/>
                      <w:szCs w:val="21"/>
                      <w:lang w:val="en-US" w:eastAsia="zh-CN"/>
                    </w:rPr>
                    <w:t>材</w:t>
                  </w:r>
                </w:p>
              </w:tc>
              <w:tc>
                <w:tcPr>
                  <w:tcW w:w="1158" w:type="pct"/>
                  <w:vMerge w:val="restart"/>
                  <w:vAlign w:val="center"/>
                </w:tcPr>
                <w:p w14:paraId="387D5C40">
                  <w:pPr>
                    <w:autoSpaceDE w:val="0"/>
                    <w:autoSpaceDN w:val="0"/>
                    <w:adjustRightInd w:val="0"/>
                    <w:snapToGrid w:val="0"/>
                    <w:jc w:val="center"/>
                    <w:rPr>
                      <w:rFonts w:hint="default" w:ascii="Times New Roman" w:hAnsi="Times New Roman" w:eastAsia="宋体" w:cs="Times New Roman"/>
                      <w:color w:val="000000"/>
                      <w:kern w:val="0"/>
                      <w:szCs w:val="21"/>
                      <w:lang w:val="en-US" w:eastAsia="zh-CN"/>
                    </w:rPr>
                  </w:pPr>
                  <w:r>
                    <w:rPr>
                      <w:rFonts w:hint="eastAsia" w:ascii="Times New Roman" w:hAnsi="Times New Roman" w:cs="Times New Roman"/>
                      <w:color w:val="000000"/>
                      <w:kern w:val="0"/>
                      <w:szCs w:val="21"/>
                      <w:lang w:val="en-US" w:eastAsia="zh-CN"/>
                    </w:rPr>
                    <w:t>2900</w:t>
                  </w:r>
                </w:p>
              </w:tc>
              <w:tc>
                <w:tcPr>
                  <w:tcW w:w="986" w:type="pct"/>
                  <w:vAlign w:val="center"/>
                </w:tcPr>
                <w:p w14:paraId="1B4FCD0B">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145</w:t>
                  </w:r>
                  <w:r>
                    <w:rPr>
                      <w:rFonts w:hint="eastAsia" w:cs="Times New Roman"/>
                      <w:color w:val="000000"/>
                      <w:kern w:val="0"/>
                      <w:szCs w:val="21"/>
                      <w:lang w:eastAsia="zh-CN"/>
                    </w:rPr>
                    <w:t>—</w:t>
                  </w:r>
                  <w:r>
                    <w:rPr>
                      <w:rFonts w:hint="eastAsia" w:ascii="Times New Roman" w:hAnsi="Times New Roman" w:eastAsia="宋体" w:cs="Times New Roman"/>
                      <w:color w:val="000000"/>
                      <w:kern w:val="0"/>
                      <w:szCs w:val="21"/>
                    </w:rPr>
                    <w:t>25</w:t>
                  </w:r>
                  <w:r>
                    <w:rPr>
                      <w:rFonts w:hint="eastAsia"/>
                      <w:lang w:val="en-US" w:eastAsia="zh-CN"/>
                    </w:rPr>
                    <w:t>mm</w:t>
                  </w:r>
                </w:p>
              </w:tc>
              <w:tc>
                <w:tcPr>
                  <w:tcW w:w="856" w:type="pct"/>
                  <w:vAlign w:val="center"/>
                </w:tcPr>
                <w:p w14:paraId="18CCD064">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地板</w:t>
                  </w:r>
                </w:p>
              </w:tc>
              <w:tc>
                <w:tcPr>
                  <w:tcW w:w="859" w:type="pct"/>
                  <w:vMerge w:val="restart"/>
                  <w:vAlign w:val="center"/>
                </w:tcPr>
                <w:p w14:paraId="226DBFED">
                  <w:pPr>
                    <w:jc w:val="center"/>
                    <w:rPr>
                      <w:rFonts w:hint="eastAsia" w:ascii="Times New Roman" w:hAnsi="Times New Roman" w:eastAsia="宋体" w:cs="Times New Roman"/>
                      <w:color w:val="000000"/>
                      <w:kern w:val="0"/>
                      <w:szCs w:val="21"/>
                    </w:rPr>
                  </w:pPr>
                  <w:r>
                    <w:rPr>
                      <w:rFonts w:hint="eastAsia" w:ascii="Times New Roman" w:hAnsi="Times New Roman" w:cs="Times New Roman"/>
                      <w:color w:val="000000"/>
                      <w:kern w:val="0"/>
                      <w:szCs w:val="21"/>
                      <w:lang w:val="en-US" w:eastAsia="zh-CN"/>
                    </w:rPr>
                    <w:t>3条线</w:t>
                  </w:r>
                </w:p>
              </w:tc>
            </w:tr>
            <w:tr w14:paraId="6D42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30" w:type="pct"/>
                  <w:vMerge w:val="continue"/>
                  <w:vAlign w:val="center"/>
                </w:tcPr>
                <w:p w14:paraId="3748ED7F">
                  <w:pPr>
                    <w:autoSpaceDE w:val="0"/>
                    <w:autoSpaceDN w:val="0"/>
                    <w:adjustRightInd w:val="0"/>
                    <w:snapToGrid w:val="0"/>
                    <w:jc w:val="center"/>
                    <w:rPr>
                      <w:rFonts w:ascii="Times New Roman" w:hAnsi="Times New Roman" w:eastAsia="宋体" w:cs="Times New Roman"/>
                      <w:color w:val="000000"/>
                      <w:kern w:val="0"/>
                      <w:szCs w:val="21"/>
                    </w:rPr>
                  </w:pPr>
                </w:p>
              </w:tc>
              <w:tc>
                <w:tcPr>
                  <w:tcW w:w="709" w:type="pct"/>
                  <w:vMerge w:val="continue"/>
                  <w:vAlign w:val="center"/>
                </w:tcPr>
                <w:p w14:paraId="40EC0EF7">
                  <w:pPr>
                    <w:jc w:val="center"/>
                    <w:rPr>
                      <w:rFonts w:ascii="Times New Roman" w:hAnsi="Times New Roman" w:eastAsia="宋体" w:cs="Times New Roman"/>
                      <w:color w:val="000000"/>
                      <w:kern w:val="0"/>
                      <w:szCs w:val="21"/>
                    </w:rPr>
                  </w:pPr>
                </w:p>
              </w:tc>
              <w:tc>
                <w:tcPr>
                  <w:tcW w:w="1158" w:type="pct"/>
                  <w:vMerge w:val="continue"/>
                  <w:vAlign w:val="center"/>
                </w:tcPr>
                <w:p w14:paraId="21AAE415">
                  <w:pPr>
                    <w:autoSpaceDE w:val="0"/>
                    <w:autoSpaceDN w:val="0"/>
                    <w:adjustRightInd w:val="0"/>
                    <w:snapToGrid w:val="0"/>
                    <w:jc w:val="center"/>
                    <w:rPr>
                      <w:rFonts w:ascii="Times New Roman" w:hAnsi="Times New Roman" w:eastAsia="宋体" w:cs="Times New Roman"/>
                      <w:color w:val="000000"/>
                      <w:kern w:val="0"/>
                      <w:szCs w:val="21"/>
                    </w:rPr>
                  </w:pPr>
                </w:p>
              </w:tc>
              <w:tc>
                <w:tcPr>
                  <w:tcW w:w="986" w:type="pct"/>
                  <w:vAlign w:val="center"/>
                </w:tcPr>
                <w:p w14:paraId="414ECB36">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219</w:t>
                  </w:r>
                  <w:r>
                    <w:rPr>
                      <w:rFonts w:hint="eastAsia" w:cs="Times New Roman"/>
                      <w:color w:val="000000"/>
                      <w:kern w:val="0"/>
                      <w:szCs w:val="21"/>
                      <w:lang w:eastAsia="zh-CN"/>
                    </w:rPr>
                    <w:t>—</w:t>
                  </w:r>
                  <w:r>
                    <w:rPr>
                      <w:rFonts w:hint="eastAsia" w:ascii="Times New Roman" w:hAnsi="Times New Roman" w:eastAsia="宋体" w:cs="Times New Roman"/>
                      <w:color w:val="000000"/>
                      <w:kern w:val="0"/>
                      <w:szCs w:val="21"/>
                    </w:rPr>
                    <w:t>26</w:t>
                  </w:r>
                  <w:r>
                    <w:rPr>
                      <w:rFonts w:hint="eastAsia"/>
                      <w:lang w:val="en-US" w:eastAsia="zh-CN"/>
                    </w:rPr>
                    <w:t>mm</w:t>
                  </w:r>
                </w:p>
              </w:tc>
              <w:tc>
                <w:tcPr>
                  <w:tcW w:w="856" w:type="pct"/>
                  <w:vAlign w:val="center"/>
                </w:tcPr>
                <w:p w14:paraId="16766F06">
                  <w:pPr>
                    <w:jc w:val="center"/>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长城版</w:t>
                  </w:r>
                </w:p>
              </w:tc>
              <w:tc>
                <w:tcPr>
                  <w:tcW w:w="859" w:type="pct"/>
                  <w:vMerge w:val="continue"/>
                  <w:vAlign w:val="center"/>
                </w:tcPr>
                <w:p w14:paraId="4133002A">
                  <w:pPr>
                    <w:jc w:val="center"/>
                    <w:rPr>
                      <w:rFonts w:hint="eastAsia" w:ascii="Times New Roman" w:hAnsi="Times New Roman" w:eastAsia="宋体" w:cs="Times New Roman"/>
                      <w:color w:val="000000"/>
                      <w:kern w:val="0"/>
                      <w:szCs w:val="21"/>
                    </w:rPr>
                  </w:pPr>
                </w:p>
              </w:tc>
            </w:tr>
            <w:tr w14:paraId="278B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vAlign w:val="center"/>
                </w:tcPr>
                <w:p w14:paraId="58F8EBDF">
                  <w:pPr>
                    <w:jc w:val="both"/>
                    <w:rPr>
                      <w:rFonts w:ascii="Times New Roman" w:hAnsi="Times New Roman" w:eastAsia="宋体" w:cs="Times New Roman"/>
                      <w:color w:val="000000"/>
                      <w:kern w:val="0"/>
                      <w:szCs w:val="21"/>
                    </w:rPr>
                  </w:pPr>
                  <w:r>
                    <w:rPr>
                      <w:rFonts w:hint="eastAsia" w:ascii="Times New Roman" w:hAnsi="Times New Roman" w:eastAsia="宋体" w:cs="Times New Roman"/>
                      <w:color w:val="000000"/>
                      <w:kern w:val="0"/>
                      <w:szCs w:val="21"/>
                    </w:rPr>
                    <w:t>合计产能10000吨</w:t>
                  </w:r>
                </w:p>
              </w:tc>
            </w:tr>
          </w:tbl>
          <w:p w14:paraId="5EAF23E6">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left"/>
              <w:textAlignment w:val="auto"/>
              <w:rPr>
                <w:rFonts w:hint="eastAsia" w:ascii="Times New Roman" w:hAnsi="Times New Roman" w:eastAsia="宋体" w:cs="Times New Roman"/>
                <w:b w:val="0"/>
                <w:bCs w:val="0"/>
                <w:color w:val="auto"/>
                <w:sz w:val="24"/>
                <w:szCs w:val="24"/>
                <w:lang w:eastAsia="zh-CN"/>
              </w:rPr>
            </w:pPr>
            <w:r>
              <w:rPr>
                <w:rFonts w:hint="eastAsia" w:cs="Times New Roman"/>
                <w:b/>
                <w:bCs/>
                <w:color w:val="auto"/>
                <w:sz w:val="24"/>
                <w:szCs w:val="24"/>
                <w:lang w:val="en-US" w:eastAsia="zh-CN"/>
              </w:rPr>
              <w:t>3.</w:t>
            </w:r>
            <w:r>
              <w:rPr>
                <w:rFonts w:hint="default" w:ascii="Times New Roman" w:hAnsi="Times New Roman" w:eastAsia="宋体" w:cs="Times New Roman"/>
                <w:b/>
                <w:bCs/>
                <w:color w:val="auto"/>
                <w:sz w:val="24"/>
                <w:szCs w:val="24"/>
              </w:rPr>
              <w:t>项目</w:t>
            </w:r>
            <w:r>
              <w:rPr>
                <w:rFonts w:hint="default" w:ascii="Times New Roman" w:hAnsi="Times New Roman" w:eastAsia="宋体" w:cs="Times New Roman"/>
                <w:b/>
                <w:bCs/>
                <w:color w:val="auto"/>
                <w:sz w:val="24"/>
                <w:szCs w:val="24"/>
                <w:lang w:eastAsia="zh-CN"/>
              </w:rPr>
              <w:t>主要生产单元、主要工艺、主要生产设施及设施参数</w:t>
            </w:r>
          </w:p>
          <w:p w14:paraId="7632701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表</w:t>
            </w:r>
            <w:r>
              <w:rPr>
                <w:rFonts w:hint="default" w:ascii="Times New Roman" w:hAnsi="Times New Roman" w:eastAsia="宋体" w:cs="Times New Roman"/>
                <w:b/>
                <w:bCs/>
                <w:sz w:val="24"/>
                <w:szCs w:val="24"/>
                <w:lang w:val="en-US" w:eastAsia="zh-CN"/>
              </w:rPr>
              <w:t>2</w:t>
            </w:r>
            <w:r>
              <w:rPr>
                <w:rFonts w:hint="default" w:ascii="Times New Roman" w:hAnsi="Times New Roman" w:eastAsia="宋体" w:cs="Times New Roman"/>
                <w:b/>
                <w:bCs/>
                <w:sz w:val="24"/>
                <w:szCs w:val="24"/>
              </w:rPr>
              <w:t>.</w:t>
            </w:r>
            <w:r>
              <w:rPr>
                <w:rFonts w:hint="eastAsia" w:cs="Times New Roman"/>
                <w:b/>
                <w:bCs/>
                <w:sz w:val="24"/>
                <w:szCs w:val="24"/>
                <w:lang w:val="en-US" w:eastAsia="zh-CN"/>
              </w:rPr>
              <w:t>5</w:t>
            </w:r>
            <w:r>
              <w:rPr>
                <w:rFonts w:hint="default" w:ascii="Times New Roman" w:hAnsi="Times New Roman" w:eastAsia="宋体" w:cs="Times New Roman"/>
                <w:b/>
                <w:bCs/>
                <w:sz w:val="24"/>
                <w:szCs w:val="24"/>
              </w:rPr>
              <w:t xml:space="preserve"> </w:t>
            </w:r>
            <w:r>
              <w:rPr>
                <w:rFonts w:hint="eastAsia" w:cs="Times New Roman"/>
                <w:b/>
                <w:bCs/>
                <w:sz w:val="24"/>
                <w:szCs w:val="24"/>
                <w:lang w:val="en-US" w:eastAsia="zh-CN"/>
              </w:rPr>
              <w:t xml:space="preserve"> </w:t>
            </w:r>
            <w:r>
              <w:rPr>
                <w:rFonts w:hint="default" w:ascii="Times New Roman" w:hAnsi="Times New Roman" w:eastAsia="宋体" w:cs="Times New Roman"/>
                <w:b/>
                <w:bCs/>
                <w:sz w:val="24"/>
                <w:szCs w:val="24"/>
              </w:rPr>
              <w:t>项目</w:t>
            </w:r>
            <w:r>
              <w:rPr>
                <w:rFonts w:hint="default" w:ascii="Times New Roman" w:hAnsi="Times New Roman" w:eastAsia="宋体" w:cs="Times New Roman"/>
                <w:b/>
                <w:bCs/>
                <w:sz w:val="24"/>
                <w:szCs w:val="24"/>
                <w:lang w:eastAsia="zh-CN"/>
              </w:rPr>
              <w:t>主要生产单元、主要工艺、主要生产设施及设施参数</w:t>
            </w:r>
            <w:r>
              <w:rPr>
                <w:rFonts w:hint="default" w:ascii="Times New Roman" w:hAnsi="Times New Roman" w:eastAsia="宋体" w:cs="Times New Roman"/>
                <w:b/>
                <w:bCs/>
                <w:sz w:val="24"/>
                <w:szCs w:val="24"/>
              </w:rPr>
              <w:t>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3145"/>
              <w:gridCol w:w="2412"/>
              <w:gridCol w:w="889"/>
              <w:gridCol w:w="1148"/>
            </w:tblGrid>
            <w:tr w14:paraId="2A2B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78915E42">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序号</w:t>
                  </w:r>
                </w:p>
              </w:tc>
              <w:tc>
                <w:tcPr>
                  <w:tcW w:w="1861" w:type="pct"/>
                  <w:noWrap w:val="0"/>
                  <w:vAlign w:val="center"/>
                </w:tcPr>
                <w:p w14:paraId="298D59B0">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设备名称</w:t>
                  </w:r>
                </w:p>
              </w:tc>
              <w:tc>
                <w:tcPr>
                  <w:tcW w:w="1427" w:type="pct"/>
                  <w:noWrap w:val="0"/>
                  <w:vAlign w:val="center"/>
                </w:tcPr>
                <w:p w14:paraId="4E5AFDD9">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规格型号</w:t>
                  </w:r>
                </w:p>
              </w:tc>
              <w:tc>
                <w:tcPr>
                  <w:tcW w:w="526" w:type="pct"/>
                  <w:noWrap w:val="0"/>
                  <w:vAlign w:val="center"/>
                </w:tcPr>
                <w:p w14:paraId="3971A843">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单位</w:t>
                  </w:r>
                </w:p>
              </w:tc>
              <w:tc>
                <w:tcPr>
                  <w:tcW w:w="676" w:type="pct"/>
                  <w:noWrap w:val="0"/>
                  <w:vAlign w:val="center"/>
                </w:tcPr>
                <w:p w14:paraId="168CA28B">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数量</w:t>
                  </w:r>
                </w:p>
              </w:tc>
            </w:tr>
            <w:tr w14:paraId="52C4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noWrap w:val="0"/>
                  <w:vAlign w:val="center"/>
                </w:tcPr>
                <w:p w14:paraId="2DB04883">
                  <w:pPr>
                    <w:jc w:val="center"/>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PVC板材生产线</w:t>
                  </w:r>
                </w:p>
              </w:tc>
            </w:tr>
            <w:tr w14:paraId="2023F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4BD294E7">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1</w:t>
                  </w:r>
                </w:p>
              </w:tc>
              <w:tc>
                <w:tcPr>
                  <w:tcW w:w="1861" w:type="pct"/>
                  <w:noWrap w:val="0"/>
                  <w:vAlign w:val="center"/>
                </w:tcPr>
                <w:p w14:paraId="0E97902F">
                  <w:pPr>
                    <w:widowControl/>
                    <w:jc w:val="center"/>
                    <w:rPr>
                      <w:rFonts w:hint="default" w:ascii="Times New Roman" w:hAnsi="Times New Roman" w:eastAsia="宋体" w:cs="Times New Roman"/>
                      <w:bCs/>
                      <w:color w:val="auto"/>
                      <w:szCs w:val="21"/>
                      <w:lang w:eastAsia="zh-CN"/>
                    </w:rPr>
                  </w:pPr>
                  <w:r>
                    <w:rPr>
                      <w:rFonts w:hint="default" w:ascii="Times New Roman" w:hAnsi="Times New Roman" w:eastAsia="华文中宋" w:cs="Times New Roman"/>
                      <w:color w:val="auto"/>
                    </w:rPr>
                    <w:t>挤出机</w:t>
                  </w:r>
                </w:p>
              </w:tc>
              <w:tc>
                <w:tcPr>
                  <w:tcW w:w="1427" w:type="pct"/>
                  <w:noWrap w:val="0"/>
                  <w:vAlign w:val="center"/>
                </w:tcPr>
                <w:p w14:paraId="3C45C416">
                  <w:pPr>
                    <w:widowControl/>
                    <w:jc w:val="center"/>
                    <w:textAlignment w:val="center"/>
                    <w:rPr>
                      <w:rFonts w:hint="default" w:ascii="Times New Roman" w:hAnsi="Times New Roman" w:cs="Times New Roman"/>
                      <w:bCs/>
                      <w:color w:val="auto"/>
                      <w:szCs w:val="21"/>
                    </w:rPr>
                  </w:pPr>
                  <w:r>
                    <w:rPr>
                      <w:rFonts w:hint="default" w:ascii="Times New Roman" w:hAnsi="Times New Roman" w:eastAsia="宋体" w:cs="Times New Roman"/>
                      <w:color w:val="auto"/>
                      <w:kern w:val="0"/>
                      <w:sz w:val="22"/>
                      <w:szCs w:val="22"/>
                    </w:rPr>
                    <w:t>SJZ65/132</w:t>
                  </w:r>
                </w:p>
              </w:tc>
              <w:tc>
                <w:tcPr>
                  <w:tcW w:w="526" w:type="pct"/>
                  <w:noWrap w:val="0"/>
                  <w:vAlign w:val="center"/>
                </w:tcPr>
                <w:p w14:paraId="2EF4E165">
                  <w:pPr>
                    <w:jc w:val="center"/>
                    <w:rPr>
                      <w:rFonts w:hint="default" w:ascii="Times New Roman" w:hAnsi="Times New Roman" w:eastAsia="宋体" w:cs="Times New Roman"/>
                      <w:bCs/>
                      <w:color w:val="auto"/>
                      <w:szCs w:val="21"/>
                      <w:lang w:val="en-US" w:eastAsia="zh-CN"/>
                    </w:rPr>
                  </w:pPr>
                  <w:r>
                    <w:rPr>
                      <w:rFonts w:hint="default" w:ascii="Times New Roman" w:hAnsi="Times New Roman" w:cs="Times New Roman"/>
                      <w:bCs/>
                      <w:color w:val="auto"/>
                      <w:szCs w:val="21"/>
                      <w:lang w:eastAsia="zh-CN"/>
                    </w:rPr>
                    <w:t>台</w:t>
                  </w:r>
                </w:p>
              </w:tc>
              <w:tc>
                <w:tcPr>
                  <w:tcW w:w="676" w:type="pct"/>
                  <w:noWrap w:val="0"/>
                  <w:vAlign w:val="center"/>
                </w:tcPr>
                <w:p w14:paraId="3044850C">
                  <w:pPr>
                    <w:jc w:val="center"/>
                    <w:rPr>
                      <w:rFonts w:hint="default" w:ascii="Times New Roman" w:hAnsi="Times New Roman" w:eastAsia="宋体" w:cs="Times New Roman"/>
                      <w:bCs/>
                      <w:color w:val="auto"/>
                      <w:szCs w:val="21"/>
                      <w:lang w:val="en-US" w:eastAsia="zh-CN"/>
                    </w:rPr>
                  </w:pPr>
                  <w:r>
                    <w:rPr>
                      <w:rFonts w:hint="default" w:ascii="Times New Roman" w:hAnsi="Times New Roman" w:eastAsia="华文中宋" w:cs="Times New Roman"/>
                      <w:color w:val="auto"/>
                      <w:lang w:eastAsia="zh-CN"/>
                    </w:rPr>
                    <w:t>7</w:t>
                  </w:r>
                </w:p>
              </w:tc>
            </w:tr>
            <w:tr w14:paraId="62980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31F3DBD1">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2</w:t>
                  </w:r>
                </w:p>
              </w:tc>
              <w:tc>
                <w:tcPr>
                  <w:tcW w:w="1861" w:type="pct"/>
                  <w:noWrap w:val="0"/>
                  <w:vAlign w:val="center"/>
                </w:tcPr>
                <w:p w14:paraId="5E8C181D">
                  <w:pPr>
                    <w:widowControl/>
                    <w:jc w:val="center"/>
                    <w:rPr>
                      <w:rFonts w:hint="default" w:ascii="Times New Roman" w:hAnsi="Times New Roman" w:eastAsia="宋体" w:cs="Times New Roman"/>
                      <w:bCs/>
                      <w:color w:val="auto"/>
                      <w:szCs w:val="21"/>
                      <w:lang w:eastAsia="zh-CN"/>
                    </w:rPr>
                  </w:pPr>
                  <w:r>
                    <w:rPr>
                      <w:rFonts w:hint="default" w:ascii="Times New Roman" w:hAnsi="Times New Roman" w:eastAsia="华文中宋" w:cs="Times New Roman"/>
                      <w:color w:val="auto"/>
                    </w:rPr>
                    <w:t>定型台</w:t>
                  </w:r>
                </w:p>
              </w:tc>
              <w:tc>
                <w:tcPr>
                  <w:tcW w:w="1427" w:type="pct"/>
                  <w:noWrap w:val="0"/>
                  <w:vAlign w:val="center"/>
                </w:tcPr>
                <w:p w14:paraId="2266998A">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rPr>
                    <w:t>8米</w:t>
                  </w:r>
                </w:p>
              </w:tc>
              <w:tc>
                <w:tcPr>
                  <w:tcW w:w="526" w:type="pct"/>
                  <w:noWrap w:val="0"/>
                  <w:vAlign w:val="center"/>
                </w:tcPr>
                <w:p w14:paraId="4699B2AF">
                  <w:pPr>
                    <w:jc w:val="center"/>
                    <w:rPr>
                      <w:rFonts w:hint="default" w:ascii="Times New Roman" w:hAnsi="Times New Roman" w:eastAsia="宋体" w:cs="Times New Roman"/>
                      <w:bCs/>
                      <w:color w:val="auto"/>
                      <w:szCs w:val="21"/>
                      <w:lang w:val="en-US" w:eastAsia="zh-CN"/>
                    </w:rPr>
                  </w:pPr>
                  <w:r>
                    <w:rPr>
                      <w:rFonts w:hint="default" w:ascii="Times New Roman" w:hAnsi="Times New Roman" w:cs="Times New Roman"/>
                      <w:bCs/>
                      <w:color w:val="auto"/>
                      <w:szCs w:val="21"/>
                      <w:lang w:eastAsia="zh-CN"/>
                    </w:rPr>
                    <w:t>台</w:t>
                  </w:r>
                </w:p>
              </w:tc>
              <w:tc>
                <w:tcPr>
                  <w:tcW w:w="676" w:type="pct"/>
                  <w:noWrap w:val="0"/>
                  <w:vAlign w:val="center"/>
                </w:tcPr>
                <w:p w14:paraId="11D35351">
                  <w:pPr>
                    <w:jc w:val="center"/>
                    <w:rPr>
                      <w:rFonts w:hint="default" w:ascii="Times New Roman" w:hAnsi="Times New Roman" w:eastAsia="宋体" w:cs="Times New Roman"/>
                      <w:bCs/>
                      <w:color w:val="auto"/>
                      <w:szCs w:val="21"/>
                      <w:lang w:val="en-US" w:eastAsia="zh-CN"/>
                    </w:rPr>
                  </w:pPr>
                  <w:r>
                    <w:rPr>
                      <w:rFonts w:hint="default" w:ascii="Times New Roman" w:hAnsi="Times New Roman" w:eastAsia="华文中宋" w:cs="Times New Roman"/>
                      <w:color w:val="auto"/>
                      <w:lang w:eastAsia="zh-CN"/>
                    </w:rPr>
                    <w:t>7</w:t>
                  </w:r>
                </w:p>
              </w:tc>
            </w:tr>
            <w:tr w14:paraId="03556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442D4C03">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3</w:t>
                  </w:r>
                </w:p>
              </w:tc>
              <w:tc>
                <w:tcPr>
                  <w:tcW w:w="1861" w:type="pct"/>
                  <w:noWrap w:val="0"/>
                  <w:vAlign w:val="center"/>
                </w:tcPr>
                <w:p w14:paraId="117ED3DE">
                  <w:pPr>
                    <w:widowControl/>
                    <w:jc w:val="center"/>
                    <w:rPr>
                      <w:rFonts w:hint="default" w:ascii="Times New Roman" w:hAnsi="Times New Roman" w:eastAsia="宋体" w:cs="Times New Roman"/>
                      <w:bCs/>
                      <w:color w:val="auto"/>
                      <w:szCs w:val="21"/>
                      <w:lang w:eastAsia="zh-CN"/>
                    </w:rPr>
                  </w:pPr>
                  <w:r>
                    <w:rPr>
                      <w:rFonts w:hint="default" w:ascii="Times New Roman" w:hAnsi="Times New Roman" w:eastAsia="华文中宋" w:cs="Times New Roman"/>
                      <w:color w:val="auto"/>
                    </w:rPr>
                    <w:t>牵引机</w:t>
                  </w:r>
                </w:p>
              </w:tc>
              <w:tc>
                <w:tcPr>
                  <w:tcW w:w="1427" w:type="pct"/>
                  <w:noWrap w:val="0"/>
                  <w:vAlign w:val="center"/>
                </w:tcPr>
                <w:p w14:paraId="1FBA743C">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rPr>
                    <w:t>3米</w:t>
                  </w:r>
                </w:p>
              </w:tc>
              <w:tc>
                <w:tcPr>
                  <w:tcW w:w="526" w:type="pct"/>
                  <w:noWrap w:val="0"/>
                  <w:vAlign w:val="center"/>
                </w:tcPr>
                <w:p w14:paraId="45E776E6">
                  <w:pPr>
                    <w:jc w:val="center"/>
                    <w:rPr>
                      <w:rFonts w:hint="default" w:ascii="Times New Roman" w:hAnsi="Times New Roman" w:eastAsia="宋体" w:cs="Times New Roman"/>
                      <w:bCs/>
                      <w:color w:val="auto"/>
                      <w:szCs w:val="21"/>
                      <w:lang w:eastAsia="zh-CN"/>
                    </w:rPr>
                  </w:pPr>
                  <w:r>
                    <w:rPr>
                      <w:rFonts w:hint="default" w:ascii="Times New Roman" w:hAnsi="Times New Roman" w:cs="Times New Roman"/>
                      <w:bCs/>
                      <w:color w:val="auto"/>
                      <w:szCs w:val="21"/>
                      <w:lang w:eastAsia="zh-CN"/>
                    </w:rPr>
                    <w:t>台</w:t>
                  </w:r>
                </w:p>
              </w:tc>
              <w:tc>
                <w:tcPr>
                  <w:tcW w:w="676" w:type="pct"/>
                  <w:noWrap w:val="0"/>
                  <w:vAlign w:val="center"/>
                </w:tcPr>
                <w:p w14:paraId="43C160C5">
                  <w:pPr>
                    <w:jc w:val="center"/>
                    <w:rPr>
                      <w:rFonts w:hint="default" w:ascii="Times New Roman" w:hAnsi="Times New Roman" w:eastAsia="宋体" w:cs="Times New Roman"/>
                      <w:bCs/>
                      <w:color w:val="auto"/>
                      <w:szCs w:val="21"/>
                      <w:lang w:val="en-US" w:eastAsia="zh-CN"/>
                    </w:rPr>
                  </w:pPr>
                  <w:r>
                    <w:rPr>
                      <w:rFonts w:hint="default" w:ascii="Times New Roman" w:hAnsi="Times New Roman" w:eastAsia="华文中宋" w:cs="Times New Roman"/>
                      <w:color w:val="auto"/>
                      <w:lang w:val="en-US" w:eastAsia="zh-CN"/>
                    </w:rPr>
                    <w:t>7</w:t>
                  </w:r>
                </w:p>
              </w:tc>
            </w:tr>
            <w:tr w14:paraId="3A53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6A7671E1">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4</w:t>
                  </w:r>
                </w:p>
              </w:tc>
              <w:tc>
                <w:tcPr>
                  <w:tcW w:w="1861" w:type="pct"/>
                  <w:noWrap w:val="0"/>
                  <w:vAlign w:val="center"/>
                </w:tcPr>
                <w:p w14:paraId="05A80E73">
                  <w:pPr>
                    <w:widowControl/>
                    <w:jc w:val="center"/>
                    <w:rPr>
                      <w:rFonts w:hint="default" w:ascii="Times New Roman" w:hAnsi="Times New Roman" w:eastAsia="宋体" w:cs="Times New Roman"/>
                      <w:bCs/>
                      <w:color w:val="auto"/>
                      <w:szCs w:val="21"/>
                      <w:lang w:eastAsia="zh-CN"/>
                    </w:rPr>
                  </w:pPr>
                  <w:r>
                    <w:rPr>
                      <w:rFonts w:hint="default" w:ascii="Times New Roman" w:hAnsi="Times New Roman" w:eastAsia="华文中宋" w:cs="Times New Roman"/>
                      <w:color w:val="auto"/>
                    </w:rPr>
                    <w:t>切割锯</w:t>
                  </w:r>
                </w:p>
              </w:tc>
              <w:tc>
                <w:tcPr>
                  <w:tcW w:w="1427" w:type="pct"/>
                  <w:noWrap w:val="0"/>
                  <w:vAlign w:val="center"/>
                </w:tcPr>
                <w:p w14:paraId="42E06EF0">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rPr>
                    <w:t>1.5米</w:t>
                  </w:r>
                </w:p>
              </w:tc>
              <w:tc>
                <w:tcPr>
                  <w:tcW w:w="526" w:type="pct"/>
                  <w:noWrap w:val="0"/>
                  <w:vAlign w:val="center"/>
                </w:tcPr>
                <w:p w14:paraId="7039C5A9">
                  <w:pPr>
                    <w:jc w:val="center"/>
                    <w:rPr>
                      <w:rFonts w:hint="default" w:ascii="Times New Roman" w:hAnsi="Times New Roman" w:eastAsia="宋体" w:cs="Times New Roman"/>
                      <w:bCs/>
                      <w:color w:val="auto"/>
                      <w:szCs w:val="21"/>
                      <w:lang w:eastAsia="zh-CN"/>
                    </w:rPr>
                  </w:pPr>
                  <w:r>
                    <w:rPr>
                      <w:rFonts w:hint="default" w:ascii="Times New Roman" w:hAnsi="Times New Roman" w:cs="Times New Roman"/>
                      <w:bCs/>
                      <w:color w:val="auto"/>
                      <w:szCs w:val="21"/>
                      <w:lang w:eastAsia="zh-CN"/>
                    </w:rPr>
                    <w:t>台</w:t>
                  </w:r>
                </w:p>
              </w:tc>
              <w:tc>
                <w:tcPr>
                  <w:tcW w:w="676" w:type="pct"/>
                  <w:noWrap w:val="0"/>
                  <w:vAlign w:val="center"/>
                </w:tcPr>
                <w:p w14:paraId="18667F50">
                  <w:pPr>
                    <w:jc w:val="center"/>
                    <w:rPr>
                      <w:rFonts w:hint="default" w:ascii="Times New Roman" w:hAnsi="Times New Roman" w:eastAsia="宋体" w:cs="Times New Roman"/>
                      <w:bCs/>
                      <w:color w:val="auto"/>
                      <w:szCs w:val="21"/>
                      <w:lang w:val="en-US" w:eastAsia="zh-CN"/>
                    </w:rPr>
                  </w:pPr>
                  <w:r>
                    <w:rPr>
                      <w:rFonts w:hint="default" w:ascii="Times New Roman" w:hAnsi="Times New Roman" w:eastAsia="华文中宋" w:cs="Times New Roman"/>
                      <w:color w:val="auto"/>
                      <w:lang w:eastAsia="zh-CN"/>
                    </w:rPr>
                    <w:t>7</w:t>
                  </w:r>
                </w:p>
              </w:tc>
            </w:tr>
            <w:tr w14:paraId="6805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1C6369AA">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5</w:t>
                  </w:r>
                </w:p>
              </w:tc>
              <w:tc>
                <w:tcPr>
                  <w:tcW w:w="1861" w:type="pct"/>
                  <w:noWrap w:val="0"/>
                  <w:vAlign w:val="center"/>
                </w:tcPr>
                <w:p w14:paraId="0E30F903">
                  <w:pPr>
                    <w:widowControl/>
                    <w:jc w:val="center"/>
                    <w:rPr>
                      <w:rFonts w:hint="default" w:ascii="Times New Roman" w:hAnsi="Times New Roman" w:eastAsia="宋体" w:cs="Times New Roman"/>
                      <w:bCs/>
                      <w:color w:val="auto"/>
                      <w:szCs w:val="21"/>
                      <w:lang w:eastAsia="zh-CN"/>
                    </w:rPr>
                  </w:pPr>
                  <w:r>
                    <w:rPr>
                      <w:rFonts w:hint="default" w:ascii="Times New Roman" w:hAnsi="Times New Roman" w:eastAsia="华文中宋" w:cs="Times New Roman"/>
                      <w:color w:val="auto"/>
                    </w:rPr>
                    <w:t>翻转架</w:t>
                  </w:r>
                </w:p>
              </w:tc>
              <w:tc>
                <w:tcPr>
                  <w:tcW w:w="1427" w:type="pct"/>
                  <w:noWrap w:val="0"/>
                  <w:vAlign w:val="center"/>
                </w:tcPr>
                <w:p w14:paraId="0FA586CD">
                  <w:pPr>
                    <w:widowControl/>
                    <w:jc w:val="center"/>
                    <w:rPr>
                      <w:rFonts w:hint="default" w:ascii="Times New Roman" w:hAnsi="Times New Roman" w:eastAsia="宋体" w:cs="Times New Roman"/>
                      <w:bCs/>
                      <w:color w:val="auto"/>
                      <w:szCs w:val="21"/>
                      <w:lang w:eastAsia="zh-CN"/>
                    </w:rPr>
                  </w:pPr>
                  <w:r>
                    <w:rPr>
                      <w:rFonts w:hint="default" w:ascii="Times New Roman" w:hAnsi="Times New Roman" w:eastAsia="华文中宋" w:cs="Times New Roman"/>
                      <w:color w:val="auto"/>
                    </w:rPr>
                    <w:t>3米</w:t>
                  </w:r>
                </w:p>
              </w:tc>
              <w:tc>
                <w:tcPr>
                  <w:tcW w:w="526" w:type="pct"/>
                  <w:noWrap w:val="0"/>
                  <w:vAlign w:val="center"/>
                </w:tcPr>
                <w:p w14:paraId="0C14C9BB">
                  <w:pPr>
                    <w:jc w:val="center"/>
                    <w:rPr>
                      <w:rFonts w:hint="default" w:ascii="Times New Roman" w:hAnsi="Times New Roman" w:eastAsia="宋体" w:cs="Times New Roman"/>
                      <w:bCs/>
                      <w:color w:val="auto"/>
                      <w:szCs w:val="21"/>
                      <w:lang w:eastAsia="zh-CN"/>
                    </w:rPr>
                  </w:pPr>
                  <w:r>
                    <w:rPr>
                      <w:rFonts w:hint="default" w:ascii="Times New Roman" w:hAnsi="Times New Roman" w:cs="Times New Roman"/>
                      <w:bCs/>
                      <w:color w:val="auto"/>
                      <w:szCs w:val="21"/>
                      <w:lang w:eastAsia="zh-CN"/>
                    </w:rPr>
                    <w:t>台</w:t>
                  </w:r>
                </w:p>
              </w:tc>
              <w:tc>
                <w:tcPr>
                  <w:tcW w:w="676" w:type="pct"/>
                  <w:noWrap w:val="0"/>
                  <w:vAlign w:val="center"/>
                </w:tcPr>
                <w:p w14:paraId="37CD7A04">
                  <w:pPr>
                    <w:jc w:val="center"/>
                    <w:rPr>
                      <w:rFonts w:hint="default" w:ascii="Times New Roman" w:hAnsi="Times New Roman" w:eastAsia="宋体" w:cs="Times New Roman"/>
                      <w:bCs/>
                      <w:color w:val="auto"/>
                      <w:szCs w:val="21"/>
                      <w:lang w:val="en-US" w:eastAsia="zh-CN"/>
                    </w:rPr>
                  </w:pPr>
                  <w:r>
                    <w:rPr>
                      <w:rFonts w:hint="default" w:ascii="Times New Roman" w:hAnsi="Times New Roman" w:eastAsia="华文中宋" w:cs="Times New Roman"/>
                      <w:color w:val="auto"/>
                      <w:lang w:eastAsia="zh-CN"/>
                    </w:rPr>
                    <w:t>7</w:t>
                  </w:r>
                </w:p>
              </w:tc>
            </w:tr>
            <w:tr w14:paraId="0DA4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66BE10F5">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6</w:t>
                  </w:r>
                </w:p>
              </w:tc>
              <w:tc>
                <w:tcPr>
                  <w:tcW w:w="1861" w:type="pct"/>
                  <w:noWrap w:val="0"/>
                  <w:vAlign w:val="center"/>
                </w:tcPr>
                <w:p w14:paraId="71C9A06C">
                  <w:pPr>
                    <w:widowControl/>
                    <w:jc w:val="center"/>
                    <w:rPr>
                      <w:rFonts w:hint="default" w:ascii="Times New Roman" w:hAnsi="Times New Roman" w:eastAsia="宋体" w:cs="Times New Roman"/>
                      <w:bCs/>
                      <w:color w:val="auto"/>
                      <w:szCs w:val="21"/>
                      <w:lang w:eastAsia="zh-CN"/>
                    </w:rPr>
                  </w:pPr>
                  <w:r>
                    <w:rPr>
                      <w:rFonts w:hint="default" w:ascii="Times New Roman" w:hAnsi="Times New Roman" w:eastAsia="华文中宋" w:cs="Times New Roman"/>
                      <w:color w:val="auto"/>
                    </w:rPr>
                    <w:t>高低混料机</w:t>
                  </w:r>
                </w:p>
              </w:tc>
              <w:tc>
                <w:tcPr>
                  <w:tcW w:w="1427" w:type="pct"/>
                  <w:noWrap w:val="0"/>
                  <w:vAlign w:val="center"/>
                </w:tcPr>
                <w:p w14:paraId="0E0EC26E">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rPr>
                    <w:t>800/2500</w:t>
                  </w:r>
                </w:p>
              </w:tc>
              <w:tc>
                <w:tcPr>
                  <w:tcW w:w="526" w:type="pct"/>
                  <w:noWrap w:val="0"/>
                  <w:vAlign w:val="center"/>
                </w:tcPr>
                <w:p w14:paraId="06871D18">
                  <w:pPr>
                    <w:jc w:val="center"/>
                    <w:rPr>
                      <w:rFonts w:hint="default" w:ascii="Times New Roman" w:hAnsi="Times New Roman" w:eastAsia="宋体" w:cs="Times New Roman"/>
                      <w:bCs/>
                      <w:color w:val="auto"/>
                      <w:szCs w:val="21"/>
                      <w:lang w:eastAsia="zh-CN"/>
                    </w:rPr>
                  </w:pPr>
                  <w:r>
                    <w:rPr>
                      <w:rFonts w:hint="default" w:ascii="Times New Roman" w:hAnsi="Times New Roman" w:cs="Times New Roman"/>
                      <w:bCs/>
                      <w:color w:val="auto"/>
                      <w:szCs w:val="21"/>
                      <w:lang w:eastAsia="zh-CN"/>
                    </w:rPr>
                    <w:t>台</w:t>
                  </w:r>
                </w:p>
              </w:tc>
              <w:tc>
                <w:tcPr>
                  <w:tcW w:w="676" w:type="pct"/>
                  <w:noWrap w:val="0"/>
                  <w:vAlign w:val="center"/>
                </w:tcPr>
                <w:p w14:paraId="4EC6D7A7">
                  <w:pPr>
                    <w:jc w:val="center"/>
                    <w:rPr>
                      <w:rFonts w:hint="default" w:ascii="Times New Roman" w:hAnsi="Times New Roman" w:eastAsia="宋体" w:cs="Times New Roman"/>
                      <w:bCs/>
                      <w:color w:val="auto"/>
                      <w:szCs w:val="21"/>
                      <w:lang w:val="en-US" w:eastAsia="zh-CN"/>
                    </w:rPr>
                  </w:pPr>
                  <w:r>
                    <w:rPr>
                      <w:rFonts w:hint="default" w:ascii="Times New Roman" w:hAnsi="Times New Roman" w:eastAsia="华文中宋" w:cs="Times New Roman"/>
                      <w:color w:val="auto"/>
                      <w:lang w:eastAsia="zh-CN"/>
                    </w:rPr>
                    <w:t>1</w:t>
                  </w:r>
                </w:p>
              </w:tc>
            </w:tr>
            <w:tr w14:paraId="2638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163B4F3D">
                  <w:pPr>
                    <w:jc w:val="center"/>
                    <w:rPr>
                      <w:rFonts w:hint="default" w:ascii="Times New Roman" w:hAnsi="Times New Roman" w:eastAsia="宋体" w:cs="Times New Roman"/>
                      <w:bCs/>
                      <w:color w:val="auto"/>
                      <w:szCs w:val="21"/>
                      <w:lang w:val="en-US" w:eastAsia="zh-CN"/>
                    </w:rPr>
                  </w:pPr>
                  <w:r>
                    <w:rPr>
                      <w:rFonts w:hint="default" w:ascii="Times New Roman" w:hAnsi="Times New Roman" w:cs="Times New Roman"/>
                      <w:bCs/>
                      <w:color w:val="auto"/>
                      <w:szCs w:val="21"/>
                      <w:lang w:val="en-US" w:eastAsia="zh-CN"/>
                    </w:rPr>
                    <w:t>7</w:t>
                  </w:r>
                </w:p>
              </w:tc>
              <w:tc>
                <w:tcPr>
                  <w:tcW w:w="1861" w:type="pct"/>
                  <w:noWrap w:val="0"/>
                  <w:vAlign w:val="center"/>
                </w:tcPr>
                <w:p w14:paraId="68AE9FEA">
                  <w:pPr>
                    <w:widowControl/>
                    <w:jc w:val="center"/>
                    <w:rPr>
                      <w:rFonts w:hint="default" w:ascii="Times New Roman" w:hAnsi="Times New Roman" w:cs="Times New Roman"/>
                      <w:bCs/>
                      <w:color w:val="auto"/>
                      <w:szCs w:val="21"/>
                      <w:lang w:eastAsia="zh-CN"/>
                    </w:rPr>
                  </w:pPr>
                  <w:r>
                    <w:rPr>
                      <w:rFonts w:hint="eastAsia" w:eastAsia="华文中宋" w:cs="Times New Roman"/>
                      <w:color w:val="auto"/>
                      <w:lang w:eastAsia="zh-CN"/>
                    </w:rPr>
                    <w:t>熔融</w:t>
                  </w:r>
                  <w:r>
                    <w:rPr>
                      <w:rFonts w:hint="default" w:ascii="Times New Roman" w:hAnsi="Times New Roman" w:eastAsia="华文中宋" w:cs="Times New Roman"/>
                      <w:color w:val="auto"/>
                    </w:rPr>
                    <w:t>共挤机</w:t>
                  </w:r>
                </w:p>
              </w:tc>
              <w:tc>
                <w:tcPr>
                  <w:tcW w:w="1427" w:type="pct"/>
                  <w:noWrap w:val="0"/>
                  <w:vAlign w:val="center"/>
                </w:tcPr>
                <w:p w14:paraId="1902207F">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rPr>
                    <w:t>45</w:t>
                  </w:r>
                  <w:r>
                    <w:rPr>
                      <w:rFonts w:hint="default" w:ascii="Times New Roman" w:hAnsi="Times New Roman" w:eastAsia="华文中宋" w:cs="Times New Roman"/>
                      <w:color w:val="auto"/>
                      <w:highlight w:val="none"/>
                    </w:rPr>
                    <w:t>机</w:t>
                  </w:r>
                </w:p>
              </w:tc>
              <w:tc>
                <w:tcPr>
                  <w:tcW w:w="526" w:type="pct"/>
                  <w:noWrap w:val="0"/>
                  <w:vAlign w:val="center"/>
                </w:tcPr>
                <w:p w14:paraId="2A1C13FE">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676" w:type="pct"/>
                  <w:noWrap w:val="0"/>
                  <w:vAlign w:val="center"/>
                </w:tcPr>
                <w:p w14:paraId="7354C4A8">
                  <w:pPr>
                    <w:jc w:val="center"/>
                    <w:rPr>
                      <w:rFonts w:hint="default" w:ascii="Times New Roman" w:hAnsi="Times New Roman" w:cs="Times New Roman"/>
                      <w:bCs/>
                      <w:color w:val="auto"/>
                      <w:szCs w:val="21"/>
                      <w:lang w:val="en-US" w:eastAsia="zh-CN"/>
                    </w:rPr>
                  </w:pPr>
                  <w:r>
                    <w:rPr>
                      <w:rFonts w:hint="default" w:ascii="Times New Roman" w:hAnsi="Times New Roman" w:eastAsia="华文中宋" w:cs="Times New Roman"/>
                      <w:color w:val="auto"/>
                      <w:lang w:val="en-US" w:eastAsia="zh-CN"/>
                    </w:rPr>
                    <w:t>7</w:t>
                  </w:r>
                </w:p>
              </w:tc>
            </w:tr>
            <w:tr w14:paraId="70EB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7" w:type="pct"/>
                  <w:noWrap w:val="0"/>
                  <w:vAlign w:val="center"/>
                </w:tcPr>
                <w:p w14:paraId="606EC767">
                  <w:pPr>
                    <w:jc w:val="center"/>
                    <w:rPr>
                      <w:rFonts w:hint="default" w:ascii="Times New Roman" w:hAnsi="Times New Roman" w:eastAsia="宋体" w:cs="Times New Roman"/>
                      <w:bCs/>
                      <w:color w:val="auto"/>
                      <w:szCs w:val="21"/>
                      <w:lang w:val="en-US" w:eastAsia="zh-CN"/>
                    </w:rPr>
                  </w:pPr>
                  <w:r>
                    <w:rPr>
                      <w:rFonts w:hint="default" w:ascii="Times New Roman" w:hAnsi="Times New Roman" w:cs="Times New Roman"/>
                      <w:bCs/>
                      <w:color w:val="auto"/>
                      <w:szCs w:val="21"/>
                      <w:lang w:val="en-US" w:eastAsia="zh-CN"/>
                    </w:rPr>
                    <w:t>8</w:t>
                  </w:r>
                </w:p>
              </w:tc>
              <w:tc>
                <w:tcPr>
                  <w:tcW w:w="1861" w:type="pct"/>
                  <w:noWrap w:val="0"/>
                  <w:vAlign w:val="center"/>
                </w:tcPr>
                <w:p w14:paraId="13C12CBF">
                  <w:pPr>
                    <w:widowControl/>
                    <w:jc w:val="center"/>
                    <w:rPr>
                      <w:rFonts w:hint="default" w:ascii="Times New Roman" w:hAnsi="Times New Roman" w:cs="Times New Roman"/>
                      <w:bCs/>
                      <w:color w:val="auto"/>
                      <w:szCs w:val="21"/>
                      <w:lang w:eastAsia="zh-CN"/>
                    </w:rPr>
                  </w:pPr>
                  <w:r>
                    <w:rPr>
                      <w:rFonts w:hint="default" w:ascii="Times New Roman" w:hAnsi="Times New Roman" w:eastAsia="华文中宋" w:cs="Times New Roman"/>
                      <w:color w:val="auto"/>
                      <w:lang w:val="en-US" w:eastAsia="zh-CN"/>
                    </w:rPr>
                    <w:t>压花机</w:t>
                  </w:r>
                </w:p>
              </w:tc>
              <w:tc>
                <w:tcPr>
                  <w:tcW w:w="1427" w:type="pct"/>
                  <w:noWrap w:val="0"/>
                  <w:vAlign w:val="center"/>
                </w:tcPr>
                <w:p w14:paraId="50E58269">
                  <w:pPr>
                    <w:jc w:val="center"/>
                    <w:rPr>
                      <w:rFonts w:hint="default" w:ascii="Times New Roman" w:hAnsi="Times New Roman" w:eastAsia="宋体" w:cs="Times New Roman"/>
                      <w:bCs/>
                      <w:color w:val="auto"/>
                      <w:szCs w:val="21"/>
                      <w:lang w:val="en-US" w:eastAsia="zh-CN"/>
                    </w:rPr>
                  </w:pPr>
                  <w:r>
                    <w:rPr>
                      <w:rFonts w:hint="default" w:ascii="Times New Roman" w:hAnsi="Times New Roman" w:cs="Times New Roman"/>
                      <w:bCs/>
                      <w:color w:val="auto"/>
                      <w:szCs w:val="21"/>
                      <w:lang w:val="en-US" w:eastAsia="zh-CN"/>
                    </w:rPr>
                    <w:t>/</w:t>
                  </w:r>
                </w:p>
              </w:tc>
              <w:tc>
                <w:tcPr>
                  <w:tcW w:w="526" w:type="pct"/>
                  <w:noWrap w:val="0"/>
                  <w:vAlign w:val="center"/>
                </w:tcPr>
                <w:p w14:paraId="6ADD6877">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676" w:type="pct"/>
                  <w:noWrap w:val="0"/>
                  <w:vAlign w:val="center"/>
                </w:tcPr>
                <w:p w14:paraId="3D215B4C">
                  <w:pPr>
                    <w:jc w:val="center"/>
                    <w:rPr>
                      <w:rFonts w:hint="default" w:ascii="Times New Roman" w:hAnsi="Times New Roman" w:cs="Times New Roman"/>
                      <w:bCs/>
                      <w:color w:val="auto"/>
                      <w:szCs w:val="21"/>
                      <w:lang w:val="en-US" w:eastAsia="zh-CN"/>
                    </w:rPr>
                  </w:pPr>
                  <w:r>
                    <w:rPr>
                      <w:rFonts w:hint="eastAsia" w:ascii="Times New Roman" w:hAnsi="Times New Roman" w:eastAsia="华文中宋" w:cs="Times New Roman"/>
                      <w:color w:val="auto"/>
                      <w:lang w:val="en-US" w:eastAsia="zh-CN"/>
                    </w:rPr>
                    <w:t>7</w:t>
                  </w:r>
                </w:p>
              </w:tc>
            </w:tr>
            <w:tr w14:paraId="14A0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noWrap w:val="0"/>
                  <w:vAlign w:val="center"/>
                </w:tcPr>
                <w:p w14:paraId="07EA15CB">
                  <w:pPr>
                    <w:jc w:val="center"/>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PE板材生产线</w:t>
                  </w:r>
                </w:p>
              </w:tc>
            </w:tr>
            <w:tr w14:paraId="4FAB0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50" w:type="dxa"/>
                  <w:noWrap w:val="0"/>
                  <w:vAlign w:val="center"/>
                </w:tcPr>
                <w:p w14:paraId="1F9935A5">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1</w:t>
                  </w:r>
                </w:p>
              </w:tc>
              <w:tc>
                <w:tcPr>
                  <w:tcW w:w="3123" w:type="dxa"/>
                  <w:noWrap w:val="0"/>
                  <w:vAlign w:val="center"/>
                </w:tcPr>
                <w:p w14:paraId="7BF3EF2E">
                  <w:pPr>
                    <w:widowControl/>
                    <w:jc w:val="center"/>
                    <w:rPr>
                      <w:rFonts w:hint="default" w:ascii="Times New Roman" w:hAnsi="Times New Roman" w:cs="Times New Roman"/>
                      <w:bCs/>
                      <w:color w:val="auto"/>
                      <w:szCs w:val="21"/>
                      <w:lang w:eastAsia="zh-CN"/>
                    </w:rPr>
                  </w:pPr>
                  <w:r>
                    <w:rPr>
                      <w:rFonts w:hint="default" w:ascii="Times New Roman" w:hAnsi="Times New Roman" w:eastAsia="华文中宋" w:cs="Times New Roman"/>
                      <w:color w:val="auto"/>
                    </w:rPr>
                    <w:t>挤出机</w:t>
                  </w:r>
                </w:p>
              </w:tc>
              <w:tc>
                <w:tcPr>
                  <w:tcW w:w="2395" w:type="dxa"/>
                  <w:noWrap w:val="0"/>
                  <w:vAlign w:val="center"/>
                </w:tcPr>
                <w:p w14:paraId="517C5E7F">
                  <w:pPr>
                    <w:widowControl/>
                    <w:jc w:val="center"/>
                    <w:rPr>
                      <w:rFonts w:hint="default" w:ascii="Times New Roman" w:hAnsi="Times New Roman" w:cs="Times New Roman"/>
                      <w:bCs/>
                      <w:color w:val="auto"/>
                      <w:szCs w:val="21"/>
                    </w:rPr>
                  </w:pPr>
                  <w:r>
                    <w:rPr>
                      <w:rFonts w:hint="default" w:ascii="Times New Roman" w:hAnsi="Times New Roman" w:eastAsia="宋体" w:cs="Times New Roman"/>
                      <w:color w:val="auto"/>
                      <w:kern w:val="0"/>
                      <w:sz w:val="22"/>
                      <w:szCs w:val="22"/>
                    </w:rPr>
                    <w:t>SJZ65/13</w:t>
                  </w:r>
                  <w:r>
                    <w:rPr>
                      <w:rFonts w:hint="default" w:ascii="Times New Roman" w:hAnsi="Times New Roman" w:cs="Times New Roman"/>
                      <w:color w:val="auto"/>
                      <w:kern w:val="0"/>
                      <w:sz w:val="22"/>
                      <w:szCs w:val="22"/>
                      <w:lang w:val="en-US" w:eastAsia="zh-CN"/>
                    </w:rPr>
                    <w:t>0</w:t>
                  </w:r>
                </w:p>
              </w:tc>
              <w:tc>
                <w:tcPr>
                  <w:tcW w:w="526" w:type="pct"/>
                  <w:noWrap w:val="0"/>
                  <w:vAlign w:val="center"/>
                </w:tcPr>
                <w:p w14:paraId="4CA0E037">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1139" w:type="dxa"/>
                  <w:noWrap w:val="0"/>
                  <w:vAlign w:val="center"/>
                </w:tcPr>
                <w:p w14:paraId="5341F1EF">
                  <w:pPr>
                    <w:jc w:val="center"/>
                    <w:rPr>
                      <w:rFonts w:hint="default" w:ascii="Times New Roman" w:hAnsi="Times New Roman" w:cs="Times New Roman"/>
                      <w:bCs/>
                      <w:color w:val="auto"/>
                      <w:szCs w:val="21"/>
                      <w:lang w:val="en-US" w:eastAsia="zh-CN"/>
                    </w:rPr>
                  </w:pPr>
                  <w:r>
                    <w:rPr>
                      <w:rFonts w:hint="default" w:ascii="Times New Roman" w:hAnsi="Times New Roman" w:eastAsia="华文中宋" w:cs="Times New Roman"/>
                      <w:color w:val="auto"/>
                    </w:rPr>
                    <w:t>3</w:t>
                  </w:r>
                </w:p>
              </w:tc>
            </w:tr>
            <w:tr w14:paraId="0E97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 w:type="dxa"/>
                  <w:noWrap w:val="0"/>
                  <w:vAlign w:val="center"/>
                </w:tcPr>
                <w:p w14:paraId="01DF1535">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2</w:t>
                  </w:r>
                </w:p>
              </w:tc>
              <w:tc>
                <w:tcPr>
                  <w:tcW w:w="3123" w:type="dxa"/>
                  <w:noWrap w:val="0"/>
                  <w:vAlign w:val="center"/>
                </w:tcPr>
                <w:p w14:paraId="5745313B">
                  <w:pPr>
                    <w:widowControl/>
                    <w:jc w:val="center"/>
                    <w:rPr>
                      <w:rFonts w:hint="default" w:ascii="Times New Roman" w:hAnsi="Times New Roman" w:cs="Times New Roman"/>
                      <w:bCs/>
                      <w:color w:val="auto"/>
                      <w:szCs w:val="21"/>
                      <w:lang w:eastAsia="zh-CN"/>
                    </w:rPr>
                  </w:pPr>
                  <w:r>
                    <w:rPr>
                      <w:rFonts w:hint="default" w:ascii="Times New Roman" w:hAnsi="Times New Roman" w:eastAsia="华文中宋" w:cs="Times New Roman"/>
                      <w:color w:val="auto"/>
                    </w:rPr>
                    <w:t>定型台</w:t>
                  </w:r>
                </w:p>
              </w:tc>
              <w:tc>
                <w:tcPr>
                  <w:tcW w:w="2395" w:type="dxa"/>
                  <w:noWrap w:val="0"/>
                  <w:vAlign w:val="center"/>
                </w:tcPr>
                <w:p w14:paraId="4C5A3ACA">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lang w:val="en-US" w:eastAsia="zh-CN"/>
                    </w:rPr>
                    <w:t>4.5米</w:t>
                  </w:r>
                </w:p>
              </w:tc>
              <w:tc>
                <w:tcPr>
                  <w:tcW w:w="526" w:type="pct"/>
                  <w:noWrap w:val="0"/>
                  <w:vAlign w:val="center"/>
                </w:tcPr>
                <w:p w14:paraId="7A8BEE1C">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1139" w:type="dxa"/>
                  <w:noWrap w:val="0"/>
                  <w:vAlign w:val="center"/>
                </w:tcPr>
                <w:p w14:paraId="33906846">
                  <w:pPr>
                    <w:jc w:val="center"/>
                    <w:rPr>
                      <w:rFonts w:hint="default" w:ascii="Times New Roman" w:hAnsi="Times New Roman" w:cs="Times New Roman"/>
                      <w:bCs/>
                      <w:color w:val="auto"/>
                      <w:szCs w:val="21"/>
                      <w:lang w:val="en-US" w:eastAsia="zh-CN"/>
                    </w:rPr>
                  </w:pPr>
                  <w:r>
                    <w:rPr>
                      <w:rFonts w:hint="default" w:ascii="Times New Roman" w:hAnsi="Times New Roman" w:eastAsia="华文中宋" w:cs="Times New Roman"/>
                      <w:color w:val="auto"/>
                      <w:lang w:val="en-US" w:eastAsia="zh-CN"/>
                    </w:rPr>
                    <w:t>3</w:t>
                  </w:r>
                </w:p>
              </w:tc>
            </w:tr>
            <w:tr w14:paraId="79FC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 w:type="dxa"/>
                  <w:noWrap w:val="0"/>
                  <w:vAlign w:val="center"/>
                </w:tcPr>
                <w:p w14:paraId="066FCF6F">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3</w:t>
                  </w:r>
                </w:p>
              </w:tc>
              <w:tc>
                <w:tcPr>
                  <w:tcW w:w="3123" w:type="dxa"/>
                  <w:noWrap w:val="0"/>
                  <w:vAlign w:val="center"/>
                </w:tcPr>
                <w:p w14:paraId="64BDF709">
                  <w:pPr>
                    <w:widowControl/>
                    <w:jc w:val="center"/>
                    <w:rPr>
                      <w:rFonts w:hint="default" w:ascii="Times New Roman" w:hAnsi="Times New Roman" w:cs="Times New Roman"/>
                      <w:bCs/>
                      <w:color w:val="auto"/>
                      <w:szCs w:val="21"/>
                      <w:lang w:eastAsia="zh-CN"/>
                    </w:rPr>
                  </w:pPr>
                  <w:r>
                    <w:rPr>
                      <w:rFonts w:hint="default" w:ascii="Times New Roman" w:hAnsi="Times New Roman" w:eastAsia="华文中宋" w:cs="Times New Roman"/>
                      <w:color w:val="auto"/>
                    </w:rPr>
                    <w:t>切割锯</w:t>
                  </w:r>
                </w:p>
              </w:tc>
              <w:tc>
                <w:tcPr>
                  <w:tcW w:w="2395" w:type="dxa"/>
                  <w:noWrap w:val="0"/>
                  <w:vAlign w:val="center"/>
                </w:tcPr>
                <w:p w14:paraId="5DAD9DCE">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lang w:val="en-US" w:eastAsia="zh-CN"/>
                    </w:rPr>
                    <w:t>1.5米</w:t>
                  </w:r>
                </w:p>
              </w:tc>
              <w:tc>
                <w:tcPr>
                  <w:tcW w:w="526" w:type="pct"/>
                  <w:noWrap w:val="0"/>
                  <w:vAlign w:val="center"/>
                </w:tcPr>
                <w:p w14:paraId="0766053A">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1139" w:type="dxa"/>
                  <w:noWrap w:val="0"/>
                  <w:vAlign w:val="center"/>
                </w:tcPr>
                <w:p w14:paraId="0ACA08F0">
                  <w:pPr>
                    <w:jc w:val="center"/>
                    <w:rPr>
                      <w:rFonts w:hint="default" w:ascii="Times New Roman" w:hAnsi="Times New Roman" w:cs="Times New Roman"/>
                      <w:bCs/>
                      <w:color w:val="auto"/>
                      <w:szCs w:val="21"/>
                      <w:lang w:val="en-US" w:eastAsia="zh-CN"/>
                    </w:rPr>
                  </w:pPr>
                  <w:r>
                    <w:rPr>
                      <w:rFonts w:hint="default" w:ascii="Times New Roman" w:hAnsi="Times New Roman" w:eastAsia="华文中宋" w:cs="Times New Roman"/>
                      <w:color w:val="auto"/>
                      <w:lang w:val="en-US" w:eastAsia="zh-CN"/>
                    </w:rPr>
                    <w:t>3</w:t>
                  </w:r>
                </w:p>
              </w:tc>
            </w:tr>
            <w:tr w14:paraId="0207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 w:type="dxa"/>
                  <w:noWrap w:val="0"/>
                  <w:vAlign w:val="center"/>
                </w:tcPr>
                <w:p w14:paraId="5A436A8C">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4</w:t>
                  </w:r>
                </w:p>
              </w:tc>
              <w:tc>
                <w:tcPr>
                  <w:tcW w:w="3123" w:type="dxa"/>
                  <w:noWrap w:val="0"/>
                  <w:vAlign w:val="center"/>
                </w:tcPr>
                <w:p w14:paraId="17AB0119">
                  <w:pPr>
                    <w:widowControl/>
                    <w:jc w:val="center"/>
                    <w:rPr>
                      <w:rFonts w:hint="default" w:ascii="Times New Roman" w:hAnsi="Times New Roman" w:cs="Times New Roman"/>
                      <w:bCs/>
                      <w:color w:val="auto"/>
                      <w:szCs w:val="21"/>
                      <w:lang w:eastAsia="zh-CN"/>
                    </w:rPr>
                  </w:pPr>
                  <w:r>
                    <w:rPr>
                      <w:rFonts w:hint="default" w:ascii="Times New Roman" w:hAnsi="Times New Roman" w:eastAsia="华文中宋" w:cs="Times New Roman"/>
                      <w:color w:val="auto"/>
                    </w:rPr>
                    <w:t>翻转架</w:t>
                  </w:r>
                </w:p>
              </w:tc>
              <w:tc>
                <w:tcPr>
                  <w:tcW w:w="2395" w:type="dxa"/>
                  <w:noWrap w:val="0"/>
                  <w:vAlign w:val="center"/>
                </w:tcPr>
                <w:p w14:paraId="0412B901">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lang w:val="en-US" w:eastAsia="zh-CN"/>
                    </w:rPr>
                    <w:t>4米</w:t>
                  </w:r>
                </w:p>
              </w:tc>
              <w:tc>
                <w:tcPr>
                  <w:tcW w:w="526" w:type="pct"/>
                  <w:noWrap w:val="0"/>
                  <w:vAlign w:val="center"/>
                </w:tcPr>
                <w:p w14:paraId="21F1C08A">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1139" w:type="dxa"/>
                  <w:noWrap w:val="0"/>
                  <w:vAlign w:val="center"/>
                </w:tcPr>
                <w:p w14:paraId="2AA3F726">
                  <w:pPr>
                    <w:jc w:val="center"/>
                    <w:rPr>
                      <w:rFonts w:hint="default" w:ascii="Times New Roman" w:hAnsi="Times New Roman" w:cs="Times New Roman"/>
                      <w:bCs/>
                      <w:color w:val="auto"/>
                      <w:szCs w:val="21"/>
                      <w:lang w:val="en-US" w:eastAsia="zh-CN"/>
                    </w:rPr>
                  </w:pPr>
                  <w:r>
                    <w:rPr>
                      <w:rFonts w:hint="default" w:ascii="Times New Roman" w:hAnsi="Times New Roman" w:eastAsia="华文中宋" w:cs="Times New Roman"/>
                      <w:color w:val="auto"/>
                      <w:lang w:val="en-US" w:eastAsia="zh-CN"/>
                    </w:rPr>
                    <w:t>3</w:t>
                  </w:r>
                </w:p>
              </w:tc>
            </w:tr>
            <w:tr w14:paraId="48684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 w:type="dxa"/>
                  <w:noWrap w:val="0"/>
                  <w:vAlign w:val="center"/>
                </w:tcPr>
                <w:p w14:paraId="0026AD99">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5</w:t>
                  </w:r>
                </w:p>
              </w:tc>
              <w:tc>
                <w:tcPr>
                  <w:tcW w:w="3123" w:type="dxa"/>
                  <w:noWrap w:val="0"/>
                  <w:vAlign w:val="center"/>
                </w:tcPr>
                <w:p w14:paraId="2512A916">
                  <w:pPr>
                    <w:widowControl/>
                    <w:jc w:val="center"/>
                    <w:rPr>
                      <w:rFonts w:hint="default" w:ascii="Times New Roman" w:hAnsi="Times New Roman" w:cs="Times New Roman"/>
                      <w:bCs/>
                      <w:color w:val="auto"/>
                      <w:szCs w:val="21"/>
                      <w:lang w:eastAsia="zh-CN"/>
                    </w:rPr>
                  </w:pPr>
                  <w:r>
                    <w:rPr>
                      <w:rFonts w:hint="default" w:ascii="Times New Roman" w:hAnsi="Times New Roman" w:eastAsia="华文中宋" w:cs="Times New Roman"/>
                      <w:color w:val="auto"/>
                    </w:rPr>
                    <w:t>砂光打磨机</w:t>
                  </w:r>
                </w:p>
              </w:tc>
              <w:tc>
                <w:tcPr>
                  <w:tcW w:w="2395" w:type="dxa"/>
                  <w:noWrap w:val="0"/>
                  <w:vAlign w:val="center"/>
                </w:tcPr>
                <w:p w14:paraId="6D4C027E">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lang w:val="en-US" w:eastAsia="zh-CN"/>
                    </w:rPr>
                    <w:t>/</w:t>
                  </w:r>
                </w:p>
              </w:tc>
              <w:tc>
                <w:tcPr>
                  <w:tcW w:w="526" w:type="pct"/>
                  <w:noWrap w:val="0"/>
                  <w:vAlign w:val="center"/>
                </w:tcPr>
                <w:p w14:paraId="46E13ADE">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1139" w:type="dxa"/>
                  <w:noWrap w:val="0"/>
                  <w:vAlign w:val="center"/>
                </w:tcPr>
                <w:p w14:paraId="3786D518">
                  <w:pPr>
                    <w:jc w:val="center"/>
                    <w:rPr>
                      <w:rFonts w:hint="default" w:ascii="Times New Roman" w:hAnsi="Times New Roman" w:cs="Times New Roman"/>
                      <w:bCs/>
                      <w:color w:val="auto"/>
                      <w:szCs w:val="21"/>
                      <w:lang w:val="en-US" w:eastAsia="zh-CN"/>
                    </w:rPr>
                  </w:pPr>
                  <w:r>
                    <w:rPr>
                      <w:rFonts w:hint="default" w:ascii="Times New Roman" w:hAnsi="Times New Roman" w:eastAsia="华文中宋" w:cs="Times New Roman"/>
                      <w:color w:val="auto"/>
                      <w:lang w:val="en-US" w:eastAsia="zh-CN"/>
                    </w:rPr>
                    <w:t>1</w:t>
                  </w:r>
                </w:p>
              </w:tc>
            </w:tr>
            <w:tr w14:paraId="2AE99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 w:type="dxa"/>
                  <w:noWrap w:val="0"/>
                  <w:vAlign w:val="center"/>
                </w:tcPr>
                <w:p w14:paraId="05052820">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rPr>
                    <w:t>6</w:t>
                  </w:r>
                </w:p>
              </w:tc>
              <w:tc>
                <w:tcPr>
                  <w:tcW w:w="3123" w:type="dxa"/>
                  <w:noWrap w:val="0"/>
                  <w:vAlign w:val="center"/>
                </w:tcPr>
                <w:p w14:paraId="7C708E8E">
                  <w:pPr>
                    <w:widowControl/>
                    <w:jc w:val="center"/>
                    <w:rPr>
                      <w:rFonts w:hint="default" w:ascii="Times New Roman" w:hAnsi="Times New Roman" w:cs="Times New Roman"/>
                      <w:bCs/>
                      <w:color w:val="auto"/>
                      <w:szCs w:val="21"/>
                      <w:lang w:eastAsia="zh-CN"/>
                    </w:rPr>
                  </w:pPr>
                  <w:r>
                    <w:rPr>
                      <w:rFonts w:hint="default" w:ascii="Times New Roman" w:hAnsi="Times New Roman" w:eastAsia="华文中宋" w:cs="Times New Roman"/>
                      <w:color w:val="auto"/>
                    </w:rPr>
                    <w:t>切割机</w:t>
                  </w:r>
                </w:p>
              </w:tc>
              <w:tc>
                <w:tcPr>
                  <w:tcW w:w="2395" w:type="dxa"/>
                  <w:noWrap w:val="0"/>
                  <w:vAlign w:val="center"/>
                </w:tcPr>
                <w:p w14:paraId="5C80A332">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lang w:val="en-US" w:eastAsia="zh-CN"/>
                    </w:rPr>
                    <w:t>/</w:t>
                  </w:r>
                </w:p>
              </w:tc>
              <w:tc>
                <w:tcPr>
                  <w:tcW w:w="526" w:type="pct"/>
                  <w:noWrap w:val="0"/>
                  <w:vAlign w:val="center"/>
                </w:tcPr>
                <w:p w14:paraId="5082E477">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1139" w:type="dxa"/>
                  <w:noWrap w:val="0"/>
                  <w:vAlign w:val="center"/>
                </w:tcPr>
                <w:p w14:paraId="33412552">
                  <w:pPr>
                    <w:jc w:val="center"/>
                    <w:rPr>
                      <w:rFonts w:hint="default" w:ascii="Times New Roman" w:hAnsi="Times New Roman" w:cs="Times New Roman"/>
                      <w:bCs/>
                      <w:color w:val="auto"/>
                      <w:szCs w:val="21"/>
                      <w:lang w:val="en-US" w:eastAsia="zh-CN"/>
                    </w:rPr>
                  </w:pPr>
                  <w:r>
                    <w:rPr>
                      <w:rFonts w:hint="default" w:ascii="Times New Roman" w:hAnsi="Times New Roman" w:eastAsia="华文中宋" w:cs="Times New Roman"/>
                      <w:color w:val="auto"/>
                      <w:lang w:val="en-US" w:eastAsia="zh-CN"/>
                    </w:rPr>
                    <w:t>1</w:t>
                  </w:r>
                </w:p>
              </w:tc>
            </w:tr>
            <w:tr w14:paraId="2D08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 w:type="dxa"/>
                  <w:noWrap w:val="0"/>
                  <w:vAlign w:val="center"/>
                </w:tcPr>
                <w:p w14:paraId="56137599">
                  <w:pPr>
                    <w:jc w:val="center"/>
                    <w:rPr>
                      <w:rFonts w:hint="default" w:ascii="Times New Roman" w:hAnsi="Times New Roman" w:cs="Times New Roman"/>
                      <w:bCs/>
                      <w:color w:val="auto"/>
                      <w:szCs w:val="21"/>
                    </w:rPr>
                  </w:pPr>
                  <w:r>
                    <w:rPr>
                      <w:rFonts w:hint="default" w:ascii="Times New Roman" w:hAnsi="Times New Roman" w:cs="Times New Roman"/>
                      <w:bCs/>
                      <w:color w:val="auto"/>
                      <w:szCs w:val="21"/>
                      <w:lang w:val="en-US" w:eastAsia="zh-CN"/>
                    </w:rPr>
                    <w:t>7</w:t>
                  </w:r>
                </w:p>
              </w:tc>
              <w:tc>
                <w:tcPr>
                  <w:tcW w:w="3123" w:type="dxa"/>
                  <w:noWrap w:val="0"/>
                  <w:vAlign w:val="center"/>
                </w:tcPr>
                <w:p w14:paraId="7FA733E9">
                  <w:pPr>
                    <w:widowControl/>
                    <w:jc w:val="center"/>
                    <w:rPr>
                      <w:rFonts w:hint="default" w:ascii="Times New Roman" w:hAnsi="Times New Roman" w:cs="Times New Roman"/>
                      <w:bCs/>
                      <w:color w:val="auto"/>
                      <w:szCs w:val="21"/>
                      <w:lang w:eastAsia="zh-CN"/>
                    </w:rPr>
                  </w:pPr>
                  <w:r>
                    <w:rPr>
                      <w:rFonts w:hint="default" w:ascii="Times New Roman" w:hAnsi="Times New Roman" w:eastAsia="华文中宋" w:cs="Times New Roman"/>
                      <w:color w:val="auto"/>
                      <w:lang w:val="en-US" w:eastAsia="zh-CN"/>
                    </w:rPr>
                    <w:t>压花机</w:t>
                  </w:r>
                </w:p>
              </w:tc>
              <w:tc>
                <w:tcPr>
                  <w:tcW w:w="2395" w:type="dxa"/>
                  <w:noWrap w:val="0"/>
                  <w:vAlign w:val="center"/>
                </w:tcPr>
                <w:p w14:paraId="41D1BCD6">
                  <w:pPr>
                    <w:widowControl/>
                    <w:jc w:val="center"/>
                    <w:rPr>
                      <w:rFonts w:hint="default" w:ascii="Times New Roman" w:hAnsi="Times New Roman" w:cs="Times New Roman"/>
                      <w:bCs/>
                      <w:color w:val="auto"/>
                      <w:szCs w:val="21"/>
                    </w:rPr>
                  </w:pPr>
                  <w:r>
                    <w:rPr>
                      <w:rFonts w:hint="default" w:ascii="Times New Roman" w:hAnsi="Times New Roman" w:eastAsia="华文中宋" w:cs="Times New Roman"/>
                      <w:color w:val="auto"/>
                      <w:lang w:val="en-US" w:eastAsia="zh-CN"/>
                    </w:rPr>
                    <w:t>/</w:t>
                  </w:r>
                </w:p>
              </w:tc>
              <w:tc>
                <w:tcPr>
                  <w:tcW w:w="526" w:type="pct"/>
                  <w:noWrap w:val="0"/>
                  <w:vAlign w:val="center"/>
                </w:tcPr>
                <w:p w14:paraId="5A759F17">
                  <w:pPr>
                    <w:jc w:val="center"/>
                    <w:rPr>
                      <w:rFonts w:hint="default" w:ascii="Times New Roman" w:hAnsi="Times New Roman" w:cs="Times New Roman"/>
                      <w:bCs/>
                      <w:color w:val="auto"/>
                      <w:szCs w:val="21"/>
                      <w:lang w:eastAsia="zh-CN"/>
                    </w:rPr>
                  </w:pPr>
                  <w:r>
                    <w:rPr>
                      <w:rFonts w:hint="default" w:ascii="Times New Roman" w:hAnsi="Times New Roman" w:cs="Times New Roman"/>
                      <w:bCs/>
                      <w:color w:val="auto"/>
                      <w:szCs w:val="21"/>
                      <w:lang w:eastAsia="zh-CN"/>
                    </w:rPr>
                    <w:t>台</w:t>
                  </w:r>
                </w:p>
              </w:tc>
              <w:tc>
                <w:tcPr>
                  <w:tcW w:w="1139" w:type="dxa"/>
                  <w:noWrap w:val="0"/>
                  <w:vAlign w:val="center"/>
                </w:tcPr>
                <w:p w14:paraId="6492E5B2">
                  <w:pPr>
                    <w:jc w:val="center"/>
                    <w:rPr>
                      <w:rFonts w:hint="default" w:ascii="Times New Roman" w:hAnsi="Times New Roman" w:cs="Times New Roman"/>
                      <w:bCs/>
                      <w:color w:val="auto"/>
                      <w:szCs w:val="21"/>
                      <w:lang w:val="en-US" w:eastAsia="zh-CN"/>
                    </w:rPr>
                  </w:pPr>
                  <w:r>
                    <w:rPr>
                      <w:rFonts w:hint="eastAsia" w:ascii="Times New Roman" w:hAnsi="Times New Roman" w:eastAsia="华文中宋" w:cs="Times New Roman"/>
                      <w:color w:val="auto"/>
                      <w:lang w:val="en-US" w:eastAsia="zh-CN"/>
                    </w:rPr>
                    <w:t>3</w:t>
                  </w:r>
                </w:p>
              </w:tc>
            </w:tr>
          </w:tbl>
          <w:p w14:paraId="517433C5">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eastAsia" w:ascii="Times New Roman" w:hAnsi="Times New Roman" w:eastAsia="宋体" w:cs="Times New Roman"/>
                <w:b w:val="0"/>
                <w:bCs w:val="0"/>
                <w:color w:val="auto"/>
                <w:sz w:val="24"/>
                <w:szCs w:val="24"/>
                <w:lang w:eastAsia="zh-CN"/>
              </w:rPr>
            </w:pPr>
            <w:r>
              <w:rPr>
                <w:rFonts w:hint="eastAsia" w:cs="Times New Roman"/>
                <w:b/>
                <w:bCs/>
                <w:color w:val="auto"/>
                <w:sz w:val="24"/>
                <w:szCs w:val="24"/>
                <w:lang w:val="en-US" w:eastAsia="zh-CN"/>
              </w:rPr>
              <w:t>4.</w:t>
            </w:r>
            <w:r>
              <w:rPr>
                <w:rFonts w:hint="eastAsia" w:ascii="Times New Roman" w:hAnsi="Times New Roman" w:eastAsia="宋体" w:cs="Times New Roman"/>
                <w:b/>
                <w:bCs/>
                <w:color w:val="auto"/>
                <w:sz w:val="24"/>
                <w:szCs w:val="24"/>
                <w:lang w:eastAsia="zh-CN"/>
              </w:rPr>
              <w:t>项目原辅材料及资源、能源消耗</w:t>
            </w:r>
          </w:p>
          <w:p w14:paraId="3C956A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color w:val="auto"/>
                <w:sz w:val="24"/>
                <w:szCs w:val="24"/>
              </w:rPr>
              <w:t>项目主要原</w:t>
            </w:r>
            <w:r>
              <w:rPr>
                <w:rFonts w:hint="default" w:ascii="Times New Roman" w:hAnsi="Times New Roman" w:eastAsia="宋体" w:cs="Times New Roman"/>
                <w:color w:val="000000" w:themeColor="text1"/>
                <w:sz w:val="24"/>
                <w:szCs w:val="24"/>
                <w14:textFill>
                  <w14:solidFill>
                    <w14:schemeClr w14:val="tx1"/>
                  </w14:solidFill>
                </w14:textFill>
              </w:rPr>
              <w:t>辅材料及</w:t>
            </w:r>
            <w:r>
              <w:rPr>
                <w:rFonts w:hint="eastAsia" w:ascii="Times New Roman" w:hAnsi="Times New Roman" w:eastAsia="宋体" w:cs="Times New Roman"/>
                <w:b w:val="0"/>
                <w:bCs w:val="0"/>
                <w:color w:val="000000" w:themeColor="text1"/>
                <w:sz w:val="24"/>
                <w:szCs w:val="24"/>
                <w:lang w:eastAsia="zh-CN"/>
                <w14:textFill>
                  <w14:solidFill>
                    <w14:schemeClr w14:val="tx1"/>
                  </w14:solidFill>
                </w14:textFill>
              </w:rPr>
              <w:t>资源、能源</w:t>
            </w:r>
            <w:r>
              <w:rPr>
                <w:rFonts w:hint="default" w:ascii="Times New Roman" w:hAnsi="Times New Roman" w:eastAsia="宋体" w:cs="Times New Roman"/>
                <w:color w:val="000000" w:themeColor="text1"/>
                <w:sz w:val="24"/>
                <w:szCs w:val="24"/>
                <w14:textFill>
                  <w14:solidFill>
                    <w14:schemeClr w14:val="tx1"/>
                  </w14:solidFill>
                </w14:textFill>
              </w:rPr>
              <w:t>消耗见表</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cs="Times New Roman"/>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14:textFill>
                  <w14:solidFill>
                    <w14:schemeClr w14:val="tx1"/>
                  </w14:solidFill>
                </w14:textFill>
              </w:rPr>
              <w:t>。</w:t>
            </w:r>
          </w:p>
          <w:p w14:paraId="5959117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center"/>
              <w:textAlignment w:val="auto"/>
              <w:rPr>
                <w:rFonts w:hint="default" w:ascii="Times New Roman" w:hAnsi="Times New Roman" w:eastAsia="宋体" w:cs="Times New Roman"/>
                <w:b w:val="0"/>
                <w:bCs w:val="0"/>
                <w:color w:val="auto"/>
                <w:sz w:val="24"/>
                <w:szCs w:val="24"/>
                <w:highlight w:val="none"/>
                <w:lang w:val="en-US" w:eastAsia="zh-CN"/>
              </w:rPr>
            </w:pPr>
            <w:r>
              <w:rPr>
                <w:b/>
                <w:bCs/>
                <w:color w:val="000000"/>
                <w:sz w:val="24"/>
              </w:rPr>
              <w:t>表</w:t>
            </w:r>
            <w:r>
              <w:rPr>
                <w:rFonts w:hint="eastAsia"/>
                <w:b/>
                <w:bCs/>
                <w:color w:val="000000"/>
                <w:sz w:val="24"/>
                <w:lang w:val="en-US" w:eastAsia="zh-CN"/>
              </w:rPr>
              <w:t>2.6</w:t>
            </w:r>
            <w:r>
              <w:rPr>
                <w:b/>
                <w:bCs/>
                <w:color w:val="000000"/>
                <w:sz w:val="24"/>
              </w:rPr>
              <w:t xml:space="preserve">  </w:t>
            </w:r>
            <w:r>
              <w:rPr>
                <w:b/>
                <w:bCs/>
                <w:color w:val="000000"/>
                <w:sz w:val="24"/>
                <w:highlight w:val="none"/>
              </w:rPr>
              <w:t>原辅材料</w:t>
            </w:r>
            <w:r>
              <w:rPr>
                <w:rFonts w:hint="eastAsia"/>
                <w:b/>
                <w:bCs/>
                <w:color w:val="000000"/>
                <w:sz w:val="24"/>
                <w:highlight w:val="none"/>
                <w:lang w:val="en-US" w:eastAsia="zh-CN"/>
              </w:rPr>
              <w:t>及能源</w:t>
            </w:r>
            <w:r>
              <w:rPr>
                <w:b/>
                <w:bCs/>
                <w:color w:val="000000"/>
                <w:sz w:val="24"/>
                <w:highlight w:val="none"/>
              </w:rPr>
              <w:t>消耗一览表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246"/>
              <w:gridCol w:w="1070"/>
              <w:gridCol w:w="1303"/>
              <w:gridCol w:w="1514"/>
              <w:gridCol w:w="1411"/>
              <w:gridCol w:w="1090"/>
            </w:tblGrid>
            <w:tr w14:paraId="50A92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308A803B">
                  <w:pPr>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序号</w:t>
                  </w:r>
                </w:p>
              </w:tc>
              <w:tc>
                <w:tcPr>
                  <w:tcW w:w="1256" w:type="dxa"/>
                  <w:vAlign w:val="center"/>
                </w:tcPr>
                <w:p w14:paraId="4CBA920E">
                  <w:pPr>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名称</w:t>
                  </w:r>
                </w:p>
              </w:tc>
              <w:tc>
                <w:tcPr>
                  <w:tcW w:w="1074" w:type="dxa"/>
                  <w:vAlign w:val="center"/>
                </w:tcPr>
                <w:p w14:paraId="16E6700B">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单位</w:t>
                  </w:r>
                </w:p>
              </w:tc>
              <w:tc>
                <w:tcPr>
                  <w:tcW w:w="1313" w:type="dxa"/>
                  <w:vAlign w:val="center"/>
                </w:tcPr>
                <w:p w14:paraId="6A133D20">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年用量</w:t>
                  </w:r>
                </w:p>
              </w:tc>
              <w:tc>
                <w:tcPr>
                  <w:tcW w:w="1527" w:type="dxa"/>
                  <w:vAlign w:val="center"/>
                </w:tcPr>
                <w:p w14:paraId="2B3FBAAA">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规格</w:t>
                  </w:r>
                </w:p>
              </w:tc>
              <w:tc>
                <w:tcPr>
                  <w:tcW w:w="1426" w:type="dxa"/>
                  <w:vAlign w:val="center"/>
                </w:tcPr>
                <w:p w14:paraId="45DD4B3B">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性状</w:t>
                  </w:r>
                </w:p>
              </w:tc>
              <w:tc>
                <w:tcPr>
                  <w:tcW w:w="1100" w:type="dxa"/>
                  <w:vAlign w:val="center"/>
                </w:tcPr>
                <w:p w14:paraId="5A8885B8">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备注</w:t>
                  </w:r>
                </w:p>
              </w:tc>
            </w:tr>
            <w:tr w14:paraId="42BAD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7" w:type="dxa"/>
                  <w:gridSpan w:val="7"/>
                  <w:vAlign w:val="center"/>
                </w:tcPr>
                <w:p w14:paraId="1633FB53">
                  <w:pPr>
                    <w:tabs>
                      <w:tab w:val="left" w:pos="387"/>
                    </w:tabs>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b/>
                      <w:bCs/>
                      <w:color w:val="000000"/>
                      <w:szCs w:val="21"/>
                    </w:rPr>
                    <w:t>主要原辅材料</w:t>
                  </w:r>
                  <w:r>
                    <w:rPr>
                      <w:rFonts w:hint="eastAsia" w:ascii="Times New Roman" w:hAnsi="Times New Roman" w:eastAsia="宋体" w:cs="Times New Roman"/>
                      <w:b/>
                      <w:bCs/>
                      <w:color w:val="000000"/>
                      <w:szCs w:val="21"/>
                    </w:rPr>
                    <w:t>消耗</w:t>
                  </w:r>
                </w:p>
              </w:tc>
            </w:tr>
            <w:tr w14:paraId="6359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7" w:type="dxa"/>
                  <w:gridSpan w:val="7"/>
                  <w:vAlign w:val="center"/>
                </w:tcPr>
                <w:p w14:paraId="4A24D8D3">
                  <w:pPr>
                    <w:tabs>
                      <w:tab w:val="left" w:pos="387"/>
                    </w:tabs>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PVC产品</w:t>
                  </w:r>
                </w:p>
              </w:tc>
            </w:tr>
            <w:tr w14:paraId="2DFD3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5E4D28A4">
                  <w:pPr>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1</w:t>
                  </w:r>
                </w:p>
              </w:tc>
              <w:tc>
                <w:tcPr>
                  <w:tcW w:w="1256" w:type="dxa"/>
                  <w:vAlign w:val="center"/>
                </w:tcPr>
                <w:p w14:paraId="0A0AB86C">
                  <w:pPr>
                    <w:snapToGrid w:val="0"/>
                    <w:jc w:val="center"/>
                    <w:rPr>
                      <w:color w:val="000000"/>
                      <w:szCs w:val="21"/>
                    </w:rPr>
                  </w:pPr>
                  <w:r>
                    <w:rPr>
                      <w:rFonts w:hint="eastAsia"/>
                    </w:rPr>
                    <w:t>PVC粉</w:t>
                  </w:r>
                </w:p>
              </w:tc>
              <w:tc>
                <w:tcPr>
                  <w:tcW w:w="1074" w:type="dxa"/>
                  <w:vAlign w:val="center"/>
                </w:tcPr>
                <w:p w14:paraId="47E9FC92">
                  <w:pPr>
                    <w:snapToGrid w:val="0"/>
                    <w:jc w:val="center"/>
                    <w:rPr>
                      <w:color w:val="000000"/>
                      <w:szCs w:val="21"/>
                    </w:rPr>
                  </w:pPr>
                  <w:r>
                    <w:rPr>
                      <w:color w:val="000000"/>
                      <w:szCs w:val="21"/>
                    </w:rPr>
                    <w:t>t/a</w:t>
                  </w:r>
                </w:p>
              </w:tc>
              <w:tc>
                <w:tcPr>
                  <w:tcW w:w="1313" w:type="dxa"/>
                  <w:vAlign w:val="center"/>
                </w:tcPr>
                <w:p w14:paraId="795BF3B8">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default" w:ascii="Times New Roman" w:hAnsi="Times New Roman" w:cs="Times New Roman"/>
                      <w:i w:val="0"/>
                      <w:iCs w:val="0"/>
                      <w:color w:val="000000"/>
                      <w:kern w:val="0"/>
                      <w:sz w:val="21"/>
                      <w:szCs w:val="21"/>
                      <w:u w:val="none"/>
                      <w:lang w:val="en-US" w:eastAsia="zh-CN" w:bidi="ar"/>
                    </w:rPr>
                    <w:t>4600</w:t>
                  </w:r>
                </w:p>
              </w:tc>
              <w:tc>
                <w:tcPr>
                  <w:tcW w:w="1527" w:type="dxa"/>
                  <w:vAlign w:val="center"/>
                </w:tcPr>
                <w:p w14:paraId="221E27EA">
                  <w:pPr>
                    <w:adjustRightInd w:val="0"/>
                    <w:snapToGrid w:val="0"/>
                    <w:spacing w:before="4"/>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50kg/袋</w:t>
                  </w:r>
                </w:p>
              </w:tc>
              <w:tc>
                <w:tcPr>
                  <w:tcW w:w="1426" w:type="dxa"/>
                  <w:vAlign w:val="center"/>
                </w:tcPr>
                <w:p w14:paraId="36C81A7B">
                  <w:pPr>
                    <w:adjustRightInd w:val="0"/>
                    <w:snapToGrid w:val="0"/>
                    <w:spacing w:before="4"/>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粉状</w:t>
                  </w:r>
                </w:p>
              </w:tc>
              <w:tc>
                <w:tcPr>
                  <w:tcW w:w="1100" w:type="dxa"/>
                  <w:vAlign w:val="center"/>
                </w:tcPr>
                <w:p w14:paraId="50E5AE94">
                  <w:pPr>
                    <w:tabs>
                      <w:tab w:val="left" w:pos="387"/>
                    </w:tabs>
                    <w:adjustRightInd w:val="0"/>
                    <w:snapToGrid w:val="0"/>
                    <w:spacing w:before="4"/>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外购</w:t>
                  </w:r>
                </w:p>
              </w:tc>
            </w:tr>
            <w:tr w14:paraId="27037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2FEC7193">
                  <w:pPr>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2</w:t>
                  </w:r>
                </w:p>
              </w:tc>
              <w:tc>
                <w:tcPr>
                  <w:tcW w:w="1256" w:type="dxa"/>
                  <w:vAlign w:val="center"/>
                </w:tcPr>
                <w:p w14:paraId="097DA68D">
                  <w:pPr>
                    <w:snapToGrid w:val="0"/>
                    <w:jc w:val="center"/>
                    <w:rPr>
                      <w:rFonts w:hint="eastAsia" w:eastAsia="宋体"/>
                      <w:color w:val="000000"/>
                      <w:szCs w:val="21"/>
                      <w:lang w:eastAsia="zh-CN"/>
                    </w:rPr>
                  </w:pPr>
                  <w:r>
                    <w:rPr>
                      <w:rFonts w:hint="eastAsia"/>
                    </w:rPr>
                    <w:t>轻钙</w:t>
                  </w:r>
                  <w:r>
                    <w:rPr>
                      <w:rFonts w:hint="eastAsia"/>
                      <w:lang w:eastAsia="zh-CN"/>
                    </w:rPr>
                    <w:t>（碳酸钙）</w:t>
                  </w:r>
                </w:p>
              </w:tc>
              <w:tc>
                <w:tcPr>
                  <w:tcW w:w="1074" w:type="dxa"/>
                  <w:vAlign w:val="center"/>
                </w:tcPr>
                <w:p w14:paraId="5FCF8CDB">
                  <w:pPr>
                    <w:snapToGrid w:val="0"/>
                    <w:jc w:val="center"/>
                    <w:rPr>
                      <w:color w:val="000000"/>
                      <w:szCs w:val="21"/>
                    </w:rPr>
                  </w:pPr>
                  <w:r>
                    <w:rPr>
                      <w:color w:val="000000"/>
                      <w:szCs w:val="21"/>
                    </w:rPr>
                    <w:t>t/a</w:t>
                  </w:r>
                </w:p>
              </w:tc>
              <w:tc>
                <w:tcPr>
                  <w:tcW w:w="1313" w:type="dxa"/>
                  <w:vAlign w:val="center"/>
                </w:tcPr>
                <w:p w14:paraId="08233DA3">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default" w:ascii="Times New Roman" w:hAnsi="Times New Roman" w:cs="Times New Roman"/>
                      <w:i w:val="0"/>
                      <w:iCs w:val="0"/>
                      <w:color w:val="000000"/>
                      <w:kern w:val="0"/>
                      <w:sz w:val="21"/>
                      <w:szCs w:val="21"/>
                      <w:u w:val="none"/>
                      <w:lang w:val="en-US" w:eastAsia="zh-CN" w:bidi="ar"/>
                    </w:rPr>
                    <w:t>2300</w:t>
                  </w:r>
                </w:p>
              </w:tc>
              <w:tc>
                <w:tcPr>
                  <w:tcW w:w="1527" w:type="dxa"/>
                  <w:vAlign w:val="center"/>
                </w:tcPr>
                <w:p w14:paraId="3DB96361">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50kg/袋</w:t>
                  </w:r>
                </w:p>
              </w:tc>
              <w:tc>
                <w:tcPr>
                  <w:tcW w:w="1426" w:type="dxa"/>
                  <w:vAlign w:val="center"/>
                </w:tcPr>
                <w:p w14:paraId="213800F9">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粉状</w:t>
                  </w:r>
                </w:p>
              </w:tc>
              <w:tc>
                <w:tcPr>
                  <w:tcW w:w="1100" w:type="dxa"/>
                  <w:vAlign w:val="center"/>
                </w:tcPr>
                <w:p w14:paraId="4F658699">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0F806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66A4FDD5">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3</w:t>
                  </w:r>
                </w:p>
              </w:tc>
              <w:tc>
                <w:tcPr>
                  <w:tcW w:w="1256" w:type="dxa"/>
                  <w:vAlign w:val="center"/>
                </w:tcPr>
                <w:p w14:paraId="1153E28C">
                  <w:pPr>
                    <w:snapToGrid w:val="0"/>
                    <w:ind w:firstLine="210" w:firstLineChars="100"/>
                    <w:rPr>
                      <w:color w:val="000000"/>
                      <w:szCs w:val="21"/>
                    </w:rPr>
                  </w:pPr>
                  <w:r>
                    <w:rPr>
                      <w:rFonts w:hint="eastAsia"/>
                      <w:color w:val="000000"/>
                      <w:szCs w:val="21"/>
                    </w:rPr>
                    <w:t>阻燃剂</w:t>
                  </w:r>
                </w:p>
              </w:tc>
              <w:tc>
                <w:tcPr>
                  <w:tcW w:w="1074" w:type="dxa"/>
                  <w:vAlign w:val="center"/>
                </w:tcPr>
                <w:p w14:paraId="4CFD4EEF">
                  <w:pPr>
                    <w:snapToGrid w:val="0"/>
                    <w:jc w:val="center"/>
                    <w:rPr>
                      <w:color w:val="000000"/>
                      <w:szCs w:val="21"/>
                    </w:rPr>
                  </w:pPr>
                  <w:r>
                    <w:rPr>
                      <w:color w:val="000000"/>
                      <w:szCs w:val="21"/>
                    </w:rPr>
                    <w:t>t/a</w:t>
                  </w:r>
                </w:p>
              </w:tc>
              <w:tc>
                <w:tcPr>
                  <w:tcW w:w="1313" w:type="dxa"/>
                  <w:vAlign w:val="center"/>
                </w:tcPr>
                <w:p w14:paraId="1C4C974C">
                  <w:pPr>
                    <w:keepNext w:val="0"/>
                    <w:keepLines w:val="0"/>
                    <w:widowControl/>
                    <w:suppressLineNumbers w:val="0"/>
                    <w:jc w:val="center"/>
                    <w:textAlignment w:val="center"/>
                    <w:rPr>
                      <w:rFonts w:hint="default" w:ascii="Times New Roman" w:hAnsi="Times New Roman" w:eastAsia="宋体" w:cs="Times New Roman"/>
                      <w:color w:val="000000"/>
                      <w:szCs w:val="21"/>
                      <w:lang w:eastAsia="zh-CN"/>
                    </w:rPr>
                  </w:pPr>
                  <w:r>
                    <w:rPr>
                      <w:rFonts w:hint="default" w:ascii="Times New Roman" w:hAnsi="Times New Roman" w:eastAsia="宋体" w:cs="Times New Roman"/>
                      <w:i w:val="0"/>
                      <w:iCs w:val="0"/>
                      <w:color w:val="000000"/>
                      <w:kern w:val="0"/>
                      <w:sz w:val="21"/>
                      <w:szCs w:val="21"/>
                      <w:u w:val="none"/>
                      <w:lang w:val="en-US" w:eastAsia="zh-CN" w:bidi="ar"/>
                    </w:rPr>
                    <w:t>150</w:t>
                  </w:r>
                </w:p>
              </w:tc>
              <w:tc>
                <w:tcPr>
                  <w:tcW w:w="1527" w:type="dxa"/>
                  <w:vAlign w:val="center"/>
                </w:tcPr>
                <w:p w14:paraId="03A613B1">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w:t>
                  </w:r>
                </w:p>
              </w:tc>
              <w:tc>
                <w:tcPr>
                  <w:tcW w:w="1426" w:type="dxa"/>
                  <w:vAlign w:val="center"/>
                </w:tcPr>
                <w:p w14:paraId="1FB373CF">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粉状</w:t>
                  </w:r>
                </w:p>
              </w:tc>
              <w:tc>
                <w:tcPr>
                  <w:tcW w:w="1100" w:type="dxa"/>
                  <w:vAlign w:val="center"/>
                </w:tcPr>
                <w:p w14:paraId="13FC8E40">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6A40E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4D2883A7">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4</w:t>
                  </w:r>
                </w:p>
              </w:tc>
              <w:tc>
                <w:tcPr>
                  <w:tcW w:w="1256" w:type="dxa"/>
                  <w:vAlign w:val="center"/>
                </w:tcPr>
                <w:p w14:paraId="230E6949">
                  <w:pPr>
                    <w:snapToGrid w:val="0"/>
                    <w:jc w:val="center"/>
                    <w:rPr>
                      <w:color w:val="000000"/>
                      <w:szCs w:val="21"/>
                    </w:rPr>
                  </w:pPr>
                  <w:r>
                    <w:rPr>
                      <w:rFonts w:hint="eastAsia"/>
                    </w:rPr>
                    <w:t xml:space="preserve">稳定剂 </w:t>
                  </w:r>
                </w:p>
              </w:tc>
              <w:tc>
                <w:tcPr>
                  <w:tcW w:w="1074" w:type="dxa"/>
                  <w:vAlign w:val="center"/>
                </w:tcPr>
                <w:p w14:paraId="5D0B874E">
                  <w:pPr>
                    <w:snapToGrid w:val="0"/>
                    <w:jc w:val="center"/>
                    <w:rPr>
                      <w:color w:val="000000"/>
                      <w:szCs w:val="21"/>
                    </w:rPr>
                  </w:pPr>
                  <w:r>
                    <w:rPr>
                      <w:color w:val="000000"/>
                      <w:szCs w:val="21"/>
                    </w:rPr>
                    <w:t>t/a</w:t>
                  </w:r>
                </w:p>
              </w:tc>
              <w:tc>
                <w:tcPr>
                  <w:tcW w:w="1313" w:type="dxa"/>
                  <w:vAlign w:val="center"/>
                </w:tcPr>
                <w:p w14:paraId="459ADFD9">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default" w:ascii="Times New Roman" w:hAnsi="Times New Roman" w:cs="Times New Roman"/>
                      <w:i w:val="0"/>
                      <w:iCs w:val="0"/>
                      <w:color w:val="000000"/>
                      <w:kern w:val="0"/>
                      <w:sz w:val="21"/>
                      <w:szCs w:val="21"/>
                      <w:u w:val="none"/>
                      <w:lang w:val="en-US" w:eastAsia="zh-CN" w:bidi="ar"/>
                    </w:rPr>
                    <w:t>200</w:t>
                  </w:r>
                </w:p>
              </w:tc>
              <w:tc>
                <w:tcPr>
                  <w:tcW w:w="1527" w:type="dxa"/>
                  <w:vAlign w:val="center"/>
                </w:tcPr>
                <w:p w14:paraId="25EB3A9E">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w:t>
                  </w:r>
                </w:p>
              </w:tc>
              <w:tc>
                <w:tcPr>
                  <w:tcW w:w="1426" w:type="dxa"/>
                  <w:vAlign w:val="center"/>
                </w:tcPr>
                <w:p w14:paraId="5F5D7E4A">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粉状</w:t>
                  </w:r>
                </w:p>
              </w:tc>
              <w:tc>
                <w:tcPr>
                  <w:tcW w:w="1100" w:type="dxa"/>
                  <w:vAlign w:val="center"/>
                </w:tcPr>
                <w:p w14:paraId="2A2F69D9">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29A2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42D88DED">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5</w:t>
                  </w:r>
                </w:p>
              </w:tc>
              <w:tc>
                <w:tcPr>
                  <w:tcW w:w="1256" w:type="dxa"/>
                  <w:vAlign w:val="center"/>
                </w:tcPr>
                <w:p w14:paraId="1DFE71BD">
                  <w:pPr>
                    <w:snapToGrid w:val="0"/>
                    <w:jc w:val="center"/>
                    <w:rPr>
                      <w:color w:val="000000"/>
                      <w:szCs w:val="21"/>
                    </w:rPr>
                  </w:pPr>
                  <w:r>
                    <w:rPr>
                      <w:rFonts w:hint="eastAsia"/>
                    </w:rPr>
                    <w:t>调节剂</w:t>
                  </w:r>
                </w:p>
              </w:tc>
              <w:tc>
                <w:tcPr>
                  <w:tcW w:w="1074" w:type="dxa"/>
                  <w:vAlign w:val="center"/>
                </w:tcPr>
                <w:p w14:paraId="6398864A">
                  <w:pPr>
                    <w:snapToGrid w:val="0"/>
                    <w:jc w:val="center"/>
                    <w:rPr>
                      <w:color w:val="000000"/>
                      <w:szCs w:val="21"/>
                    </w:rPr>
                  </w:pPr>
                  <w:r>
                    <w:rPr>
                      <w:color w:val="000000"/>
                      <w:szCs w:val="21"/>
                    </w:rPr>
                    <w:t>t/a</w:t>
                  </w:r>
                </w:p>
              </w:tc>
              <w:tc>
                <w:tcPr>
                  <w:tcW w:w="1313" w:type="dxa"/>
                  <w:vAlign w:val="center"/>
                </w:tcPr>
                <w:p w14:paraId="00F3D088">
                  <w:pPr>
                    <w:keepNext w:val="0"/>
                    <w:keepLines w:val="0"/>
                    <w:widowControl/>
                    <w:suppressLineNumbers w:val="0"/>
                    <w:jc w:val="center"/>
                    <w:textAlignment w:val="center"/>
                    <w:rPr>
                      <w:rFonts w:hint="default" w:ascii="Times New Roman" w:hAnsi="Times New Roman" w:eastAsia="宋体" w:cs="Times New Roman"/>
                      <w:color w:val="000000"/>
                      <w:szCs w:val="21"/>
                      <w:lang w:eastAsia="zh-CN"/>
                    </w:rPr>
                  </w:pPr>
                  <w:r>
                    <w:rPr>
                      <w:rFonts w:hint="default" w:ascii="Times New Roman" w:hAnsi="Times New Roman"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50</w:t>
                  </w:r>
                </w:p>
              </w:tc>
              <w:tc>
                <w:tcPr>
                  <w:tcW w:w="1527" w:type="dxa"/>
                  <w:vAlign w:val="center"/>
                </w:tcPr>
                <w:p w14:paraId="505EB39D">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w:t>
                  </w:r>
                </w:p>
              </w:tc>
              <w:tc>
                <w:tcPr>
                  <w:tcW w:w="1426" w:type="dxa"/>
                  <w:vAlign w:val="center"/>
                </w:tcPr>
                <w:p w14:paraId="15BA193C">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粉状</w:t>
                  </w:r>
                </w:p>
              </w:tc>
              <w:tc>
                <w:tcPr>
                  <w:tcW w:w="1100" w:type="dxa"/>
                  <w:vAlign w:val="center"/>
                </w:tcPr>
                <w:p w14:paraId="7857BEEF">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4E9AD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29FB4655">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6</w:t>
                  </w:r>
                </w:p>
              </w:tc>
              <w:tc>
                <w:tcPr>
                  <w:tcW w:w="1256" w:type="dxa"/>
                  <w:vAlign w:val="center"/>
                </w:tcPr>
                <w:p w14:paraId="0C00DEC3">
                  <w:pPr>
                    <w:snapToGrid w:val="0"/>
                    <w:jc w:val="center"/>
                    <w:rPr>
                      <w:color w:val="000000"/>
                      <w:szCs w:val="21"/>
                    </w:rPr>
                  </w:pPr>
                  <w:r>
                    <w:rPr>
                      <w:rFonts w:hint="eastAsia"/>
                      <w:color w:val="000000"/>
                      <w:szCs w:val="21"/>
                    </w:rPr>
                    <w:t>发泡剂</w:t>
                  </w:r>
                </w:p>
              </w:tc>
              <w:tc>
                <w:tcPr>
                  <w:tcW w:w="1074" w:type="dxa"/>
                  <w:vAlign w:val="center"/>
                </w:tcPr>
                <w:p w14:paraId="65AC048A">
                  <w:pPr>
                    <w:snapToGrid w:val="0"/>
                    <w:jc w:val="center"/>
                    <w:rPr>
                      <w:color w:val="000000"/>
                      <w:szCs w:val="21"/>
                    </w:rPr>
                  </w:pPr>
                  <w:r>
                    <w:rPr>
                      <w:color w:val="000000"/>
                      <w:szCs w:val="21"/>
                    </w:rPr>
                    <w:t>t/a</w:t>
                  </w:r>
                </w:p>
              </w:tc>
              <w:tc>
                <w:tcPr>
                  <w:tcW w:w="1313" w:type="dxa"/>
                  <w:vAlign w:val="center"/>
                </w:tcPr>
                <w:p w14:paraId="472446EC">
                  <w:pPr>
                    <w:keepNext w:val="0"/>
                    <w:keepLines w:val="0"/>
                    <w:widowControl/>
                    <w:suppressLineNumbers w:val="0"/>
                    <w:jc w:val="center"/>
                    <w:textAlignment w:val="center"/>
                    <w:rPr>
                      <w:rFonts w:hint="default" w:ascii="Times New Roman" w:hAnsi="Times New Roman" w:eastAsia="宋体" w:cs="Times New Roman"/>
                      <w:color w:val="000000"/>
                      <w:szCs w:val="21"/>
                      <w:lang w:eastAsia="zh-CN"/>
                    </w:rPr>
                  </w:pPr>
                  <w:r>
                    <w:rPr>
                      <w:rFonts w:hint="default" w:ascii="Times New Roman" w:hAnsi="Times New Roman" w:eastAsia="宋体" w:cs="Times New Roman"/>
                      <w:i w:val="0"/>
                      <w:iCs w:val="0"/>
                      <w:color w:val="000000"/>
                      <w:kern w:val="0"/>
                      <w:sz w:val="21"/>
                      <w:szCs w:val="21"/>
                      <w:u w:val="none"/>
                      <w:lang w:val="en-US" w:eastAsia="zh-CN" w:bidi="ar"/>
                    </w:rPr>
                    <w:t>100</w:t>
                  </w:r>
                </w:p>
              </w:tc>
              <w:tc>
                <w:tcPr>
                  <w:tcW w:w="1527" w:type="dxa"/>
                  <w:vAlign w:val="center"/>
                </w:tcPr>
                <w:p w14:paraId="39E1151D">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50kg/袋</w:t>
                  </w:r>
                </w:p>
              </w:tc>
              <w:tc>
                <w:tcPr>
                  <w:tcW w:w="1426" w:type="dxa"/>
                  <w:vAlign w:val="center"/>
                </w:tcPr>
                <w:p w14:paraId="7BD09015">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粉状</w:t>
                  </w:r>
                </w:p>
              </w:tc>
              <w:tc>
                <w:tcPr>
                  <w:tcW w:w="1100" w:type="dxa"/>
                  <w:vAlign w:val="center"/>
                </w:tcPr>
                <w:p w14:paraId="78B6661C">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27DE7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68294E96">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7</w:t>
                  </w:r>
                </w:p>
              </w:tc>
              <w:tc>
                <w:tcPr>
                  <w:tcW w:w="1256" w:type="dxa"/>
                  <w:vAlign w:val="center"/>
                </w:tcPr>
                <w:p w14:paraId="3EE33892">
                  <w:pPr>
                    <w:snapToGrid w:val="0"/>
                    <w:jc w:val="center"/>
                    <w:rPr>
                      <w:color w:val="000000"/>
                      <w:szCs w:val="21"/>
                    </w:rPr>
                  </w:pPr>
                  <w:r>
                    <w:rPr>
                      <w:rFonts w:hint="eastAsia"/>
                      <w:color w:val="000000"/>
                      <w:szCs w:val="21"/>
                    </w:rPr>
                    <w:t>润滑剂</w:t>
                  </w:r>
                </w:p>
              </w:tc>
              <w:tc>
                <w:tcPr>
                  <w:tcW w:w="1074" w:type="dxa"/>
                  <w:vAlign w:val="center"/>
                </w:tcPr>
                <w:p w14:paraId="22EAF589">
                  <w:pPr>
                    <w:snapToGrid w:val="0"/>
                    <w:jc w:val="center"/>
                    <w:rPr>
                      <w:color w:val="000000"/>
                      <w:szCs w:val="21"/>
                    </w:rPr>
                  </w:pPr>
                  <w:r>
                    <w:rPr>
                      <w:color w:val="000000"/>
                      <w:szCs w:val="21"/>
                    </w:rPr>
                    <w:t>t/a</w:t>
                  </w:r>
                </w:p>
              </w:tc>
              <w:tc>
                <w:tcPr>
                  <w:tcW w:w="1313" w:type="dxa"/>
                  <w:vAlign w:val="center"/>
                </w:tcPr>
                <w:p w14:paraId="5981693E">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default" w:ascii="Times New Roman" w:hAnsi="Times New Roman" w:cs="Times New Roman"/>
                      <w:i w:val="0"/>
                      <w:iCs w:val="0"/>
                      <w:color w:val="000000"/>
                      <w:kern w:val="0"/>
                      <w:sz w:val="21"/>
                      <w:szCs w:val="21"/>
                      <w:u w:val="none"/>
                      <w:lang w:val="en-US" w:eastAsia="zh-CN" w:bidi="ar"/>
                    </w:rPr>
                    <w:t>100</w:t>
                  </w:r>
                </w:p>
              </w:tc>
              <w:tc>
                <w:tcPr>
                  <w:tcW w:w="1527" w:type="dxa"/>
                  <w:vAlign w:val="center"/>
                </w:tcPr>
                <w:p w14:paraId="773A88DE">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w:t>
                  </w:r>
                </w:p>
              </w:tc>
              <w:tc>
                <w:tcPr>
                  <w:tcW w:w="1426" w:type="dxa"/>
                  <w:vAlign w:val="center"/>
                </w:tcPr>
                <w:p w14:paraId="4CBF6E0F">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粉状</w:t>
                  </w:r>
                </w:p>
              </w:tc>
              <w:tc>
                <w:tcPr>
                  <w:tcW w:w="1100" w:type="dxa"/>
                  <w:vAlign w:val="center"/>
                </w:tcPr>
                <w:p w14:paraId="04D769B4">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33269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5C525F01">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8</w:t>
                  </w:r>
                </w:p>
              </w:tc>
              <w:tc>
                <w:tcPr>
                  <w:tcW w:w="1256" w:type="dxa"/>
                  <w:vAlign w:val="center"/>
                </w:tcPr>
                <w:p w14:paraId="4BFD78BE">
                  <w:pPr>
                    <w:snapToGrid w:val="0"/>
                    <w:jc w:val="center"/>
                    <w:rPr>
                      <w:color w:val="000000"/>
                      <w:szCs w:val="21"/>
                    </w:rPr>
                  </w:pPr>
                  <w:r>
                    <w:rPr>
                      <w:rFonts w:hint="eastAsia"/>
                      <w:color w:val="000000"/>
                      <w:szCs w:val="21"/>
                    </w:rPr>
                    <w:t>颜料</w:t>
                  </w:r>
                </w:p>
              </w:tc>
              <w:tc>
                <w:tcPr>
                  <w:tcW w:w="1074" w:type="dxa"/>
                  <w:vAlign w:val="center"/>
                </w:tcPr>
                <w:p w14:paraId="0BF8BC61">
                  <w:pPr>
                    <w:snapToGrid w:val="0"/>
                    <w:jc w:val="center"/>
                    <w:rPr>
                      <w:color w:val="000000"/>
                      <w:szCs w:val="21"/>
                    </w:rPr>
                  </w:pPr>
                  <w:r>
                    <w:rPr>
                      <w:color w:val="000000"/>
                      <w:szCs w:val="21"/>
                    </w:rPr>
                    <w:t>t/a</w:t>
                  </w:r>
                </w:p>
              </w:tc>
              <w:tc>
                <w:tcPr>
                  <w:tcW w:w="1313" w:type="dxa"/>
                  <w:vAlign w:val="center"/>
                </w:tcPr>
                <w:p w14:paraId="42333B9E">
                  <w:pPr>
                    <w:keepNext w:val="0"/>
                    <w:keepLines w:val="0"/>
                    <w:widowControl/>
                    <w:suppressLineNumbers w:val="0"/>
                    <w:jc w:val="center"/>
                    <w:textAlignment w:val="center"/>
                    <w:rPr>
                      <w:rFonts w:hint="default" w:ascii="Times New Roman" w:hAnsi="Times New Roman" w:eastAsia="宋体" w:cs="Times New Roman"/>
                      <w:color w:val="000000"/>
                      <w:szCs w:val="21"/>
                      <w:lang w:eastAsia="zh-CN"/>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1527" w:type="dxa"/>
                  <w:vAlign w:val="center"/>
                </w:tcPr>
                <w:p w14:paraId="743B22CE">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w:t>
                  </w:r>
                </w:p>
              </w:tc>
              <w:tc>
                <w:tcPr>
                  <w:tcW w:w="1426" w:type="dxa"/>
                  <w:vAlign w:val="center"/>
                </w:tcPr>
                <w:p w14:paraId="4914B622">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粉状</w:t>
                  </w:r>
                </w:p>
              </w:tc>
              <w:tc>
                <w:tcPr>
                  <w:tcW w:w="1100" w:type="dxa"/>
                  <w:vAlign w:val="center"/>
                </w:tcPr>
                <w:p w14:paraId="4C9DD177">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5BAA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50420576">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9</w:t>
                  </w:r>
                </w:p>
              </w:tc>
              <w:tc>
                <w:tcPr>
                  <w:tcW w:w="1256" w:type="dxa"/>
                  <w:vAlign w:val="center"/>
                </w:tcPr>
                <w:p w14:paraId="6ECF7C72">
                  <w:pPr>
                    <w:snapToGrid w:val="0"/>
                    <w:jc w:val="center"/>
                    <w:rPr>
                      <w:rFonts w:hint="eastAsia" w:eastAsia="宋体"/>
                      <w:b/>
                      <w:bCs/>
                      <w:color w:val="000000"/>
                      <w:szCs w:val="21"/>
                      <w:lang w:eastAsia="zh-CN"/>
                    </w:rPr>
                  </w:pPr>
                  <w:r>
                    <w:rPr>
                      <w:rFonts w:hint="eastAsia"/>
                    </w:rPr>
                    <w:t>ASA面料</w:t>
                  </w:r>
                </w:p>
              </w:tc>
              <w:tc>
                <w:tcPr>
                  <w:tcW w:w="1074" w:type="dxa"/>
                  <w:vAlign w:val="center"/>
                </w:tcPr>
                <w:p w14:paraId="2B1596D9">
                  <w:pPr>
                    <w:snapToGrid w:val="0"/>
                    <w:jc w:val="center"/>
                    <w:rPr>
                      <w:color w:val="000000"/>
                      <w:szCs w:val="21"/>
                    </w:rPr>
                  </w:pPr>
                  <w:r>
                    <w:rPr>
                      <w:color w:val="000000"/>
                      <w:szCs w:val="21"/>
                    </w:rPr>
                    <w:t>t/a</w:t>
                  </w:r>
                </w:p>
              </w:tc>
              <w:tc>
                <w:tcPr>
                  <w:tcW w:w="1313" w:type="dxa"/>
                  <w:vAlign w:val="center"/>
                </w:tcPr>
                <w:p w14:paraId="610DA321">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default" w:ascii="Times New Roman" w:hAnsi="Times New Roman" w:cs="Times New Roman"/>
                      <w:i w:val="0"/>
                      <w:iCs w:val="0"/>
                      <w:color w:val="000000"/>
                      <w:kern w:val="0"/>
                      <w:sz w:val="21"/>
                      <w:szCs w:val="21"/>
                      <w:u w:val="none"/>
                      <w:lang w:val="en-US" w:eastAsia="zh-CN" w:bidi="ar"/>
                    </w:rPr>
                    <w:t>350</w:t>
                  </w:r>
                </w:p>
              </w:tc>
              <w:tc>
                <w:tcPr>
                  <w:tcW w:w="1527" w:type="dxa"/>
                  <w:vAlign w:val="center"/>
                </w:tcPr>
                <w:p w14:paraId="75BE445D">
                  <w:pPr>
                    <w:adjustRightInd w:val="0"/>
                    <w:snapToGrid w:val="0"/>
                    <w:spacing w:before="4"/>
                    <w:jc w:val="center"/>
                    <w:rPr>
                      <w:rFonts w:hint="default" w:ascii="Times New Roman" w:hAnsi="Times New Roman" w:eastAsia="宋体" w:cs="Times New Roman"/>
                      <w:color w:val="000000"/>
                      <w:szCs w:val="21"/>
                      <w:lang w:val="en-US"/>
                    </w:rPr>
                  </w:pPr>
                  <w:r>
                    <w:rPr>
                      <w:rFonts w:hint="eastAsia" w:cs="Times New Roman"/>
                      <w:color w:val="000000"/>
                      <w:szCs w:val="21"/>
                      <w:lang w:val="en-US" w:eastAsia="zh-CN"/>
                    </w:rPr>
                    <w:t>50kg/袋</w:t>
                  </w:r>
                </w:p>
              </w:tc>
              <w:tc>
                <w:tcPr>
                  <w:tcW w:w="1426" w:type="dxa"/>
                  <w:vAlign w:val="center"/>
                </w:tcPr>
                <w:p w14:paraId="10FD8367">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粉状</w:t>
                  </w:r>
                </w:p>
              </w:tc>
              <w:tc>
                <w:tcPr>
                  <w:tcW w:w="1100" w:type="dxa"/>
                  <w:vAlign w:val="center"/>
                </w:tcPr>
                <w:p w14:paraId="24F38396">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08F5A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7" w:type="dxa"/>
                  <w:gridSpan w:val="7"/>
                  <w:vAlign w:val="center"/>
                </w:tcPr>
                <w:p w14:paraId="4ECB0A3E">
                  <w:pPr>
                    <w:adjustRightInd w:val="0"/>
                    <w:snapToGrid w:val="0"/>
                    <w:spacing w:before="4"/>
                    <w:jc w:val="center"/>
                    <w:rPr>
                      <w:rFonts w:ascii="Times New Roman" w:hAnsi="Times New Roman" w:eastAsia="宋体" w:cs="Times New Roman"/>
                      <w:color w:val="000000"/>
                      <w:szCs w:val="21"/>
                    </w:rPr>
                  </w:pPr>
                  <w:r>
                    <w:rPr>
                      <w:rFonts w:hint="eastAsia"/>
                      <w:color w:val="000000"/>
                      <w:szCs w:val="21"/>
                      <w:lang w:val="en-US" w:eastAsia="zh-CN"/>
                    </w:rPr>
                    <w:t>PE板</w:t>
                  </w:r>
                  <w:r>
                    <w:rPr>
                      <w:rFonts w:hint="eastAsia" w:ascii="Times New Roman" w:hAnsi="Times New Roman" w:eastAsia="宋体" w:cs="Times New Roman"/>
                      <w:color w:val="000000"/>
                      <w:szCs w:val="21"/>
                    </w:rPr>
                    <w:t>产品</w:t>
                  </w:r>
                </w:p>
              </w:tc>
            </w:tr>
            <w:tr w14:paraId="2DA3C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2E6176E1">
                  <w:pPr>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1</w:t>
                  </w:r>
                </w:p>
              </w:tc>
              <w:tc>
                <w:tcPr>
                  <w:tcW w:w="1256" w:type="dxa"/>
                  <w:vAlign w:val="center"/>
                </w:tcPr>
                <w:p w14:paraId="382EE5AF">
                  <w:pPr>
                    <w:snapToGrid w:val="0"/>
                    <w:jc w:val="center"/>
                    <w:rPr>
                      <w:rFonts w:hint="eastAsia" w:eastAsia="宋体"/>
                      <w:color w:val="000000"/>
                      <w:szCs w:val="21"/>
                      <w:lang w:eastAsia="zh-CN"/>
                    </w:rPr>
                  </w:pPr>
                  <w:r>
                    <w:rPr>
                      <w:rFonts w:hint="eastAsia"/>
                      <w:color w:val="000000"/>
                      <w:szCs w:val="21"/>
                      <w:lang w:val="en-US" w:eastAsia="zh-CN"/>
                    </w:rPr>
                    <w:t>PE木塑</w:t>
                  </w:r>
                  <w:r>
                    <w:rPr>
                      <w:rFonts w:hint="eastAsia"/>
                      <w:color w:val="000000"/>
                      <w:szCs w:val="21"/>
                      <w:lang w:eastAsia="zh-CN"/>
                    </w:rPr>
                    <w:t>底料</w:t>
                  </w:r>
                </w:p>
              </w:tc>
              <w:tc>
                <w:tcPr>
                  <w:tcW w:w="1074" w:type="dxa"/>
                  <w:vAlign w:val="center"/>
                </w:tcPr>
                <w:p w14:paraId="7AAA10E8">
                  <w:pPr>
                    <w:snapToGrid w:val="0"/>
                    <w:jc w:val="center"/>
                    <w:rPr>
                      <w:color w:val="000000"/>
                      <w:szCs w:val="21"/>
                    </w:rPr>
                  </w:pPr>
                  <w:r>
                    <w:rPr>
                      <w:color w:val="000000"/>
                      <w:szCs w:val="21"/>
                    </w:rPr>
                    <w:t>t/a</w:t>
                  </w:r>
                </w:p>
              </w:tc>
              <w:tc>
                <w:tcPr>
                  <w:tcW w:w="1313" w:type="dxa"/>
                  <w:vAlign w:val="center"/>
                </w:tcPr>
                <w:p w14:paraId="17AECAB0">
                  <w:pPr>
                    <w:keepNext w:val="0"/>
                    <w:keepLines w:val="0"/>
                    <w:widowControl/>
                    <w:suppressLineNumbers w:val="0"/>
                    <w:jc w:val="center"/>
                    <w:textAlignment w:val="center"/>
                    <w:rPr>
                      <w:rFonts w:hint="default" w:eastAsia="宋体"/>
                      <w:color w:val="000000"/>
                      <w:szCs w:val="21"/>
                      <w:lang w:val="en-US" w:eastAsia="zh-CN"/>
                    </w:rPr>
                  </w:pPr>
                  <w:r>
                    <w:rPr>
                      <w:rFonts w:hint="eastAsia" w:cs="Calibri"/>
                      <w:i w:val="0"/>
                      <w:iCs w:val="0"/>
                      <w:color w:val="000000"/>
                      <w:kern w:val="0"/>
                      <w:sz w:val="21"/>
                      <w:szCs w:val="21"/>
                      <w:u w:val="none"/>
                      <w:lang w:val="en-US" w:eastAsia="zh-CN" w:bidi="ar"/>
                    </w:rPr>
                    <w:t>2800</w:t>
                  </w:r>
                </w:p>
              </w:tc>
              <w:tc>
                <w:tcPr>
                  <w:tcW w:w="1527" w:type="dxa"/>
                  <w:vAlign w:val="center"/>
                </w:tcPr>
                <w:p w14:paraId="55B1F035">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w:t>
                  </w:r>
                </w:p>
              </w:tc>
              <w:tc>
                <w:tcPr>
                  <w:tcW w:w="1426" w:type="dxa"/>
                  <w:vAlign w:val="center"/>
                </w:tcPr>
                <w:p w14:paraId="1A5DDA49">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粉状</w:t>
                  </w:r>
                </w:p>
              </w:tc>
              <w:tc>
                <w:tcPr>
                  <w:tcW w:w="1100" w:type="dxa"/>
                  <w:vAlign w:val="center"/>
                </w:tcPr>
                <w:p w14:paraId="7CB9784F">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209D1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5E94018B">
                  <w:pPr>
                    <w:adjustRightInd w:val="0"/>
                    <w:snapToGrid w:val="0"/>
                    <w:spacing w:before="4"/>
                    <w:jc w:val="center"/>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eastAsia="zh-CN"/>
                    </w:rPr>
                    <w:t>2</w:t>
                  </w:r>
                </w:p>
              </w:tc>
              <w:tc>
                <w:tcPr>
                  <w:tcW w:w="1256" w:type="dxa"/>
                  <w:vAlign w:val="center"/>
                </w:tcPr>
                <w:p w14:paraId="5F3EA550">
                  <w:pPr>
                    <w:snapToGrid w:val="0"/>
                    <w:jc w:val="center"/>
                    <w:rPr>
                      <w:color w:val="000000"/>
                      <w:szCs w:val="21"/>
                    </w:rPr>
                  </w:pPr>
                  <w:r>
                    <w:rPr>
                      <w:rFonts w:hint="eastAsia"/>
                      <w:color w:val="000000"/>
                      <w:szCs w:val="21"/>
                      <w:lang w:val="en-US" w:eastAsia="zh-CN"/>
                    </w:rPr>
                    <w:t>PE粒子</w:t>
                  </w:r>
                </w:p>
              </w:tc>
              <w:tc>
                <w:tcPr>
                  <w:tcW w:w="1074" w:type="dxa"/>
                  <w:vAlign w:val="center"/>
                </w:tcPr>
                <w:p w14:paraId="08ED7604">
                  <w:pPr>
                    <w:snapToGrid w:val="0"/>
                    <w:jc w:val="center"/>
                    <w:rPr>
                      <w:color w:val="000000"/>
                      <w:szCs w:val="21"/>
                    </w:rPr>
                  </w:pPr>
                  <w:r>
                    <w:rPr>
                      <w:color w:val="000000"/>
                      <w:szCs w:val="21"/>
                    </w:rPr>
                    <w:t>t/a</w:t>
                  </w:r>
                </w:p>
              </w:tc>
              <w:tc>
                <w:tcPr>
                  <w:tcW w:w="1313" w:type="dxa"/>
                  <w:vAlign w:val="center"/>
                </w:tcPr>
                <w:p w14:paraId="413779FB">
                  <w:pPr>
                    <w:keepNext w:val="0"/>
                    <w:keepLines w:val="0"/>
                    <w:widowControl/>
                    <w:suppressLineNumbers w:val="0"/>
                    <w:jc w:val="center"/>
                    <w:textAlignment w:val="center"/>
                    <w:rPr>
                      <w:rFonts w:hint="default" w:eastAsia="宋体"/>
                      <w:color w:val="000000"/>
                      <w:szCs w:val="21"/>
                      <w:lang w:val="en-US"/>
                    </w:rPr>
                  </w:pPr>
                  <w:r>
                    <w:rPr>
                      <w:rFonts w:hint="eastAsia" w:cs="Calibri"/>
                      <w:i w:val="0"/>
                      <w:iCs w:val="0"/>
                      <w:color w:val="000000"/>
                      <w:kern w:val="0"/>
                      <w:sz w:val="21"/>
                      <w:szCs w:val="21"/>
                      <w:u w:val="none"/>
                      <w:lang w:val="en-US" w:eastAsia="zh-CN" w:bidi="ar"/>
                    </w:rPr>
                    <w:t>400</w:t>
                  </w:r>
                </w:p>
              </w:tc>
              <w:tc>
                <w:tcPr>
                  <w:tcW w:w="1527" w:type="dxa"/>
                  <w:vAlign w:val="center"/>
                </w:tcPr>
                <w:p w14:paraId="6C24B1D7">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w:t>
                  </w:r>
                </w:p>
              </w:tc>
              <w:tc>
                <w:tcPr>
                  <w:tcW w:w="1426" w:type="dxa"/>
                  <w:vAlign w:val="center"/>
                </w:tcPr>
                <w:p w14:paraId="67E145CD">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颗粒</w:t>
                  </w:r>
                </w:p>
              </w:tc>
              <w:tc>
                <w:tcPr>
                  <w:tcW w:w="1100" w:type="dxa"/>
                  <w:vAlign w:val="center"/>
                </w:tcPr>
                <w:p w14:paraId="3A742932">
                  <w:pPr>
                    <w:adjustRightInd w:val="0"/>
                    <w:snapToGrid w:val="0"/>
                    <w:spacing w:before="4"/>
                    <w:jc w:val="center"/>
                    <w:rPr>
                      <w:rFonts w:ascii="Times New Roman" w:hAnsi="Times New Roman" w:eastAsia="宋体" w:cs="Times New Roman"/>
                      <w:color w:val="000000"/>
                      <w:szCs w:val="21"/>
                    </w:rPr>
                  </w:pPr>
                  <w:r>
                    <w:rPr>
                      <w:rFonts w:hint="eastAsia" w:cs="Times New Roman"/>
                      <w:color w:val="000000"/>
                      <w:szCs w:val="21"/>
                      <w:lang w:val="en-US" w:eastAsia="zh-CN"/>
                    </w:rPr>
                    <w:t>外购</w:t>
                  </w:r>
                </w:p>
              </w:tc>
            </w:tr>
            <w:tr w14:paraId="28E5F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7" w:type="dxa"/>
                  <w:gridSpan w:val="7"/>
                  <w:vAlign w:val="center"/>
                </w:tcPr>
                <w:p w14:paraId="29651E98">
                  <w:pPr>
                    <w:adjustRightInd w:val="0"/>
                    <w:snapToGrid w:val="0"/>
                    <w:spacing w:before="4"/>
                    <w:jc w:val="center"/>
                    <w:rPr>
                      <w:rFonts w:ascii="Times New Roman" w:hAnsi="Times New Roman" w:cs="Times New Roman"/>
                      <w:color w:val="000000"/>
                      <w:szCs w:val="21"/>
                    </w:rPr>
                  </w:pPr>
                  <w:r>
                    <w:rPr>
                      <w:rFonts w:ascii="Times New Roman" w:hAnsi="Times New Roman" w:cs="Times New Roman"/>
                      <w:b/>
                      <w:bCs/>
                      <w:color w:val="000000"/>
                      <w:szCs w:val="21"/>
                    </w:rPr>
                    <w:t>资源、能源消耗</w:t>
                  </w:r>
                </w:p>
              </w:tc>
            </w:tr>
            <w:tr w14:paraId="32560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7E67E0E9">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1</w:t>
                  </w:r>
                </w:p>
              </w:tc>
              <w:tc>
                <w:tcPr>
                  <w:tcW w:w="1256" w:type="dxa"/>
                  <w:vAlign w:val="center"/>
                </w:tcPr>
                <w:p w14:paraId="12243486">
                  <w:pPr>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水</w:t>
                  </w:r>
                </w:p>
              </w:tc>
              <w:tc>
                <w:tcPr>
                  <w:tcW w:w="1074" w:type="dxa"/>
                  <w:vAlign w:val="center"/>
                </w:tcPr>
                <w:p w14:paraId="1D38DED0">
                  <w:pPr>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t/a</w:t>
                  </w:r>
                </w:p>
              </w:tc>
              <w:tc>
                <w:tcPr>
                  <w:tcW w:w="1313" w:type="dxa"/>
                  <w:vAlign w:val="center"/>
                </w:tcPr>
                <w:p w14:paraId="1D71A1AA">
                  <w:pPr>
                    <w:snapToGrid w:val="0"/>
                    <w:jc w:val="center"/>
                    <w:rPr>
                      <w:rFonts w:hint="default" w:eastAsia="宋体"/>
                      <w:color w:val="FF0000"/>
                      <w:szCs w:val="21"/>
                      <w:lang w:val="en-US" w:eastAsia="zh-CN"/>
                    </w:rPr>
                  </w:pPr>
                  <w:r>
                    <w:rPr>
                      <w:rFonts w:hint="eastAsia"/>
                      <w:color w:val="auto"/>
                      <w:szCs w:val="21"/>
                      <w:lang w:val="en-US" w:eastAsia="zh-CN"/>
                    </w:rPr>
                    <w:t>1704</w:t>
                  </w:r>
                </w:p>
              </w:tc>
              <w:tc>
                <w:tcPr>
                  <w:tcW w:w="1527" w:type="dxa"/>
                  <w:vAlign w:val="center"/>
                </w:tcPr>
                <w:p w14:paraId="3427F8F3">
                  <w:pPr>
                    <w:adjustRightInd w:val="0"/>
                    <w:snapToGrid w:val="0"/>
                    <w:spacing w:before="4"/>
                    <w:jc w:val="center"/>
                    <w:rPr>
                      <w:rFonts w:ascii="Times New Roman" w:hAnsi="Times New Roman" w:cs="Times New Roman"/>
                      <w:color w:val="000000"/>
                      <w:szCs w:val="21"/>
                    </w:rPr>
                  </w:pPr>
                  <w:r>
                    <w:rPr>
                      <w:rFonts w:hint="eastAsia" w:cs="Times New Roman"/>
                      <w:color w:val="000000"/>
                      <w:szCs w:val="21"/>
                      <w:lang w:val="en-US" w:eastAsia="zh-CN"/>
                    </w:rPr>
                    <w:t>/</w:t>
                  </w:r>
                </w:p>
              </w:tc>
              <w:tc>
                <w:tcPr>
                  <w:tcW w:w="1426" w:type="dxa"/>
                  <w:vAlign w:val="center"/>
                </w:tcPr>
                <w:p w14:paraId="6E09E515">
                  <w:pPr>
                    <w:adjustRightInd w:val="0"/>
                    <w:snapToGrid w:val="0"/>
                    <w:spacing w:before="4"/>
                    <w:jc w:val="center"/>
                    <w:rPr>
                      <w:rFonts w:ascii="Times New Roman" w:hAnsi="Times New Roman" w:cs="Times New Roman"/>
                      <w:color w:val="000000"/>
                      <w:szCs w:val="21"/>
                    </w:rPr>
                  </w:pPr>
                  <w:r>
                    <w:rPr>
                      <w:rFonts w:hint="eastAsia" w:cs="Times New Roman"/>
                      <w:color w:val="000000"/>
                      <w:szCs w:val="21"/>
                      <w:lang w:val="en-US" w:eastAsia="zh-CN"/>
                    </w:rPr>
                    <w:t>/</w:t>
                  </w:r>
                </w:p>
              </w:tc>
              <w:tc>
                <w:tcPr>
                  <w:tcW w:w="1100" w:type="dxa"/>
                  <w:vAlign w:val="center"/>
                </w:tcPr>
                <w:p w14:paraId="659589FB">
                  <w:pPr>
                    <w:snapToGrid w:val="0"/>
                    <w:jc w:val="center"/>
                    <w:rPr>
                      <w:color w:val="000000"/>
                      <w:szCs w:val="21"/>
                    </w:rPr>
                  </w:pPr>
                  <w:r>
                    <w:rPr>
                      <w:rFonts w:hint="eastAsia"/>
                      <w:color w:val="000000"/>
                      <w:szCs w:val="21"/>
                    </w:rPr>
                    <w:t>区域供水管网</w:t>
                  </w:r>
                </w:p>
              </w:tc>
            </w:tr>
            <w:tr w14:paraId="49E0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 w:type="dxa"/>
                  <w:vAlign w:val="center"/>
                </w:tcPr>
                <w:p w14:paraId="7C98BC4A">
                  <w:pPr>
                    <w:adjustRightInd w:val="0"/>
                    <w:snapToGrid w:val="0"/>
                    <w:spacing w:before="4"/>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2</w:t>
                  </w:r>
                </w:p>
              </w:tc>
              <w:tc>
                <w:tcPr>
                  <w:tcW w:w="1256" w:type="dxa"/>
                  <w:vAlign w:val="center"/>
                </w:tcPr>
                <w:p w14:paraId="0401F2AF">
                  <w:pPr>
                    <w:adjustRightInd w:val="0"/>
                    <w:snapToGrid w:val="0"/>
                    <w:spacing w:before="4"/>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电</w:t>
                  </w:r>
                </w:p>
              </w:tc>
              <w:tc>
                <w:tcPr>
                  <w:tcW w:w="1074" w:type="dxa"/>
                  <w:vAlign w:val="center"/>
                </w:tcPr>
                <w:p w14:paraId="3D249CC2">
                  <w:pPr>
                    <w:adjustRightInd w:val="0"/>
                    <w:snapToGrid w:val="0"/>
                    <w:spacing w:before="4"/>
                    <w:jc w:val="center"/>
                    <w:rPr>
                      <w:rFonts w:hint="eastAsia" w:ascii="Times New Roman" w:hAnsi="Times New Roman" w:eastAsia="宋体" w:cs="Times New Roman"/>
                      <w:color w:val="000000"/>
                      <w:szCs w:val="21"/>
                      <w:lang w:eastAsia="zh-CN"/>
                    </w:rPr>
                  </w:pPr>
                  <w:r>
                    <w:rPr>
                      <w:rFonts w:hint="default" w:ascii="Times New Roman" w:hAnsi="Times New Roman" w:eastAsia="宋体" w:cs="Times New Roman"/>
                      <w:b w:val="0"/>
                      <w:bCs w:val="0"/>
                      <w:color w:val="auto"/>
                      <w:position w:val="6"/>
                      <w:sz w:val="21"/>
                      <w:szCs w:val="21"/>
                      <w:vertAlign w:val="baseline"/>
                      <w:lang w:val="en-US" w:eastAsia="zh-CN"/>
                    </w:rPr>
                    <w:t>万kW·h/a</w:t>
                  </w:r>
                </w:p>
              </w:tc>
              <w:tc>
                <w:tcPr>
                  <w:tcW w:w="1313" w:type="dxa"/>
                  <w:vAlign w:val="center"/>
                </w:tcPr>
                <w:p w14:paraId="633DF86C">
                  <w:pPr>
                    <w:snapToGrid w:val="0"/>
                    <w:jc w:val="center"/>
                    <w:rPr>
                      <w:rFonts w:hint="default" w:eastAsia="宋体"/>
                      <w:color w:val="FF0000"/>
                      <w:szCs w:val="21"/>
                      <w:lang w:val="en-US" w:eastAsia="zh-CN"/>
                    </w:rPr>
                  </w:pPr>
                  <w:r>
                    <w:rPr>
                      <w:rFonts w:hint="eastAsia"/>
                      <w:color w:val="auto"/>
                      <w:szCs w:val="21"/>
                      <w:lang w:val="en-US" w:eastAsia="zh-CN"/>
                    </w:rPr>
                    <w:t>80</w:t>
                  </w:r>
                </w:p>
              </w:tc>
              <w:tc>
                <w:tcPr>
                  <w:tcW w:w="1527" w:type="dxa"/>
                  <w:vAlign w:val="center"/>
                </w:tcPr>
                <w:p w14:paraId="2B96D47C">
                  <w:pPr>
                    <w:adjustRightInd w:val="0"/>
                    <w:snapToGrid w:val="0"/>
                    <w:spacing w:before="4"/>
                    <w:jc w:val="center"/>
                    <w:rPr>
                      <w:rFonts w:ascii="Times New Roman" w:hAnsi="Times New Roman" w:cs="Times New Roman"/>
                      <w:color w:val="000000"/>
                      <w:szCs w:val="21"/>
                    </w:rPr>
                  </w:pPr>
                  <w:r>
                    <w:rPr>
                      <w:rFonts w:hint="eastAsia" w:cs="Times New Roman"/>
                      <w:color w:val="000000"/>
                      <w:szCs w:val="21"/>
                      <w:lang w:val="en-US" w:eastAsia="zh-CN"/>
                    </w:rPr>
                    <w:t>/</w:t>
                  </w:r>
                </w:p>
              </w:tc>
              <w:tc>
                <w:tcPr>
                  <w:tcW w:w="1426" w:type="dxa"/>
                  <w:vAlign w:val="center"/>
                </w:tcPr>
                <w:p w14:paraId="23A83E6D">
                  <w:pPr>
                    <w:adjustRightInd w:val="0"/>
                    <w:snapToGrid w:val="0"/>
                    <w:spacing w:before="4"/>
                    <w:jc w:val="center"/>
                    <w:rPr>
                      <w:rFonts w:ascii="Times New Roman" w:hAnsi="Times New Roman" w:cs="Times New Roman"/>
                      <w:color w:val="000000"/>
                      <w:szCs w:val="21"/>
                    </w:rPr>
                  </w:pPr>
                  <w:r>
                    <w:rPr>
                      <w:rFonts w:hint="eastAsia" w:cs="Times New Roman"/>
                      <w:color w:val="000000"/>
                      <w:szCs w:val="21"/>
                      <w:lang w:val="en-US" w:eastAsia="zh-CN"/>
                    </w:rPr>
                    <w:t>/</w:t>
                  </w:r>
                </w:p>
              </w:tc>
              <w:tc>
                <w:tcPr>
                  <w:tcW w:w="1100" w:type="dxa"/>
                  <w:vAlign w:val="center"/>
                </w:tcPr>
                <w:p w14:paraId="2DC77D99">
                  <w:pPr>
                    <w:snapToGrid w:val="0"/>
                    <w:jc w:val="center"/>
                    <w:rPr>
                      <w:color w:val="000000"/>
                      <w:szCs w:val="21"/>
                    </w:rPr>
                  </w:pPr>
                  <w:r>
                    <w:rPr>
                      <w:bCs/>
                      <w:color w:val="000000"/>
                      <w:kern w:val="0"/>
                      <w:szCs w:val="21"/>
                    </w:rPr>
                    <w:t>区域电网提供</w:t>
                  </w:r>
                </w:p>
              </w:tc>
            </w:tr>
          </w:tbl>
          <w:p w14:paraId="303F07B6">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eastAsia" w:cs="Times New Roman"/>
                <w:b/>
                <w:bCs/>
                <w:sz w:val="24"/>
                <w:szCs w:val="24"/>
                <w:lang w:val="en-US" w:eastAsia="zh-CN"/>
              </w:rPr>
            </w:pPr>
            <w:r>
              <w:rPr>
                <w:rFonts w:hint="eastAsia" w:cs="Times New Roman"/>
                <w:b/>
                <w:bCs/>
                <w:sz w:val="24"/>
                <w:szCs w:val="24"/>
                <w:lang w:val="en-US" w:eastAsia="zh-CN"/>
              </w:rPr>
              <w:t>原辅材料说明：</w:t>
            </w:r>
          </w:p>
          <w:p w14:paraId="67183ABE">
            <w:pPr>
              <w:pStyle w:val="14"/>
              <w:keepNext w:val="0"/>
              <w:keepLines w:val="0"/>
              <w:pageBreakBefore w:val="0"/>
              <w:widowControl w:val="0"/>
              <w:kinsoku/>
              <w:wordWrap/>
              <w:overflowPunct/>
              <w:topLinePunct w:val="0"/>
              <w:autoSpaceDE/>
              <w:autoSpaceDN/>
              <w:bidi w:val="0"/>
              <w:adjustRightInd w:val="0"/>
              <w:snapToGrid w:val="0"/>
              <w:spacing w:after="0" w:line="360" w:lineRule="auto"/>
              <w:ind w:left="0" w:leftChars="0"/>
              <w:textAlignment w:val="auto"/>
              <w:rPr>
                <w:rFonts w:hint="eastAsia"/>
                <w:sz w:val="24"/>
                <w:szCs w:val="24"/>
                <w:lang w:val="en-US" w:eastAsia="zh-CN"/>
              </w:rPr>
            </w:pPr>
            <w:r>
              <w:rPr>
                <w:rFonts w:hint="eastAsia"/>
                <w:b/>
                <w:bCs/>
                <w:sz w:val="24"/>
                <w:szCs w:val="24"/>
                <w:lang w:val="en-US" w:eastAsia="zh-CN"/>
              </w:rPr>
              <w:t>PVC树脂粉</w:t>
            </w:r>
            <w:r>
              <w:rPr>
                <w:rFonts w:hint="eastAsia"/>
                <w:sz w:val="24"/>
                <w:szCs w:val="24"/>
                <w:lang w:val="en-US" w:eastAsia="zh-CN"/>
              </w:rPr>
              <w:t>：聚氯乙烯，英文简称 PVC (Polyvinyl chloride polymer=PVC分子结构），是由氯乙烯在引发剂作用下聚合而成的树脂。是氯乙烯的均聚物。</w:t>
            </w:r>
          </w:p>
          <w:p w14:paraId="6DFBAB36">
            <w:pPr>
              <w:pStyle w:val="1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textAlignment w:val="auto"/>
              <w:rPr>
                <w:rFonts w:hint="eastAsia"/>
                <w:sz w:val="24"/>
                <w:szCs w:val="24"/>
                <w:lang w:val="en-US" w:eastAsia="zh-CN"/>
              </w:rPr>
            </w:pPr>
            <w:r>
              <w:rPr>
                <w:rFonts w:hint="eastAsia"/>
                <w:sz w:val="24"/>
                <w:szCs w:val="24"/>
                <w:lang w:val="en-US" w:eastAsia="zh-CN"/>
              </w:rPr>
              <w:t>氯乙烯均聚物和氯乙烯共聚物统称为氯乙烯树脂。PVC为无定形结构的白色粉末，支化度较小。分子量随聚合温度的降低而增加；无固定熔点，70-85℃开始溶解，130℃变为粘弹态，160-180℃开始转变为粘流态；成型温度160-190℃，比重约1.4g/cm</w:t>
            </w:r>
            <w:r>
              <w:rPr>
                <w:rFonts w:hint="eastAsia"/>
                <w:sz w:val="24"/>
                <w:szCs w:val="24"/>
                <w:vertAlign w:val="superscript"/>
                <w:lang w:val="en-US" w:eastAsia="zh-CN"/>
              </w:rPr>
              <w:t>3</w:t>
            </w:r>
            <w:r>
              <w:rPr>
                <w:rFonts w:hint="eastAsia"/>
                <w:sz w:val="24"/>
                <w:szCs w:val="24"/>
                <w:lang w:val="en-US" w:eastAsia="zh-CN"/>
              </w:rPr>
              <w:t>，含氯量56%～58%，有较好的机械性能，抗张强度60MPa左右，冲击强度5~10kJ/m</w:t>
            </w:r>
            <w:r>
              <w:rPr>
                <w:rFonts w:hint="eastAsia"/>
                <w:sz w:val="24"/>
                <w:szCs w:val="24"/>
                <w:vertAlign w:val="superscript"/>
                <w:lang w:val="en-US" w:eastAsia="zh-CN"/>
              </w:rPr>
              <w:t>2</w:t>
            </w:r>
            <w:r>
              <w:rPr>
                <w:rFonts w:hint="eastAsia"/>
                <w:sz w:val="24"/>
                <w:szCs w:val="24"/>
                <w:lang w:val="en-US" w:eastAsia="zh-CN"/>
              </w:rPr>
              <w:t>；聚氯乙烯在100℃加热条件下可产生分解，在200℃以下，热解产物主要为少量氯化氢和氯乙烯，随着温度的升高，聚氯乙烯热解失重速率逐渐增加，400℃时聚氯乙烯的热解失重速率达到最大，随后热解失重速率逐渐降低，在435℃热解基本结束。</w:t>
            </w:r>
          </w:p>
          <w:p w14:paraId="6F36361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bCs/>
                <w:sz w:val="24"/>
                <w:szCs w:val="24"/>
                <w:lang w:val="en-US" w:eastAsia="zh-CN"/>
              </w:rPr>
            </w:pPr>
            <w:r>
              <w:rPr>
                <w:rFonts w:hint="eastAsia"/>
                <w:b/>
                <w:bCs/>
                <w:sz w:val="24"/>
                <w:szCs w:val="24"/>
                <w:lang w:val="en-US" w:eastAsia="zh-CN"/>
              </w:rPr>
              <w:t>PE：</w:t>
            </w:r>
            <w:r>
              <w:rPr>
                <w:rFonts w:ascii="宋体" w:hAnsi="宋体" w:eastAsia="宋体" w:cs="宋体"/>
                <w:sz w:val="24"/>
                <w:szCs w:val="24"/>
              </w:rPr>
              <w:t>是由乙烯单体聚合而成的热塑性树脂，无臭、无味、无毒。纯品为乳白色蜡状固体，薄膜透明，块状半透明或不透明。</w:t>
            </w:r>
            <w:r>
              <w:rPr>
                <w:rFonts w:hint="eastAsia" w:ascii="宋体" w:hAnsi="宋体" w:eastAsia="宋体" w:cs="宋体"/>
                <w:sz w:val="24"/>
                <w:szCs w:val="24"/>
                <w:lang w:eastAsia="zh-CN"/>
              </w:rPr>
              <w:t>密度为</w:t>
            </w:r>
            <w:r>
              <w:rPr>
                <w:rFonts w:hint="default" w:ascii="Times New Roman" w:hAnsi="Times New Roman" w:eastAsia="宋体" w:cs="Times New Roman"/>
                <w:sz w:val="24"/>
                <w:szCs w:val="24"/>
                <w:lang w:eastAsia="zh-CN"/>
              </w:rPr>
              <w:t>0.91～0.965 g/cm³</w:t>
            </w:r>
            <w:r>
              <w:rPr>
                <w:rFonts w:hint="eastAsia" w:ascii="Times New Roman" w:hAnsi="Times New Roman" w:eastAsia="宋体" w:cs="Times New Roman"/>
                <w:sz w:val="24"/>
                <w:szCs w:val="24"/>
                <w:lang w:eastAsia="zh-CN"/>
              </w:rPr>
              <w:t>，</w:t>
            </w:r>
            <w:r>
              <w:rPr>
                <w:rFonts w:ascii="宋体" w:hAnsi="宋体" w:eastAsia="宋体" w:cs="宋体"/>
                <w:sz w:val="24"/>
                <w:szCs w:val="24"/>
              </w:rPr>
              <w:t>熔点</w:t>
            </w:r>
            <w:r>
              <w:rPr>
                <w:rFonts w:hint="eastAsia" w:ascii="宋体" w:hAnsi="宋体" w:eastAsia="宋体" w:cs="宋体"/>
                <w:sz w:val="24"/>
                <w:szCs w:val="24"/>
              </w:rPr>
              <w:t>105～135°C</w:t>
            </w:r>
            <w:r>
              <w:rPr>
                <w:rFonts w:hint="eastAsia" w:ascii="宋体" w:hAnsi="宋体" w:eastAsia="宋体" w:cs="宋体"/>
                <w:sz w:val="24"/>
                <w:szCs w:val="24"/>
                <w:lang w:eastAsia="zh-CN"/>
              </w:rPr>
              <w:t>，</w:t>
            </w:r>
            <w:r>
              <w:rPr>
                <w:rFonts w:ascii="宋体" w:hAnsi="宋体" w:eastAsia="宋体" w:cs="宋体"/>
                <w:sz w:val="24"/>
                <w:szCs w:val="24"/>
              </w:rPr>
              <w:t>耐热性差</w:t>
            </w:r>
            <w:r>
              <w:rPr>
                <w:rFonts w:hint="eastAsia" w:ascii="宋体" w:hAnsi="宋体" w:eastAsia="宋体" w:cs="宋体"/>
                <w:sz w:val="24"/>
                <w:szCs w:val="24"/>
                <w:lang w:eastAsia="zh-CN"/>
              </w:rPr>
              <w:t>，</w:t>
            </w:r>
            <w:r>
              <w:rPr>
                <w:rFonts w:ascii="宋体" w:hAnsi="宋体" w:eastAsia="宋体" w:cs="宋体"/>
                <w:sz w:val="24"/>
                <w:szCs w:val="24"/>
              </w:rPr>
              <w:t>易燃</w:t>
            </w:r>
            <w:r>
              <w:rPr>
                <w:rFonts w:hint="eastAsia" w:ascii="宋体" w:hAnsi="宋体" w:eastAsia="宋体" w:cs="宋体"/>
                <w:sz w:val="24"/>
                <w:szCs w:val="24"/>
                <w:lang w:eastAsia="zh-CN"/>
              </w:rPr>
              <w:t>。</w:t>
            </w:r>
            <w:r>
              <w:rPr>
                <w:rFonts w:ascii="宋体" w:hAnsi="宋体" w:eastAsia="宋体" w:cs="宋体"/>
                <w:sz w:val="24"/>
                <w:szCs w:val="24"/>
              </w:rPr>
              <w:t>拉伸强度较低</w:t>
            </w:r>
            <w:r>
              <w:rPr>
                <w:rFonts w:hint="eastAsia" w:ascii="宋体" w:hAnsi="宋体" w:eastAsia="宋体" w:cs="宋体"/>
                <w:sz w:val="24"/>
                <w:szCs w:val="24"/>
                <w:lang w:eastAsia="zh-CN"/>
              </w:rPr>
              <w:t>，</w:t>
            </w:r>
            <w:r>
              <w:rPr>
                <w:rFonts w:ascii="宋体" w:hAnsi="宋体" w:eastAsia="宋体" w:cs="宋体"/>
                <w:sz w:val="24"/>
                <w:szCs w:val="24"/>
              </w:rPr>
              <w:t>抗冲击性好，尤其低温韧性佳</w:t>
            </w:r>
            <w:r>
              <w:rPr>
                <w:rFonts w:hint="eastAsia" w:ascii="宋体" w:hAnsi="宋体" w:eastAsia="宋体" w:cs="宋体"/>
                <w:sz w:val="24"/>
                <w:szCs w:val="24"/>
                <w:lang w:eastAsia="zh-CN"/>
              </w:rPr>
              <w:t>，</w:t>
            </w:r>
            <w:r>
              <w:rPr>
                <w:rFonts w:ascii="宋体" w:hAnsi="宋体" w:eastAsia="宋体" w:cs="宋体"/>
                <w:sz w:val="24"/>
                <w:szCs w:val="24"/>
              </w:rPr>
              <w:t>抗蠕变性差，易受力变形。</w:t>
            </w:r>
          </w:p>
          <w:p w14:paraId="5D3F471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b w:val="0"/>
                <w:bCs w:val="0"/>
                <w:sz w:val="24"/>
                <w:szCs w:val="24"/>
                <w:lang w:val="en-US" w:eastAsia="zh-CN"/>
              </w:rPr>
            </w:pPr>
            <w:r>
              <w:rPr>
                <w:rFonts w:hint="eastAsia"/>
                <w:b/>
                <w:bCs/>
                <w:sz w:val="24"/>
                <w:szCs w:val="24"/>
                <w:lang w:val="en-US" w:eastAsia="zh-CN"/>
              </w:rPr>
              <w:t>轻钙（碳酸钙）：</w:t>
            </w:r>
            <w:r>
              <w:rPr>
                <w:rFonts w:hint="eastAsia"/>
                <w:b w:val="0"/>
                <w:bCs w:val="0"/>
                <w:sz w:val="24"/>
                <w:szCs w:val="24"/>
                <w:lang w:val="en-US" w:eastAsia="zh-CN"/>
              </w:rPr>
              <w:t>采用轻质碳酸钙，用化学加工方法制得的，由于它的沉降体积（2.4—2.8mL/g）比用机械方法生产的重质碳酸钙沉降体积（1.1—1.9mL/g）大，因此被称为轻质碳酸钙。其特点为白色粉末或无色结晶、无气味，粒径为0.5-15um。碳酸钙在塑料制品中能起到一种骨架作用，对塑料制品尺寸的稳定性有很大作用，</w:t>
            </w:r>
          </w:p>
          <w:p w14:paraId="659BE8E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b w:val="0"/>
                <w:bCs w:val="0"/>
                <w:sz w:val="24"/>
                <w:szCs w:val="24"/>
                <w:lang w:val="en-US" w:eastAsia="zh-CN"/>
              </w:rPr>
            </w:pPr>
            <w:r>
              <w:rPr>
                <w:rFonts w:hint="eastAsia"/>
                <w:b w:val="0"/>
                <w:bCs w:val="0"/>
                <w:sz w:val="24"/>
                <w:szCs w:val="24"/>
                <w:lang w:val="en-US" w:eastAsia="zh-CN"/>
              </w:rPr>
              <w:t>能提高制品的硬度，还可以提高制品的表面光泽和表面平整性。在一般塑料制品中添加碳酸钙耐热性可以提高，由于碳酸钙白度在90%以上，还可以取代昂贵的白色颜料起到增白作用。</w:t>
            </w:r>
          </w:p>
          <w:p w14:paraId="04D1CD6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b w:val="0"/>
                <w:bCs w:val="0"/>
                <w:color w:val="auto"/>
                <w:sz w:val="24"/>
                <w:szCs w:val="24"/>
                <w:lang w:val="en-US" w:eastAsia="zh-CN"/>
              </w:rPr>
            </w:pPr>
            <w:r>
              <w:rPr>
                <w:rFonts w:hint="eastAsia"/>
                <w:b/>
                <w:bCs/>
                <w:color w:val="auto"/>
                <w:sz w:val="24"/>
                <w:szCs w:val="24"/>
                <w:lang w:val="en-US" w:eastAsia="zh-CN"/>
              </w:rPr>
              <w:t>ASA面料：</w:t>
            </w:r>
            <w:r>
              <w:rPr>
                <w:rFonts w:hint="eastAsia"/>
                <w:b w:val="0"/>
                <w:bCs w:val="0"/>
                <w:color w:val="auto"/>
                <w:sz w:val="24"/>
                <w:szCs w:val="24"/>
                <w:lang w:val="en-US" w:eastAsia="zh-CN"/>
              </w:rPr>
              <w:t>ASA面料是由苯乙烯、丙烯腈和丙烯酸酯类橡胶体共聚而成，再经凝聚、洗涤、干燥后挤出成膜制成，ASA树脂在生产过程中可能残存游离单体在洗涤、干燥挤出成膜等过程挥发后，但产品中游离态单体较少。ASA具有很强的耐候性，高分子聚合物中若含有双键，则双键容易被能量强度较大的太阳光中的紫外线灯打开，由此造成高分子聚合物的耐老化性能下降，而ASA正是用不含不饱和双键的丙烯酸橡胶替代了ABS中含有不饱和双键的丁二烯橡胶，因此，不但可抵抗紫外线照射引起的降解、老化、褪色，还避免了大气的氧化、加工过程高温引起的分解或变色由此极大地提升了材料的抗老化与耐候性能。根据测试结果，ASA的抗老化性能是ABS的10倍以上。根据研究，ASA树脂热稳定好，其分解温度在270℃以上。本项目PVC树脂瓦面层采用ASA塑料膜复合而成。</w:t>
            </w:r>
          </w:p>
          <w:p w14:paraId="34E01BD2">
            <w:pPr>
              <w:pStyle w:val="14"/>
              <w:keepNext w:val="0"/>
              <w:keepLines w:val="0"/>
              <w:pageBreakBefore w:val="0"/>
              <w:widowControl w:val="0"/>
              <w:kinsoku/>
              <w:wordWrap/>
              <w:overflowPunct/>
              <w:topLinePunct w:val="0"/>
              <w:autoSpaceDE/>
              <w:autoSpaceDN/>
              <w:bidi w:val="0"/>
              <w:adjustRightInd w:val="0"/>
              <w:snapToGrid w:val="0"/>
              <w:spacing w:after="0" w:line="360" w:lineRule="auto"/>
              <w:ind w:left="0" w:leftChars="0"/>
              <w:textAlignment w:val="auto"/>
              <w:rPr>
                <w:rFonts w:hint="eastAsia"/>
                <w:sz w:val="24"/>
                <w:szCs w:val="24"/>
                <w:lang w:val="en-US" w:eastAsia="zh-CN"/>
              </w:rPr>
            </w:pPr>
            <w:r>
              <w:rPr>
                <w:rFonts w:hint="eastAsia"/>
                <w:b/>
                <w:bCs/>
                <w:sz w:val="24"/>
                <w:szCs w:val="24"/>
                <w:lang w:val="en-US" w:eastAsia="zh-CN"/>
              </w:rPr>
              <w:t>稳定剂：</w:t>
            </w:r>
            <w:r>
              <w:rPr>
                <w:rFonts w:hint="eastAsia"/>
                <w:sz w:val="24"/>
                <w:szCs w:val="24"/>
                <w:lang w:val="en-US" w:eastAsia="zh-CN"/>
              </w:rPr>
              <w:t>热稳定剂是塑料加工助剂中重要类别之一，本项目采用的稳定剂主要由钙盐、锌盐、润滑剂、抗氧剂等，采用特殊工艺复合而成的复合盐，不含有毒有害重金属成分。PVC塑料只有在160℃以上才能加工成型，而它在120~130℃时就开始热分解，释放出HCl气体，如果不抑制HCl的产生，分解又会进一步加剧。在实际生产过程中，PVC塑料中含有少量的如铅盐、金属皂、酚、芳胺等杂质时，既不影响其加工与应用，又能在一定程度上起到延缓其热分解的作用。</w:t>
            </w:r>
          </w:p>
          <w:p w14:paraId="73D7711C">
            <w:pPr>
              <w:pStyle w:val="1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2" w:firstLineChars="200"/>
              <w:textAlignment w:val="auto"/>
              <w:rPr>
                <w:rFonts w:hint="eastAsia"/>
                <w:b w:val="0"/>
                <w:bCs w:val="0"/>
                <w:sz w:val="24"/>
                <w:szCs w:val="24"/>
                <w:lang w:val="en-US" w:eastAsia="zh-CN"/>
              </w:rPr>
            </w:pPr>
            <w:r>
              <w:rPr>
                <w:rFonts w:hint="eastAsia"/>
                <w:b/>
                <w:bCs/>
                <w:color w:val="000000"/>
                <w:sz w:val="24"/>
                <w:szCs w:val="24"/>
              </w:rPr>
              <w:t>发泡剂</w:t>
            </w:r>
            <w:r>
              <w:rPr>
                <w:rFonts w:hint="eastAsia"/>
                <w:b/>
                <w:bCs/>
                <w:color w:val="000000"/>
                <w:sz w:val="24"/>
                <w:szCs w:val="24"/>
                <w:lang w:eastAsia="zh-CN"/>
              </w:rPr>
              <w:t>：</w:t>
            </w:r>
            <w:r>
              <w:rPr>
                <w:rFonts w:hint="eastAsia"/>
                <w:b w:val="0"/>
                <w:bCs w:val="0"/>
                <w:sz w:val="24"/>
                <w:szCs w:val="24"/>
                <w:lang w:val="en-US" w:eastAsia="zh-CN"/>
              </w:rPr>
              <w:t>PVC发泡调节剂是一种丙烯酸酯类高分子加工助剂，通过超高分子量设计增强PVC熔体强度与均质性，优化发泡制品的泡孔结构均匀性与密度。其核心功能包括促进PVC塑化、提升熔体内聚力以及维持熔体流动性，从而防止发泡过程中气泡合并与塌陷，适用于建筑板材、广告板、管材等硬质PVC发泡制品生产。</w:t>
            </w:r>
          </w:p>
          <w:p w14:paraId="6D887836">
            <w:pPr>
              <w:pStyle w:val="14"/>
              <w:keepNext w:val="0"/>
              <w:keepLines w:val="0"/>
              <w:pageBreakBefore w:val="0"/>
              <w:widowControl w:val="0"/>
              <w:kinsoku/>
              <w:wordWrap/>
              <w:overflowPunct/>
              <w:topLinePunct w:val="0"/>
              <w:autoSpaceDE/>
              <w:autoSpaceDN/>
              <w:bidi w:val="0"/>
              <w:adjustRightInd w:val="0"/>
              <w:snapToGrid w:val="0"/>
              <w:spacing w:after="0" w:line="360" w:lineRule="auto"/>
              <w:ind w:left="0" w:leftChars="0"/>
              <w:textAlignment w:val="auto"/>
              <w:rPr>
                <w:rFonts w:hint="eastAsia"/>
                <w:sz w:val="24"/>
                <w:szCs w:val="24"/>
                <w:lang w:val="en-US" w:eastAsia="zh-CN"/>
              </w:rPr>
            </w:pPr>
            <w:r>
              <w:rPr>
                <w:rFonts w:hint="eastAsia"/>
                <w:b/>
                <w:bCs/>
                <w:sz w:val="24"/>
                <w:szCs w:val="24"/>
                <w:lang w:val="en-US" w:eastAsia="zh-CN"/>
              </w:rPr>
              <w:t>润滑剂：</w:t>
            </w:r>
            <w:r>
              <w:rPr>
                <w:rFonts w:hint="eastAsia"/>
                <w:sz w:val="24"/>
                <w:szCs w:val="24"/>
                <w:lang w:val="en-US" w:eastAsia="zh-CN"/>
              </w:rPr>
              <w:t>PVC润滑剂是塑料加工中用于改善树脂流动性和制品脱模性的助剂，主要应用于PVC等材料加工领域。其通过减少熔体摩擦、防止粘黏设备及降解，提升加工效率和制品质量。</w:t>
            </w:r>
          </w:p>
          <w:p w14:paraId="1ED90BCD">
            <w:pPr>
              <w:pStyle w:val="14"/>
              <w:keepNext w:val="0"/>
              <w:keepLines w:val="0"/>
              <w:pageBreakBefore w:val="0"/>
              <w:widowControl w:val="0"/>
              <w:kinsoku/>
              <w:wordWrap/>
              <w:overflowPunct/>
              <w:topLinePunct w:val="0"/>
              <w:autoSpaceDE/>
              <w:autoSpaceDN/>
              <w:bidi w:val="0"/>
              <w:adjustRightInd w:val="0"/>
              <w:snapToGrid w:val="0"/>
              <w:spacing w:after="0" w:line="360" w:lineRule="auto"/>
              <w:ind w:left="0" w:leftChars="0"/>
              <w:textAlignment w:val="auto"/>
              <w:rPr>
                <w:rFonts w:hint="eastAsia"/>
                <w:sz w:val="24"/>
                <w:szCs w:val="24"/>
                <w:lang w:val="en-US" w:eastAsia="zh-CN"/>
              </w:rPr>
            </w:pPr>
            <w:r>
              <w:rPr>
                <w:rFonts w:hint="eastAsia"/>
                <w:sz w:val="24"/>
                <w:szCs w:val="24"/>
                <w:lang w:val="en-US" w:eastAsia="zh-CN"/>
              </w:rPr>
              <w:t>该产品按作用机理分为外润滑剂（如石蜡、聚乙烯蜡）和内润滑剂（如硬脂酸酯类），前者在界面形成润滑层，后者降低熔体黏度。外观多为微黄色蜡样固体、片状或白色粉末，具有耐热、防喷霜、增强透明度等特性。实际应用中多采用复配方式平衡内外润滑效果，推荐添加量通常为0.1-0.8PHR，最高可提升脱模性能25%及加工效率30%。部分产品还具备环保特性，适配PVC发泡制品、双螺杆挤出等工艺，并优化填料分散性与制品光泽度。</w:t>
            </w:r>
          </w:p>
          <w:p w14:paraId="4D368F25">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b w:val="0"/>
                <w:bCs w:val="0"/>
                <w:snapToGrid/>
                <w:color w:val="000000" w:themeColor="text1"/>
                <w:spacing w:val="0"/>
                <w:kern w:val="0"/>
                <w:position w:val="0"/>
                <w:sz w:val="24"/>
                <w:szCs w:val="24"/>
                <w:lang w:val="en-US" w:eastAsia="zh-CN"/>
                <w14:textFill>
                  <w14:solidFill>
                    <w14:schemeClr w14:val="tx1"/>
                  </w14:solidFill>
                </w14:textFill>
              </w:rPr>
            </w:pPr>
            <w:r>
              <w:rPr>
                <w:rFonts w:hint="eastAsia"/>
                <w:b/>
                <w:bCs/>
                <w:snapToGrid/>
                <w:color w:val="000000" w:themeColor="text1"/>
                <w:spacing w:val="0"/>
                <w:kern w:val="0"/>
                <w:position w:val="0"/>
                <w:sz w:val="24"/>
                <w:szCs w:val="24"/>
                <w:lang w:val="en-US" w:eastAsia="zh-CN"/>
                <w14:textFill>
                  <w14:solidFill>
                    <w14:schemeClr w14:val="tx1"/>
                  </w14:solidFill>
                </w14:textFill>
              </w:rPr>
              <w:t>阻燃剂：</w:t>
            </w:r>
            <w:r>
              <w:rPr>
                <w:rFonts w:hint="eastAsia"/>
                <w:b w:val="0"/>
                <w:bCs w:val="0"/>
                <w:snapToGrid/>
                <w:color w:val="000000" w:themeColor="text1"/>
                <w:spacing w:val="0"/>
                <w:kern w:val="0"/>
                <w:position w:val="0"/>
                <w:sz w:val="24"/>
                <w:szCs w:val="24"/>
                <w:lang w:val="en-US" w:eastAsia="zh-CN"/>
                <w14:textFill>
                  <w14:solidFill>
                    <w14:schemeClr w14:val="tx1"/>
                  </w14:solidFill>
                </w14:textFill>
              </w:rPr>
              <w:t>阻燃剂是赋予易燃聚合物难燃性的功能性助剂，主要是针对高分子材料的阻燃设计的。阻燃剂的使用一般应具备以下几个条件：不降低高分子材料的物性，如耐热性、机械强度、电气性能；分解温度不应太高，但在加工温度下又不能分解；耐久性好；耐候性好。</w:t>
            </w:r>
          </w:p>
          <w:p w14:paraId="46E95514">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2" w:firstLineChars="200"/>
              <w:textAlignment w:val="auto"/>
              <w:rPr>
                <w:rFonts w:hint="eastAsia"/>
                <w:b w:val="0"/>
                <w:bCs w:val="0"/>
                <w:sz w:val="24"/>
                <w:szCs w:val="24"/>
                <w:lang w:val="en-US" w:eastAsia="zh-CN"/>
              </w:rPr>
            </w:pPr>
            <w:r>
              <w:rPr>
                <w:rFonts w:hint="eastAsia"/>
                <w:b/>
                <w:bCs/>
                <w:sz w:val="24"/>
                <w:szCs w:val="24"/>
                <w:lang w:val="en-US" w:eastAsia="zh-CN"/>
              </w:rPr>
              <w:t>PE木塑底料：</w:t>
            </w:r>
            <w:r>
              <w:rPr>
                <w:rFonts w:hint="eastAsia"/>
                <w:b w:val="0"/>
                <w:bCs w:val="0"/>
                <w:sz w:val="24"/>
                <w:szCs w:val="24"/>
                <w:lang w:val="en-US" w:eastAsia="zh-CN"/>
              </w:rPr>
              <w:t>PE木塑底料是以聚乙烯（PE） 为基体，与木质/植物纤维（木粉、稻壳、秸秆等）复配功能性助剂造粒制成的基础复合材料，是生产木塑地板、园林构件、户外家具等制品的核心原料，常搭配色母、共挤层料使用。PE基体：占比40%—60%，可用原生或再生PE，决定耐候、耐腐蚀等基础性能；</w:t>
            </w:r>
          </w:p>
          <w:p w14:paraId="537B9D27">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textAlignment w:val="auto"/>
              <w:rPr>
                <w:rFonts w:hint="eastAsia"/>
                <w:b w:val="0"/>
                <w:bCs w:val="0"/>
                <w:sz w:val="24"/>
                <w:szCs w:val="24"/>
                <w:lang w:val="en-US" w:eastAsia="zh-CN"/>
              </w:rPr>
            </w:pPr>
            <w:r>
              <w:rPr>
                <w:rFonts w:hint="eastAsia"/>
                <w:b w:val="0"/>
                <w:bCs w:val="0"/>
                <w:sz w:val="24"/>
                <w:szCs w:val="24"/>
                <w:lang w:val="en-US" w:eastAsia="zh-CN"/>
              </w:rPr>
              <w:t>植物纤维：占比30%—50%，提供木材质感，粒径、含水率直接影响制品强度与稳定性；</w:t>
            </w:r>
          </w:p>
          <w:p w14:paraId="74541651">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功能助剂：占比5%—10%，含抗紫外、抗氧化、润滑剂、稳定剂等，提升耐老化、加工流动性与使用寿命；</w:t>
            </w:r>
          </w:p>
          <w:p w14:paraId="10F98F7D">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可选填充：部分配方添加碳酸钙等无机粉体，降低成本并改善刚性。</w:t>
            </w:r>
          </w:p>
          <w:p w14:paraId="478F8019">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关键特性性能融合：兼具木材纹理与塑料稳定性，耐水、防腐、防虫蛀，热膨胀系数比实木低50%—70%；</w:t>
            </w:r>
          </w:p>
          <w:p w14:paraId="41EE29A3">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耐候耐用：户外耐候可达10—15年，-40℃至60℃环境下颜色与结构稳定；</w:t>
            </w:r>
          </w:p>
          <w:p w14:paraId="1B386E4D">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加工友好：可挤出、模压、注塑，易钉、钻、锯，适配复杂截面与个性化纹理；</w:t>
            </w:r>
          </w:p>
          <w:p w14:paraId="599815EC">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绿色环保：原料多为农林废弃物，可循环利用，符合低碳理念。</w:t>
            </w:r>
          </w:p>
          <w:p w14:paraId="1863F895">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主要用途</w:t>
            </w:r>
          </w:p>
          <w:p w14:paraId="0CD6B7AB">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户外场景：木塑地板、栈道、护栏、廊架、花箱等园林景观材料；</w:t>
            </w:r>
          </w:p>
          <w:p w14:paraId="5974F597">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建筑与装饰：外墙挂板、室内装饰条、户外门窗框等；</w:t>
            </w:r>
          </w:p>
          <w:p w14:paraId="3A312529">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default"/>
                <w:b/>
                <w:bCs/>
                <w:sz w:val="24"/>
                <w:szCs w:val="24"/>
                <w:lang w:val="en-US" w:eastAsia="zh-CN"/>
              </w:rPr>
            </w:pPr>
            <w:r>
              <w:rPr>
                <w:rFonts w:hint="eastAsia"/>
                <w:b w:val="0"/>
                <w:bCs w:val="0"/>
                <w:sz w:val="24"/>
                <w:szCs w:val="24"/>
                <w:lang w:val="en-US" w:eastAsia="zh-CN"/>
              </w:rPr>
              <w:t>家具与工业：户外桌椅、托盘、物流周转箱等耐腐蚀制品</w:t>
            </w:r>
          </w:p>
          <w:p w14:paraId="2438C068">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eastAsia" w:cs="Times New Roman"/>
                <w:b/>
                <w:bCs/>
                <w:color w:val="auto"/>
                <w:sz w:val="24"/>
                <w:szCs w:val="24"/>
                <w:lang w:val="en-US" w:eastAsia="zh-CN"/>
              </w:rPr>
            </w:pPr>
            <w:r>
              <w:rPr>
                <w:rFonts w:hint="eastAsia" w:cs="Times New Roman"/>
                <w:b/>
                <w:bCs/>
                <w:color w:val="auto"/>
                <w:sz w:val="24"/>
                <w:szCs w:val="24"/>
                <w:lang w:val="en-US" w:eastAsia="zh-CN"/>
              </w:rPr>
              <w:t>6.水平衡</w:t>
            </w:r>
          </w:p>
          <w:p w14:paraId="11E97DA0">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outlineLvl w:val="9"/>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本</w:t>
            </w:r>
            <w:r>
              <w:rPr>
                <w:rFonts w:hint="default" w:ascii="Times New Roman" w:hAnsi="Times New Roman" w:cs="Times New Roman"/>
                <w:color w:val="auto"/>
                <w:sz w:val="24"/>
                <w:szCs w:val="24"/>
              </w:rPr>
              <w:t>项目</w:t>
            </w:r>
            <w:r>
              <w:rPr>
                <w:rFonts w:hint="eastAsia" w:ascii="Times New Roman" w:hAnsi="Times New Roman" w:cs="Times New Roman"/>
                <w:color w:val="auto"/>
                <w:sz w:val="24"/>
                <w:szCs w:val="24"/>
                <w:lang w:eastAsia="zh-CN"/>
              </w:rPr>
              <w:t>营运过程中所产生的废水主要为生活污水</w:t>
            </w:r>
            <w:r>
              <w:rPr>
                <w:rFonts w:hint="eastAsia" w:cs="Times New Roman"/>
                <w:color w:val="auto"/>
                <w:sz w:val="24"/>
                <w:szCs w:val="24"/>
                <w:lang w:eastAsia="zh-CN"/>
              </w:rPr>
              <w:t>和</w:t>
            </w:r>
            <w:r>
              <w:rPr>
                <w:rFonts w:hint="eastAsia" w:cs="Times New Roman"/>
                <w:color w:val="auto"/>
                <w:sz w:val="24"/>
                <w:szCs w:val="24"/>
                <w:lang w:val="en-US" w:eastAsia="zh-CN"/>
              </w:rPr>
              <w:t>喷淋废水</w:t>
            </w:r>
            <w:r>
              <w:rPr>
                <w:rFonts w:hint="eastAsia" w:cs="Times New Roman"/>
                <w:color w:val="auto"/>
                <w:sz w:val="24"/>
                <w:szCs w:val="24"/>
                <w:lang w:eastAsia="zh-CN"/>
              </w:rPr>
              <w:t>。</w:t>
            </w:r>
          </w:p>
          <w:p w14:paraId="394378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olor w:val="auto"/>
                <w:sz w:val="24"/>
                <w:szCs w:val="24"/>
                <w:lang w:val="en-US" w:eastAsia="zh-CN"/>
              </w:rPr>
            </w:pPr>
            <w:r>
              <w:rPr>
                <w:rFonts w:hint="eastAsia" w:ascii="宋体" w:hAnsi="宋体" w:eastAsia="宋体" w:cs="宋体"/>
                <w:color w:val="auto"/>
                <w:sz w:val="24"/>
                <w:szCs w:val="24"/>
                <w:lang w:val="en-US" w:eastAsia="zh-CN"/>
              </w:rPr>
              <w:t>①</w:t>
            </w:r>
            <w:r>
              <w:rPr>
                <w:rFonts w:hint="eastAsia"/>
                <w:color w:val="auto"/>
                <w:sz w:val="24"/>
                <w:szCs w:val="24"/>
                <w:lang w:val="en-US" w:eastAsia="zh-CN"/>
              </w:rPr>
              <w:t>生活污水</w:t>
            </w:r>
          </w:p>
          <w:p w14:paraId="3CC9AA22">
            <w:pPr>
              <w:pStyle w:val="14"/>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firstLine="480" w:firstLineChars="200"/>
              <w:textAlignment w:val="auto"/>
              <w:rPr>
                <w:rFonts w:hint="default" w:ascii="Times New Roman" w:hAnsi="Times New Roman" w:eastAsia="宋体" w:cs="Times New Roman"/>
                <w:b w:val="0"/>
                <w:bCs w:val="0"/>
                <w:color w:val="auto"/>
                <w:sz w:val="24"/>
                <w:szCs w:val="24"/>
                <w:lang w:eastAsia="zh-CN"/>
              </w:rPr>
            </w:pPr>
            <w:r>
              <w:rPr>
                <w:rFonts w:hint="eastAsia" w:ascii="Times New Roman" w:hAnsi="Times New Roman" w:eastAsia="宋体" w:cs="Times New Roman"/>
                <w:color w:val="auto"/>
                <w:sz w:val="24"/>
                <w:szCs w:val="24"/>
                <w:highlight w:val="none"/>
                <w:lang w:eastAsia="zh-CN"/>
              </w:rPr>
              <w:t>项目</w:t>
            </w:r>
            <w:r>
              <w:rPr>
                <w:rFonts w:hint="eastAsia" w:eastAsia="宋体" w:cs="Times New Roman"/>
                <w:color w:val="auto"/>
                <w:sz w:val="24"/>
                <w:szCs w:val="24"/>
                <w:highlight w:val="none"/>
                <w:lang w:eastAsia="zh-CN"/>
              </w:rPr>
              <w:t>新增劳动定员</w:t>
            </w:r>
            <w:r>
              <w:rPr>
                <w:rFonts w:hint="eastAsia" w:eastAsia="宋体" w:cs="Times New Roman"/>
                <w:color w:val="auto"/>
                <w:sz w:val="24"/>
                <w:szCs w:val="24"/>
                <w:highlight w:val="none"/>
                <w:lang w:val="en-US" w:eastAsia="zh-CN"/>
              </w:rPr>
              <w:t>20</w:t>
            </w:r>
            <w:r>
              <w:rPr>
                <w:rFonts w:hint="default" w:ascii="Times New Roman" w:hAnsi="Times New Roman" w:eastAsia="宋体" w:cs="Times New Roman"/>
                <w:color w:val="auto"/>
                <w:sz w:val="24"/>
                <w:szCs w:val="24"/>
                <w:highlight w:val="none"/>
                <w:lang w:val="en-US" w:eastAsia="zh-CN"/>
              </w:rPr>
              <w:t>人，项目不设置食堂</w:t>
            </w:r>
            <w:r>
              <w:rPr>
                <w:rFonts w:hint="eastAsia"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根据《宿州市城市行业用水定额》（DB3413/T0001-2020），职工日人均用水量按</w:t>
            </w:r>
            <w:r>
              <w:rPr>
                <w:rFonts w:hint="eastAsia"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0L估算</w:t>
            </w:r>
            <w:r>
              <w:rPr>
                <w:rFonts w:hint="eastAsia" w:ascii="Times New Roman" w:hAnsi="Times New Roman" w:cs="Times New Roman"/>
                <w:color w:val="auto"/>
                <w:sz w:val="24"/>
                <w:szCs w:val="24"/>
                <w:highlight w:val="none"/>
                <w:lang w:val="en-US" w:eastAsia="zh-CN"/>
              </w:rPr>
              <w:t>，年工作时间按300天计算</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则</w:t>
            </w:r>
            <w:r>
              <w:rPr>
                <w:rFonts w:hint="eastAsia" w:ascii="Times New Roman" w:hAnsi="Times New Roman" w:eastAsia="宋体" w:cs="Times New Roman"/>
                <w:color w:val="auto"/>
                <w:kern w:val="0"/>
                <w:sz w:val="24"/>
                <w:szCs w:val="24"/>
                <w:lang w:val="en-US" w:eastAsia="zh-CN" w:bidi="ar-SA"/>
              </w:rPr>
              <w:t>职工生活用水量为</w:t>
            </w:r>
            <w:r>
              <w:rPr>
                <w:rFonts w:hint="eastAsia" w:eastAsia="宋体" w:cs="Times New Roman"/>
                <w:color w:val="auto"/>
                <w:kern w:val="0"/>
                <w:sz w:val="24"/>
                <w:szCs w:val="24"/>
                <w:lang w:val="en-US" w:eastAsia="zh-CN" w:bidi="ar-SA"/>
              </w:rPr>
              <w:t>1.4</w:t>
            </w:r>
            <w:r>
              <w:rPr>
                <w:rFonts w:hint="eastAsia" w:ascii="Times New Roman" w:hAnsi="Times New Roman" w:eastAsia="宋体" w:cs="Times New Roman"/>
                <w:color w:val="auto"/>
                <w:kern w:val="0"/>
                <w:sz w:val="24"/>
                <w:szCs w:val="24"/>
                <w:lang w:val="en-US" w:eastAsia="zh-CN" w:bidi="ar-SA"/>
              </w:rPr>
              <w:t>t/d（</w:t>
            </w:r>
            <w:r>
              <w:rPr>
                <w:rFonts w:hint="eastAsia" w:eastAsia="宋体" w:cs="Times New Roman"/>
                <w:color w:val="auto"/>
                <w:kern w:val="0"/>
                <w:sz w:val="24"/>
                <w:szCs w:val="24"/>
                <w:lang w:val="en-US" w:eastAsia="zh-CN" w:bidi="ar-SA"/>
              </w:rPr>
              <w:t>420</w:t>
            </w:r>
            <w:r>
              <w:rPr>
                <w:rFonts w:hint="eastAsia" w:ascii="Times New Roman" w:hAnsi="Times New Roman" w:eastAsia="宋体" w:cs="Times New Roman"/>
                <w:color w:val="auto"/>
                <w:kern w:val="0"/>
                <w:sz w:val="24"/>
                <w:szCs w:val="24"/>
                <w:lang w:val="en-US" w:eastAsia="zh-CN" w:bidi="ar-SA"/>
              </w:rPr>
              <w:t>t/a）。</w:t>
            </w:r>
            <w:r>
              <w:rPr>
                <w:rFonts w:hint="default" w:ascii="Times New Roman" w:hAnsi="Times New Roman" w:eastAsia="宋体" w:cs="Times New Roman"/>
                <w:color w:val="auto"/>
                <w:sz w:val="24"/>
                <w:szCs w:val="24"/>
                <w:highlight w:val="none"/>
                <w:lang w:val="en-US" w:eastAsia="zh-CN"/>
              </w:rPr>
              <w:t>废水产生量按照用水量的80%计算，则产生的生活污水量为</w:t>
            </w:r>
            <w:r>
              <w:rPr>
                <w:rFonts w:hint="eastAsia" w:eastAsia="宋体" w:cs="Times New Roman"/>
                <w:color w:val="auto"/>
                <w:sz w:val="24"/>
                <w:szCs w:val="24"/>
                <w:highlight w:val="none"/>
                <w:lang w:val="en-US" w:eastAsia="zh-CN"/>
              </w:rPr>
              <w:t>1.12</w:t>
            </w:r>
            <w:r>
              <w:rPr>
                <w:rFonts w:hint="default" w:ascii="Times New Roman" w:hAnsi="Times New Roman" w:eastAsia="宋体" w:cs="Times New Roman"/>
                <w:color w:val="auto"/>
                <w:sz w:val="24"/>
                <w:szCs w:val="24"/>
                <w:highlight w:val="none"/>
                <w:lang w:val="en-US" w:eastAsia="zh-CN"/>
              </w:rPr>
              <w:t>t/d</w:t>
            </w:r>
            <w:r>
              <w:rPr>
                <w:rFonts w:hint="eastAsia" w:ascii="Times New Roman" w:hAnsi="Times New Roman" w:eastAsia="宋体" w:cs="Times New Roman"/>
                <w:color w:val="auto"/>
                <w:sz w:val="24"/>
                <w:szCs w:val="24"/>
                <w:highlight w:val="none"/>
                <w:lang w:val="en-US" w:eastAsia="zh-CN"/>
              </w:rPr>
              <w:t>（</w:t>
            </w:r>
            <w:r>
              <w:rPr>
                <w:rFonts w:hint="eastAsia" w:eastAsia="宋体" w:cs="Times New Roman"/>
                <w:color w:val="auto"/>
                <w:sz w:val="24"/>
                <w:szCs w:val="24"/>
                <w:highlight w:val="none"/>
                <w:lang w:val="en-US" w:eastAsia="zh-CN"/>
              </w:rPr>
              <w:t>336</w:t>
            </w:r>
            <w:r>
              <w:rPr>
                <w:rFonts w:hint="eastAsia" w:ascii="Times New Roman" w:hAnsi="Times New Roman" w:cs="Times New Roman"/>
                <w:color w:val="auto"/>
                <w:sz w:val="24"/>
                <w:szCs w:val="24"/>
                <w:highlight w:val="none"/>
                <w:lang w:val="en-US" w:eastAsia="zh-CN"/>
              </w:rPr>
              <w:t>t</w:t>
            </w:r>
            <w:r>
              <w:rPr>
                <w:rFonts w:hint="default" w:ascii="Times New Roman" w:hAnsi="Times New Roman" w:eastAsia="宋体" w:cs="Times New Roman"/>
                <w:color w:val="auto"/>
                <w:sz w:val="24"/>
                <w:szCs w:val="24"/>
                <w:highlight w:val="none"/>
                <w:lang w:val="en-US" w:eastAsia="zh-CN"/>
              </w:rPr>
              <w:t>/a</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生活污水经化粪池预处理后</w:t>
            </w:r>
            <w:r>
              <w:rPr>
                <w:rFonts w:hint="eastAsia" w:ascii="Times New Roman" w:hAnsi="Times New Roman" w:eastAsia="宋体" w:cs="Times New Roman"/>
                <w:b w:val="0"/>
                <w:bCs w:val="0"/>
                <w:color w:val="auto"/>
                <w:sz w:val="24"/>
                <w:szCs w:val="24"/>
                <w:lang w:eastAsia="zh-CN"/>
              </w:rPr>
              <w:t>排入</w:t>
            </w:r>
            <w:r>
              <w:rPr>
                <w:rFonts w:hint="eastAsia"/>
                <w:color w:val="auto"/>
                <w:sz w:val="24"/>
                <w:lang w:eastAsia="zh-CN"/>
              </w:rPr>
              <w:t>城东污水处理厂</w:t>
            </w:r>
            <w:r>
              <w:rPr>
                <w:rFonts w:hint="default" w:ascii="Times New Roman" w:hAnsi="Times New Roman" w:eastAsia="宋体" w:cs="Times New Roman"/>
                <w:b w:val="0"/>
                <w:bCs w:val="0"/>
                <w:color w:val="auto"/>
                <w:sz w:val="24"/>
                <w:szCs w:val="24"/>
                <w:lang w:eastAsia="zh-CN"/>
              </w:rPr>
              <w:t>。</w:t>
            </w:r>
          </w:p>
          <w:p w14:paraId="0940F687">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w:t>
            </w:r>
            <w:r>
              <w:rPr>
                <w:rFonts w:hint="eastAsia" w:ascii="Times New Roman" w:hAnsi="Times New Roman" w:cs="Times New Roman"/>
                <w:color w:val="auto"/>
                <w:sz w:val="24"/>
                <w:szCs w:val="24"/>
                <w:highlight w:val="none"/>
                <w:lang w:val="en-US" w:eastAsia="zh-CN"/>
              </w:rPr>
              <w:t>冷却废水</w:t>
            </w:r>
          </w:p>
          <w:p w14:paraId="79D705D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cs="Times New Roman"/>
                <w:color w:val="auto"/>
                <w:kern w:val="0"/>
                <w:sz w:val="24"/>
                <w:szCs w:val="24"/>
                <w:lang w:val="en-US" w:eastAsia="zh-CN" w:bidi="ar"/>
              </w:rPr>
            </w:pPr>
            <w:r>
              <w:rPr>
                <w:rFonts w:hint="eastAsia" w:ascii="Times New Roman" w:hAnsi="Times New Roman" w:cs="Times New Roman"/>
                <w:color w:val="auto"/>
                <w:sz w:val="24"/>
                <w:szCs w:val="24"/>
                <w:highlight w:val="none"/>
                <w:lang w:val="en-US" w:eastAsia="zh-CN"/>
              </w:rPr>
              <w:t>PVC板材、PE板材冷却定型均使用水冷冷却。</w:t>
            </w:r>
            <w:r>
              <w:rPr>
                <w:rFonts w:ascii="宋体" w:hAnsi="宋体" w:eastAsia="宋体" w:cs="宋体"/>
                <w:color w:val="auto"/>
                <w:sz w:val="24"/>
                <w:szCs w:val="24"/>
              </w:rPr>
              <w:t>根据工程设计，</w:t>
            </w:r>
            <w:r>
              <w:rPr>
                <w:rFonts w:hint="eastAsia" w:ascii="Times New Roman" w:hAnsi="Times New Roman" w:cs="Times New Roman"/>
                <w:color w:val="auto"/>
                <w:sz w:val="24"/>
                <w:szCs w:val="24"/>
                <w:highlight w:val="none"/>
                <w:lang w:val="en-US" w:eastAsia="zh-CN"/>
              </w:rPr>
              <w:t>冷却</w:t>
            </w:r>
            <w:r>
              <w:rPr>
                <w:rFonts w:ascii="宋体" w:hAnsi="宋体" w:eastAsia="宋体" w:cs="宋体"/>
                <w:color w:val="auto"/>
                <w:sz w:val="24"/>
                <w:szCs w:val="24"/>
              </w:rPr>
              <w:t>水</w:t>
            </w:r>
            <w:r>
              <w:rPr>
                <w:rFonts w:hint="eastAsia" w:ascii="宋体" w:hAnsi="宋体" w:eastAsia="宋体" w:cs="宋体"/>
                <w:color w:val="auto"/>
                <w:sz w:val="24"/>
                <w:szCs w:val="24"/>
                <w:lang w:eastAsia="zh-CN"/>
              </w:rPr>
              <w:t>池有效容量</w:t>
            </w:r>
            <w:r>
              <w:rPr>
                <w:rFonts w:ascii="宋体" w:hAnsi="宋体" w:eastAsia="宋体" w:cs="宋体"/>
                <w:color w:val="auto"/>
                <w:sz w:val="24"/>
                <w:szCs w:val="24"/>
              </w:rPr>
              <w:t>为</w:t>
            </w:r>
            <w:r>
              <w:rPr>
                <w:rFonts w:hint="eastAsia" w:eastAsia="宋体" w:cs="Times New Roman"/>
                <w:color w:val="auto"/>
                <w:sz w:val="24"/>
                <w:szCs w:val="24"/>
                <w:lang w:val="en-US" w:eastAsia="zh-CN"/>
              </w:rPr>
              <w:t>8</w:t>
            </w:r>
            <w:r>
              <w:rPr>
                <w:rFonts w:hint="eastAsia" w:ascii="Times New Roman" w:hAnsi="Times New Roman" w:eastAsia="宋体" w:cs="Times New Roman"/>
                <w:color w:val="auto"/>
                <w:sz w:val="24"/>
                <w:szCs w:val="24"/>
                <w:lang w:val="en-US" w:eastAsia="zh-CN"/>
              </w:rPr>
              <w:t>t</w:t>
            </w:r>
            <w:r>
              <w:rPr>
                <w:rFonts w:ascii="宋体" w:hAnsi="宋体" w:eastAsia="宋体" w:cs="宋体"/>
                <w:color w:val="auto"/>
                <w:sz w:val="24"/>
                <w:szCs w:val="24"/>
              </w:rPr>
              <w:t>，</w:t>
            </w:r>
            <w:r>
              <w:rPr>
                <w:rFonts w:hint="eastAsia" w:ascii="宋体" w:hAnsi="宋体" w:cs="宋体"/>
                <w:color w:val="auto"/>
                <w:sz w:val="24"/>
                <w:szCs w:val="24"/>
                <w:lang w:eastAsia="zh-CN"/>
              </w:rPr>
              <w:t>循环量</w:t>
            </w:r>
            <w:r>
              <w:rPr>
                <w:rFonts w:hint="eastAsia" w:cs="Times New Roman"/>
                <w:color w:val="auto"/>
                <w:sz w:val="24"/>
                <w:szCs w:val="24"/>
                <w:lang w:val="en-US" w:eastAsia="zh-CN"/>
              </w:rPr>
              <w:t>2</w:t>
            </w:r>
            <w:r>
              <w:rPr>
                <w:rFonts w:hint="default" w:ascii="Times New Roman" w:hAnsi="Times New Roman" w:cs="Times New Roman"/>
                <w:color w:val="auto"/>
                <w:sz w:val="24"/>
                <w:szCs w:val="24"/>
                <w:lang w:val="en-US" w:eastAsia="zh-CN"/>
              </w:rPr>
              <w:t>t/h，</w:t>
            </w:r>
            <w:r>
              <w:rPr>
                <w:rFonts w:ascii="宋体" w:hAnsi="宋体" w:eastAsia="宋体" w:cs="宋体"/>
                <w:color w:val="auto"/>
                <w:sz w:val="24"/>
                <w:szCs w:val="24"/>
              </w:rPr>
              <w:t>日补充水量按水箱</w:t>
            </w:r>
            <w:r>
              <w:rPr>
                <w:rFonts w:hint="eastAsia" w:ascii="宋体" w:hAnsi="宋体" w:eastAsia="宋体" w:cs="宋体"/>
                <w:color w:val="auto"/>
                <w:sz w:val="24"/>
                <w:szCs w:val="24"/>
                <w:lang w:eastAsia="zh-CN"/>
              </w:rPr>
              <w:t>有效</w:t>
            </w:r>
            <w:r>
              <w:rPr>
                <w:rFonts w:ascii="宋体" w:hAnsi="宋体" w:eastAsia="宋体" w:cs="宋体"/>
                <w:color w:val="auto"/>
                <w:sz w:val="24"/>
                <w:szCs w:val="24"/>
              </w:rPr>
              <w:t>容量的</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rPr>
              <w:t>%</w:t>
            </w:r>
            <w:r>
              <w:rPr>
                <w:rFonts w:ascii="宋体" w:hAnsi="宋体" w:eastAsia="宋体" w:cs="宋体"/>
                <w:color w:val="auto"/>
                <w:sz w:val="24"/>
                <w:szCs w:val="24"/>
              </w:rPr>
              <w:t>计算，则补充水量为</w:t>
            </w:r>
            <w:r>
              <w:rPr>
                <w:rFonts w:hint="default" w:ascii="Times New Roman" w:hAnsi="Times New Roman" w:eastAsia="宋体" w:cs="Times New Roman"/>
                <w:color w:val="auto"/>
                <w:sz w:val="24"/>
                <w:szCs w:val="24"/>
                <w:lang w:val="en-US" w:eastAsia="zh-CN"/>
              </w:rPr>
              <w:t>0.</w:t>
            </w: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4</w:t>
            </w:r>
            <w:r>
              <w:rPr>
                <w:rFonts w:hint="eastAsia" w:ascii="Times New Roman" w:hAnsi="Times New Roman" w:eastAsia="宋体" w:cs="Times New Roman"/>
                <w:color w:val="auto"/>
                <w:sz w:val="24"/>
                <w:szCs w:val="24"/>
                <w:lang w:val="en-US" w:eastAsia="zh-CN"/>
              </w:rPr>
              <w:t>t</w:t>
            </w:r>
            <w:r>
              <w:rPr>
                <w:rFonts w:hint="default" w:ascii="Times New Roman" w:hAnsi="Times New Roman" w:eastAsia="宋体" w:cs="Times New Roman"/>
                <w:color w:val="auto"/>
                <w:sz w:val="24"/>
                <w:szCs w:val="24"/>
              </w:rPr>
              <w:t>/d</w:t>
            </w:r>
            <w:r>
              <w:rPr>
                <w:rFonts w:hint="default" w:ascii="Times New Roman" w:hAnsi="Times New Roman" w:eastAsia="宋体" w:cs="Times New Roman"/>
                <w:color w:val="auto"/>
                <w:sz w:val="24"/>
                <w:szCs w:val="24"/>
                <w:lang w:eastAsia="zh-CN"/>
              </w:rPr>
              <w:t>（</w:t>
            </w:r>
            <w:r>
              <w:rPr>
                <w:rFonts w:hint="eastAsia"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2t/a</w:t>
            </w:r>
            <w:r>
              <w:rPr>
                <w:rFonts w:hint="default" w:ascii="Times New Roman" w:hAnsi="Times New Roman" w:eastAsia="宋体" w:cs="Times New Roman"/>
                <w:color w:val="auto"/>
                <w:sz w:val="24"/>
                <w:szCs w:val="24"/>
                <w:lang w:eastAsia="zh-CN"/>
              </w:rPr>
              <w:t>）</w:t>
            </w:r>
            <w:r>
              <w:rPr>
                <w:rFonts w:ascii="宋体" w:hAnsi="宋体" w:eastAsia="宋体" w:cs="宋体"/>
                <w:color w:val="auto"/>
                <w:sz w:val="24"/>
                <w:szCs w:val="24"/>
              </w:rPr>
              <w:t>；</w:t>
            </w:r>
            <w:r>
              <w:rPr>
                <w:rFonts w:hint="default" w:ascii="Times New Roman" w:hAnsi="Times New Roman" w:eastAsia="宋体" w:cs="Times New Roman"/>
                <w:color w:val="auto"/>
                <w:sz w:val="24"/>
                <w:szCs w:val="24"/>
                <w:lang w:eastAsia="zh-CN"/>
              </w:rPr>
              <w:t>冷却用水量为</w:t>
            </w:r>
            <w:r>
              <w:rPr>
                <w:rFonts w:hint="default" w:ascii="Times New Roman" w:hAnsi="Times New Roman" w:eastAsia="宋体" w:cs="Times New Roman"/>
                <w:color w:val="auto"/>
                <w:sz w:val="24"/>
                <w:szCs w:val="24"/>
                <w:lang w:val="en-US" w:eastAsia="zh-CN"/>
              </w:rPr>
              <w:t>72t/a，</w:t>
            </w:r>
            <w:r>
              <w:rPr>
                <w:rFonts w:hint="eastAsia" w:ascii="宋体" w:hAnsi="宋体" w:eastAsia="宋体" w:cs="宋体"/>
                <w:color w:val="auto"/>
                <w:sz w:val="24"/>
                <w:szCs w:val="24"/>
                <w:lang w:eastAsia="zh-CN"/>
              </w:rPr>
              <w:t>冷却水循环使用不外排，定期补充损耗</w:t>
            </w:r>
            <w:r>
              <w:rPr>
                <w:rFonts w:ascii="宋体" w:hAnsi="宋体" w:eastAsia="宋体" w:cs="宋体"/>
                <w:color w:val="auto"/>
                <w:sz w:val="24"/>
                <w:szCs w:val="24"/>
              </w:rPr>
              <w:t>。</w:t>
            </w:r>
          </w:p>
          <w:p w14:paraId="7E08FF1B">
            <w:pPr>
              <w:pStyle w:val="1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color w:val="auto"/>
                <w:sz w:val="24"/>
                <w:szCs w:val="24"/>
                <w:lang w:val="en-US" w:eastAsia="zh-CN"/>
              </w:rPr>
            </w:pPr>
            <w:r>
              <w:rPr>
                <w:rFonts w:hint="default" w:ascii="Times New Roman" w:hAnsi="Times New Roman" w:eastAsia="宋体" w:cs="Times New Roman"/>
                <w:color w:val="auto"/>
                <w:sz w:val="24"/>
                <w:szCs w:val="24"/>
                <w:highlight w:val="none"/>
                <w:lang w:val="en-US" w:eastAsia="zh-CN"/>
              </w:rPr>
              <w:t>③</w:t>
            </w:r>
            <w:r>
              <w:rPr>
                <w:rFonts w:hint="eastAsia" w:cs="Times New Roman"/>
                <w:color w:val="auto"/>
                <w:sz w:val="24"/>
                <w:szCs w:val="24"/>
                <w:lang w:eastAsia="zh-CN"/>
              </w:rPr>
              <w:t>喷淋废水</w:t>
            </w:r>
          </w:p>
          <w:p w14:paraId="1772726A">
            <w:pPr>
              <w:pStyle w:val="14"/>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项目熔融挤出废气处理设碱液喷淋+除雾装置。废气量为</w:t>
            </w:r>
            <w:r>
              <w:rPr>
                <w:rFonts w:hint="default" w:ascii="Times New Roman" w:hAnsi="Times New Roman" w:eastAsia="宋体" w:cs="Times New Roman"/>
                <w:color w:val="auto"/>
                <w:sz w:val="24"/>
                <w:szCs w:val="24"/>
                <w:highlight w:val="none"/>
                <w:lang w:val="en-US" w:eastAsia="zh-CN"/>
              </w:rPr>
              <w:t>50</w:t>
            </w:r>
            <w:r>
              <w:rPr>
                <w:rFonts w:hint="eastAsia" w:ascii="Times New Roman" w:hAnsi="Times New Roman" w:eastAsia="宋体" w:cs="Times New Roman"/>
                <w:color w:val="auto"/>
                <w:sz w:val="24"/>
                <w:szCs w:val="24"/>
                <w:highlight w:val="none"/>
                <w:lang w:val="en-US" w:eastAsia="zh-CN"/>
              </w:rPr>
              <w:t>000m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/h，喷淋塔液气比为</w:t>
            </w:r>
            <w:r>
              <w:rPr>
                <w:rFonts w:hint="eastAsia" w:cs="Times New Roman"/>
                <w:color w:val="auto"/>
                <w:sz w:val="24"/>
                <w:szCs w:val="24"/>
                <w:highlight w:val="none"/>
                <w:lang w:val="en-US" w:eastAsia="zh-CN"/>
              </w:rPr>
              <w:t>1.0</w:t>
            </w:r>
            <w:r>
              <w:rPr>
                <w:rFonts w:hint="eastAsia" w:ascii="Times New Roman" w:hAnsi="Times New Roman" w:eastAsia="宋体" w:cs="Times New Roman"/>
                <w:color w:val="auto"/>
                <w:sz w:val="24"/>
                <w:szCs w:val="24"/>
                <w:highlight w:val="none"/>
                <w:lang w:val="en-US" w:eastAsia="zh-CN"/>
              </w:rPr>
              <w:t>L/m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，计算循环量为</w:t>
            </w:r>
            <w:r>
              <w:rPr>
                <w:rFonts w:hint="eastAsia" w:cs="Times New Roman"/>
                <w:color w:val="auto"/>
                <w:sz w:val="24"/>
                <w:szCs w:val="24"/>
                <w:highlight w:val="none"/>
                <w:lang w:val="en-US" w:eastAsia="zh-CN"/>
              </w:rPr>
              <w:t>50</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/h（</w:t>
            </w:r>
            <w:r>
              <w:rPr>
                <w:rFonts w:hint="default" w:ascii="Times New Roman" w:hAnsi="Times New Roman" w:eastAsia="宋体" w:cs="Times New Roman"/>
                <w:color w:val="auto"/>
                <w:sz w:val="24"/>
                <w:szCs w:val="24"/>
                <w:highlight w:val="none"/>
                <w:lang w:val="en-US" w:eastAsia="zh-CN"/>
              </w:rPr>
              <w:t>4</w:t>
            </w:r>
            <w:r>
              <w:rPr>
                <w:rFonts w:hint="eastAsia" w:cs="Times New Roman"/>
                <w:color w:val="auto"/>
                <w:sz w:val="24"/>
                <w:szCs w:val="24"/>
                <w:highlight w:val="none"/>
                <w:lang w:val="en-US" w:eastAsia="zh-CN"/>
              </w:rPr>
              <w:t>0</w:t>
            </w:r>
            <w:r>
              <w:rPr>
                <w:rFonts w:hint="eastAsia" w:ascii="Times New Roman" w:hAnsi="Times New Roman" w:eastAsia="宋体" w:cs="Times New Roman"/>
                <w:color w:val="auto"/>
                <w:sz w:val="24"/>
                <w:szCs w:val="24"/>
                <w:highlight w:val="none"/>
                <w:lang w:val="en-US" w:eastAsia="zh-CN"/>
              </w:rPr>
              <w:t>0m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/d）。循环喷淋过程中，进入废气中水量约为循环量的1%，即损耗量为4m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/d。项目拟配备有效容积</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lang w:val="en-US" w:eastAsia="zh-CN"/>
              </w:rPr>
              <w:t>喷淋废水循环沉淀池一座，为保证废气处理效果，定期排水同时补充新水，每</w:t>
            </w:r>
            <w:r>
              <w:rPr>
                <w:rFonts w:hint="eastAsia" w:cs="Times New Roman"/>
                <w:color w:val="auto"/>
                <w:sz w:val="24"/>
                <w:szCs w:val="24"/>
                <w:highlight w:val="none"/>
                <w:lang w:val="en-US" w:eastAsia="zh-CN"/>
              </w:rPr>
              <w:t>月</w:t>
            </w:r>
            <w:r>
              <w:rPr>
                <w:rFonts w:hint="eastAsia" w:ascii="Times New Roman" w:hAnsi="Times New Roman" w:eastAsia="宋体" w:cs="Times New Roman"/>
                <w:color w:val="auto"/>
                <w:sz w:val="24"/>
                <w:szCs w:val="24"/>
                <w:highlight w:val="none"/>
                <w:lang w:val="en-US" w:eastAsia="zh-CN"/>
              </w:rPr>
              <w:t>排放/补充一次（合计排放/补充</w:t>
            </w:r>
            <w:r>
              <w:rPr>
                <w:rFonts w:hint="eastAsia"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lang w:val="en-US" w:eastAsia="zh-CN"/>
              </w:rPr>
              <w:t>次），则喷淋用水量</w:t>
            </w:r>
            <w:r>
              <w:rPr>
                <w:rFonts w:hint="eastAsia" w:cs="Times New Roman"/>
                <w:color w:val="auto"/>
                <w:sz w:val="24"/>
                <w:szCs w:val="24"/>
                <w:highlight w:val="none"/>
                <w:lang w:val="en-US" w:eastAsia="zh-CN"/>
              </w:rPr>
              <w:t>1212</w:t>
            </w:r>
            <w:r>
              <w:rPr>
                <w:rFonts w:hint="eastAsia" w:ascii="Times New Roman" w:hAnsi="Times New Roman" w:eastAsia="宋体" w:cs="Times New Roman"/>
                <w:color w:val="auto"/>
                <w:sz w:val="24"/>
                <w:szCs w:val="24"/>
                <w:highlight w:val="none"/>
                <w:lang w:val="en-US" w:eastAsia="zh-CN"/>
              </w:rPr>
              <w:t>t/a，喷淋废水量为</w:t>
            </w:r>
            <w:r>
              <w:rPr>
                <w:rFonts w:hint="eastAsia"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lang w:val="en-US" w:eastAsia="zh-CN"/>
              </w:rPr>
              <w:t>t/a</w:t>
            </w:r>
            <w:r>
              <w:rPr>
                <w:rFonts w:hint="eastAsia" w:cs="Times New Roman"/>
                <w:color w:val="auto"/>
                <w:sz w:val="24"/>
                <w:szCs w:val="24"/>
                <w:highlight w:val="none"/>
                <w:lang w:val="en-US" w:eastAsia="zh-CN"/>
              </w:rPr>
              <w:t>，喷淋废水作为危废交由资质单位处置</w:t>
            </w:r>
            <w:r>
              <w:rPr>
                <w:rFonts w:hint="eastAsia" w:ascii="Times New Roman" w:hAnsi="Times New Roman" w:eastAsia="宋体" w:cs="Times New Roman"/>
                <w:color w:val="auto"/>
                <w:sz w:val="24"/>
                <w:szCs w:val="24"/>
                <w:highlight w:val="none"/>
                <w:lang w:val="en-US" w:eastAsia="zh-CN"/>
              </w:rPr>
              <w:t>。</w:t>
            </w:r>
          </w:p>
          <w:p w14:paraId="3BDABFE7">
            <w:pPr>
              <w:pStyle w:val="31"/>
              <w:keepNext w:val="0"/>
              <w:keepLines w:val="0"/>
              <w:pageBreakBefore w:val="0"/>
              <w:widowControl w:val="0"/>
              <w:kinsoku/>
              <w:wordWrap/>
              <w:overflowPunct/>
              <w:topLinePunct w:val="0"/>
              <w:autoSpaceDE w:val="0"/>
              <w:autoSpaceDN w:val="0"/>
              <w:bidi w:val="0"/>
              <w:adjustRightInd w:val="0"/>
              <w:snapToGrid w:val="0"/>
              <w:ind w:firstLine="0" w:firstLineChars="0"/>
              <w:jc w:val="center"/>
              <w:textAlignment w:val="auto"/>
              <w:rPr>
                <w:rFonts w:hint="eastAsia"/>
                <w:color w:val="0000FF"/>
                <w:lang w:val="en-US" w:eastAsia="zh-CN"/>
              </w:rPr>
            </w:pPr>
            <w:r>
              <w:rPr>
                <w:rFonts w:hint="eastAsia"/>
                <w:color w:val="0000FF"/>
                <w:lang w:val="en-US" w:eastAsia="zh-CN"/>
              </w:rPr>
              <w:object>
                <v:shape id="_x0000_i1025" o:spt="75" type="#_x0000_t75" style="height:258.8pt;width:420.1pt;" o:ole="t" filled="f" o:preferrelative="t" stroked="f" coordsize="21600,21600">
                  <v:path/>
                  <v:fill on="f" focussize="0,0"/>
                  <v:stroke on="f"/>
                  <v:imagedata r:id="rId8" o:title=""/>
                  <o:lock v:ext="edit" aspectratio="f"/>
                  <w10:wrap type="none"/>
                  <w10:anchorlock/>
                </v:shape>
                <o:OLEObject Type="Embed" ProgID="Visio.Drawing.11" ShapeID="_x0000_i1025" DrawAspect="Content" ObjectID="_1468075725" r:id="rId7">
                  <o:LockedField>false</o:LockedField>
                </o:OLEObject>
              </w:object>
            </w:r>
          </w:p>
          <w:p w14:paraId="34603908">
            <w:pPr>
              <w:pStyle w:val="31"/>
              <w:keepNext w:val="0"/>
              <w:keepLines w:val="0"/>
              <w:pageBreakBefore w:val="0"/>
              <w:widowControl w:val="0"/>
              <w:kinsoku/>
              <w:wordWrap/>
              <w:overflowPunct/>
              <w:topLinePunct w:val="0"/>
              <w:autoSpaceDE w:val="0"/>
              <w:autoSpaceDN w:val="0"/>
              <w:bidi w:val="0"/>
              <w:adjustRightInd w:val="0"/>
              <w:snapToGrid w:val="0"/>
              <w:ind w:firstLine="0" w:firstLineChars="0"/>
              <w:jc w:val="center"/>
              <w:textAlignment w:val="auto"/>
              <w:rPr>
                <w:rFonts w:hint="eastAsia" w:ascii="Times New Roman" w:hAnsi="Times New Roman"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图</w:t>
            </w:r>
            <w:r>
              <w:rPr>
                <w:rFonts w:hint="eastAsia" w:cs="Times New Roman"/>
                <w:b/>
                <w:bCs/>
                <w:color w:val="auto"/>
                <w:sz w:val="24"/>
                <w:szCs w:val="24"/>
                <w:lang w:val="en-US" w:eastAsia="zh-CN"/>
              </w:rPr>
              <w:t>2.1</w:t>
            </w:r>
            <w:r>
              <w:rPr>
                <w:rFonts w:hint="eastAsia" w:ascii="Times New Roman" w:hAnsi="Times New Roman" w:cs="Times New Roman"/>
                <w:b/>
                <w:bCs/>
                <w:color w:val="auto"/>
                <w:sz w:val="24"/>
                <w:szCs w:val="24"/>
                <w:lang w:val="en-US" w:eastAsia="zh-CN"/>
              </w:rPr>
              <w:t xml:space="preserve">  水平衡图 t/a</w:t>
            </w:r>
          </w:p>
          <w:p w14:paraId="33FBA04F">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textAlignment w:val="auto"/>
              <w:rPr>
                <w:rFonts w:hint="default" w:ascii="Times New Roman" w:hAnsi="Times New Roman" w:eastAsia="宋体" w:cs="Times New Roman"/>
                <w:b/>
                <w:bCs/>
                <w:sz w:val="24"/>
                <w:szCs w:val="24"/>
                <w:lang w:eastAsia="zh-CN"/>
              </w:rPr>
            </w:pPr>
            <w:r>
              <w:rPr>
                <w:rFonts w:hint="eastAsia" w:cs="Times New Roman"/>
                <w:b/>
                <w:bCs/>
                <w:kern w:val="2"/>
                <w:sz w:val="24"/>
                <w:szCs w:val="24"/>
                <w:lang w:val="en-US" w:eastAsia="zh-CN" w:bidi="ar-SA"/>
              </w:rPr>
              <w:t>6.</w:t>
            </w:r>
            <w:r>
              <w:rPr>
                <w:rFonts w:hint="default" w:ascii="Times New Roman" w:hAnsi="Times New Roman" w:eastAsia="宋体" w:cs="Times New Roman"/>
                <w:b/>
                <w:bCs/>
                <w:sz w:val="24"/>
                <w:szCs w:val="24"/>
                <w:lang w:eastAsia="zh-CN"/>
              </w:rPr>
              <w:t>劳动定员及工作制度</w:t>
            </w:r>
          </w:p>
          <w:p w14:paraId="095929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根据建设单位提供的资料，本项目劳动定员</w:t>
            </w:r>
            <w:r>
              <w:rPr>
                <w:rFonts w:hint="eastAsia" w:cs="Times New Roman"/>
                <w:color w:val="auto"/>
                <w:sz w:val="24"/>
                <w:szCs w:val="24"/>
                <w:lang w:val="en-US" w:eastAsia="zh-CN"/>
              </w:rPr>
              <w:t>20</w:t>
            </w:r>
            <w:r>
              <w:rPr>
                <w:rFonts w:hint="default" w:ascii="Times New Roman" w:hAnsi="Times New Roman" w:cs="Times New Roman"/>
                <w:color w:val="auto"/>
                <w:sz w:val="24"/>
                <w:szCs w:val="24"/>
                <w:lang w:val="en-US" w:eastAsia="zh-CN"/>
              </w:rPr>
              <w:t>人。本项目工作制度为年工作</w:t>
            </w:r>
            <w:r>
              <w:rPr>
                <w:rFonts w:hint="eastAsia" w:cs="Times New Roman"/>
                <w:color w:val="auto"/>
                <w:sz w:val="24"/>
                <w:szCs w:val="24"/>
                <w:lang w:val="en-US" w:eastAsia="zh-CN"/>
              </w:rPr>
              <w:t>300</w:t>
            </w:r>
            <w:r>
              <w:rPr>
                <w:rFonts w:hint="default" w:ascii="Times New Roman" w:hAnsi="Times New Roman" w:cs="Times New Roman"/>
                <w:color w:val="auto"/>
                <w:sz w:val="24"/>
                <w:szCs w:val="24"/>
                <w:lang w:val="en-US" w:eastAsia="zh-CN"/>
              </w:rPr>
              <w:t>天，</w:t>
            </w:r>
            <w:r>
              <w:rPr>
                <w:rFonts w:hint="eastAsia" w:cs="Times New Roman"/>
                <w:color w:val="auto"/>
                <w:sz w:val="24"/>
                <w:szCs w:val="24"/>
                <w:lang w:val="en-US" w:eastAsia="zh-CN"/>
              </w:rPr>
              <w:t>单班（昼间）</w:t>
            </w:r>
            <w:r>
              <w:rPr>
                <w:rFonts w:hint="default" w:ascii="Times New Roman" w:hAnsi="Times New Roman" w:cs="Times New Roman"/>
                <w:color w:val="auto"/>
                <w:sz w:val="24"/>
                <w:szCs w:val="24"/>
                <w:lang w:val="en-US" w:eastAsia="zh-CN"/>
              </w:rPr>
              <w:t>运</w:t>
            </w:r>
            <w:r>
              <w:rPr>
                <w:rFonts w:hint="eastAsia" w:ascii="Times New Roman" w:hAnsi="Times New Roman" w:cs="Times New Roman"/>
                <w:color w:val="auto"/>
                <w:sz w:val="24"/>
                <w:szCs w:val="24"/>
                <w:lang w:val="en-US" w:eastAsia="zh-CN"/>
              </w:rPr>
              <w:t>行</w:t>
            </w:r>
            <w:r>
              <w:rPr>
                <w:rFonts w:hint="eastAsia" w:cs="Times New Roman"/>
                <w:color w:val="auto"/>
                <w:sz w:val="24"/>
                <w:szCs w:val="24"/>
                <w:lang w:val="en-US" w:eastAsia="zh-CN"/>
              </w:rPr>
              <w:t>8</w:t>
            </w:r>
            <w:r>
              <w:rPr>
                <w:rFonts w:hint="eastAsia" w:ascii="Times New Roman" w:hAnsi="Times New Roman" w:cs="Times New Roman"/>
                <w:color w:val="auto"/>
                <w:sz w:val="24"/>
                <w:szCs w:val="24"/>
                <w:lang w:val="en-US" w:eastAsia="zh-CN"/>
              </w:rPr>
              <w:t>小时</w:t>
            </w:r>
            <w:r>
              <w:rPr>
                <w:rFonts w:hint="default" w:ascii="Times New Roman" w:hAnsi="Times New Roman" w:cs="Times New Roman"/>
                <w:color w:val="auto"/>
                <w:sz w:val="24"/>
                <w:szCs w:val="24"/>
                <w:lang w:val="en-US" w:eastAsia="zh-CN"/>
              </w:rPr>
              <w:t>。</w:t>
            </w:r>
          </w:p>
          <w:p w14:paraId="2083F52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bCs/>
                <w:sz w:val="24"/>
                <w:szCs w:val="24"/>
                <w:lang w:eastAsia="zh-CN"/>
              </w:rPr>
            </w:pPr>
            <w:r>
              <w:rPr>
                <w:rFonts w:hint="eastAsia" w:cs="Times New Roman"/>
                <w:b/>
                <w:bCs/>
                <w:sz w:val="24"/>
                <w:szCs w:val="24"/>
                <w:lang w:val="en-US" w:eastAsia="zh-CN"/>
              </w:rPr>
              <w:t>7.</w:t>
            </w:r>
            <w:r>
              <w:rPr>
                <w:rFonts w:hint="default" w:ascii="Times New Roman" w:hAnsi="Times New Roman" w:eastAsia="宋体" w:cs="Times New Roman"/>
                <w:b/>
                <w:bCs/>
                <w:sz w:val="24"/>
                <w:szCs w:val="24"/>
                <w:lang w:eastAsia="zh-CN"/>
              </w:rPr>
              <w:t>厂区平面布置</w:t>
            </w:r>
          </w:p>
          <w:p w14:paraId="2F50663D">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snapToGrid/>
                <w:color w:val="auto"/>
                <w:spacing w:val="0"/>
                <w:kern w:val="0"/>
                <w:position w:val="0"/>
                <w:sz w:val="24"/>
                <w:lang w:val="en-US" w:eastAsia="zh-CN"/>
              </w:rPr>
            </w:pPr>
            <w:r>
              <w:rPr>
                <w:rFonts w:hint="eastAsia" w:ascii="宋体" w:hAnsi="宋体" w:eastAsia="宋体" w:cs="宋体"/>
                <w:snapToGrid/>
                <w:color w:val="auto"/>
                <w:spacing w:val="0"/>
                <w:kern w:val="0"/>
                <w:position w:val="0"/>
                <w:sz w:val="24"/>
                <w:lang w:val="en-US" w:eastAsia="zh-CN"/>
              </w:rPr>
              <w:t>①</w:t>
            </w:r>
            <w:r>
              <w:rPr>
                <w:rFonts w:hint="eastAsia" w:cs="Times New Roman"/>
                <w:snapToGrid/>
                <w:color w:val="auto"/>
                <w:spacing w:val="0"/>
                <w:kern w:val="0"/>
                <w:position w:val="0"/>
                <w:sz w:val="24"/>
                <w:lang w:val="en-US" w:eastAsia="zh-CN"/>
              </w:rPr>
              <w:t xml:space="preserve"> </w:t>
            </w:r>
            <w:r>
              <w:rPr>
                <w:rFonts w:hint="default" w:ascii="Times New Roman" w:hAnsi="Times New Roman" w:eastAsia="宋体" w:cs="Times New Roman"/>
                <w:snapToGrid/>
                <w:color w:val="auto"/>
                <w:spacing w:val="0"/>
                <w:kern w:val="0"/>
                <w:position w:val="0"/>
                <w:sz w:val="24"/>
                <w:lang w:val="en-US" w:eastAsia="zh-CN"/>
              </w:rPr>
              <w:t>项目整体布置</w:t>
            </w:r>
          </w:p>
          <w:p w14:paraId="58AECF5C">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snapToGrid/>
                <w:color w:val="auto"/>
                <w:spacing w:val="0"/>
                <w:kern w:val="0"/>
                <w:position w:val="0"/>
                <w:sz w:val="24"/>
                <w:lang w:val="en-US" w:eastAsia="zh-CN"/>
              </w:rPr>
            </w:pPr>
            <w:r>
              <w:rPr>
                <w:rFonts w:hint="default" w:ascii="Times New Roman" w:hAnsi="Times New Roman" w:eastAsia="宋体" w:cs="Times New Roman"/>
                <w:snapToGrid/>
                <w:color w:val="auto"/>
                <w:spacing w:val="0"/>
                <w:kern w:val="0"/>
                <w:position w:val="0"/>
                <w:sz w:val="24"/>
              </w:rPr>
              <w:t>项目</w:t>
            </w:r>
            <w:r>
              <w:rPr>
                <w:rFonts w:hint="eastAsia" w:cs="Times New Roman"/>
                <w:snapToGrid/>
                <w:color w:val="auto"/>
                <w:spacing w:val="0"/>
                <w:kern w:val="0"/>
                <w:position w:val="0"/>
                <w:sz w:val="24"/>
                <w:lang w:val="en-US" w:eastAsia="zh-CN"/>
              </w:rPr>
              <w:t>厂区一</w:t>
            </w:r>
            <w:r>
              <w:rPr>
                <w:rFonts w:hint="default" w:ascii="Times New Roman" w:hAnsi="Times New Roman" w:eastAsia="宋体" w:cs="Times New Roman"/>
                <w:snapToGrid/>
                <w:color w:val="auto"/>
                <w:spacing w:val="0"/>
                <w:kern w:val="0"/>
                <w:position w:val="0"/>
                <w:sz w:val="24"/>
              </w:rPr>
              <w:t>建设地点位于</w:t>
            </w:r>
            <w:r>
              <w:rPr>
                <w:rFonts w:ascii="宋体" w:hAnsi="宋体" w:eastAsia="宋体" w:cs="宋体"/>
                <w:color w:val="auto"/>
                <w:sz w:val="24"/>
                <w:szCs w:val="24"/>
              </w:rPr>
              <w:t>安徽省宿州市埇桥区循环经济示范园仁和路西侧</w:t>
            </w:r>
            <w:r>
              <w:rPr>
                <w:rFonts w:hint="eastAsia" w:cs="Times New Roman"/>
                <w:snapToGrid/>
                <w:color w:val="auto"/>
                <w:spacing w:val="0"/>
                <w:kern w:val="0"/>
                <w:position w:val="0"/>
                <w:sz w:val="24"/>
                <w:lang w:val="en-US" w:eastAsia="zh-CN"/>
              </w:rPr>
              <w:t>；厂区二</w:t>
            </w:r>
            <w:r>
              <w:rPr>
                <w:rFonts w:hint="default" w:ascii="Times New Roman" w:hAnsi="Times New Roman" w:eastAsia="宋体" w:cs="Times New Roman"/>
                <w:snapToGrid/>
                <w:color w:val="auto"/>
                <w:spacing w:val="0"/>
                <w:kern w:val="0"/>
                <w:position w:val="0"/>
                <w:sz w:val="24"/>
              </w:rPr>
              <w:t>建设地点位于</w:t>
            </w:r>
            <w:r>
              <w:rPr>
                <w:rFonts w:ascii="宋体" w:hAnsi="宋体" w:eastAsia="宋体" w:cs="宋体"/>
                <w:color w:val="auto"/>
                <w:sz w:val="24"/>
                <w:szCs w:val="24"/>
              </w:rPr>
              <w:t>宿州</w:t>
            </w:r>
            <w:r>
              <w:rPr>
                <w:rFonts w:hint="eastAsia" w:ascii="宋体" w:hAnsi="宋体" w:cs="宋体"/>
                <w:color w:val="auto"/>
                <w:sz w:val="24"/>
                <w:szCs w:val="24"/>
                <w:lang w:eastAsia="zh-CN"/>
              </w:rPr>
              <w:t>市</w:t>
            </w:r>
            <w:r>
              <w:rPr>
                <w:rFonts w:ascii="宋体" w:hAnsi="宋体" w:eastAsia="宋体" w:cs="宋体"/>
                <w:color w:val="auto"/>
                <w:sz w:val="24"/>
                <w:szCs w:val="24"/>
              </w:rPr>
              <w:t>埇桥</w:t>
            </w:r>
            <w:r>
              <w:rPr>
                <w:rFonts w:hint="eastAsia" w:ascii="宋体" w:hAnsi="宋体" w:cs="宋体"/>
                <w:color w:val="auto"/>
                <w:sz w:val="24"/>
                <w:szCs w:val="24"/>
                <w:lang w:eastAsia="zh-CN"/>
              </w:rPr>
              <w:t>区</w:t>
            </w:r>
            <w:r>
              <w:rPr>
                <w:rFonts w:ascii="宋体" w:hAnsi="宋体" w:eastAsia="宋体" w:cs="宋体"/>
                <w:color w:val="auto"/>
                <w:sz w:val="24"/>
                <w:szCs w:val="24"/>
              </w:rPr>
              <w:t>循环经济示范园东二环西侧</w:t>
            </w:r>
            <w:r>
              <w:rPr>
                <w:rFonts w:hint="default" w:ascii="Times New Roman" w:hAnsi="Times New Roman" w:eastAsia="宋体" w:cs="Times New Roman"/>
                <w:snapToGrid/>
                <w:color w:val="auto"/>
                <w:spacing w:val="0"/>
                <w:kern w:val="0"/>
                <w:position w:val="0"/>
                <w:sz w:val="24"/>
                <w:lang w:val="en-US" w:eastAsia="zh-CN"/>
              </w:rPr>
              <w:t>，</w:t>
            </w:r>
            <w:r>
              <w:rPr>
                <w:rFonts w:hint="eastAsia" w:ascii="Times New Roman" w:hAnsi="Times New Roman" w:eastAsia="宋体" w:cs="Times New Roman"/>
                <w:snapToGrid/>
                <w:color w:val="auto"/>
                <w:spacing w:val="0"/>
                <w:kern w:val="0"/>
                <w:position w:val="0"/>
                <w:sz w:val="24"/>
                <w:lang w:val="en-US" w:eastAsia="zh-CN"/>
              </w:rPr>
              <w:t>厂区</w:t>
            </w:r>
            <w:r>
              <w:rPr>
                <w:rFonts w:hint="default" w:ascii="Times New Roman" w:hAnsi="Times New Roman" w:eastAsia="宋体" w:cs="Times New Roman"/>
                <w:snapToGrid/>
                <w:color w:val="auto"/>
                <w:spacing w:val="0"/>
                <w:kern w:val="0"/>
                <w:position w:val="0"/>
                <w:sz w:val="24"/>
                <w:lang w:val="en-US" w:eastAsia="zh-CN"/>
              </w:rPr>
              <w:t>分为生产</w:t>
            </w:r>
            <w:r>
              <w:rPr>
                <w:rFonts w:hint="eastAsia" w:cs="Times New Roman"/>
                <w:snapToGrid/>
                <w:color w:val="auto"/>
                <w:spacing w:val="0"/>
                <w:kern w:val="0"/>
                <w:position w:val="0"/>
                <w:sz w:val="24"/>
                <w:lang w:val="en-US" w:eastAsia="zh-CN"/>
              </w:rPr>
              <w:t>区</w:t>
            </w:r>
            <w:r>
              <w:rPr>
                <w:rFonts w:hint="default" w:ascii="Times New Roman" w:hAnsi="Times New Roman" w:eastAsia="宋体" w:cs="Times New Roman"/>
                <w:snapToGrid/>
                <w:color w:val="auto"/>
                <w:spacing w:val="0"/>
                <w:kern w:val="0"/>
                <w:position w:val="0"/>
                <w:sz w:val="24"/>
                <w:lang w:val="en-US" w:eastAsia="zh-CN"/>
              </w:rPr>
              <w:t>、</w:t>
            </w:r>
            <w:r>
              <w:rPr>
                <w:rFonts w:hint="eastAsia" w:cs="Times New Roman"/>
                <w:snapToGrid/>
                <w:color w:val="auto"/>
                <w:spacing w:val="0"/>
                <w:kern w:val="0"/>
                <w:position w:val="0"/>
                <w:sz w:val="24"/>
                <w:lang w:val="en-US" w:eastAsia="zh-CN"/>
              </w:rPr>
              <w:t>办公区</w:t>
            </w:r>
            <w:r>
              <w:rPr>
                <w:rFonts w:hint="default" w:ascii="Times New Roman" w:hAnsi="Times New Roman" w:eastAsia="宋体" w:cs="Times New Roman"/>
                <w:snapToGrid/>
                <w:color w:val="auto"/>
                <w:spacing w:val="0"/>
                <w:kern w:val="0"/>
                <w:position w:val="0"/>
                <w:sz w:val="24"/>
                <w:lang w:val="en-US" w:eastAsia="zh-CN"/>
              </w:rPr>
              <w:t>、</w:t>
            </w:r>
            <w:r>
              <w:rPr>
                <w:rFonts w:hint="eastAsia" w:cs="Times New Roman"/>
                <w:snapToGrid/>
                <w:color w:val="auto"/>
                <w:spacing w:val="0"/>
                <w:kern w:val="0"/>
                <w:position w:val="0"/>
                <w:sz w:val="24"/>
                <w:lang w:val="en-US" w:eastAsia="zh-CN"/>
              </w:rPr>
              <w:t>成品区</w:t>
            </w:r>
            <w:r>
              <w:rPr>
                <w:rFonts w:hint="default" w:ascii="Times New Roman" w:hAnsi="Times New Roman" w:eastAsia="宋体" w:cs="Times New Roman"/>
                <w:snapToGrid/>
                <w:color w:val="auto"/>
                <w:spacing w:val="0"/>
                <w:kern w:val="0"/>
                <w:position w:val="0"/>
                <w:sz w:val="24"/>
                <w:lang w:val="en-US" w:eastAsia="zh-CN"/>
              </w:rPr>
              <w:t>等功能分区，具体见平面布置图。</w:t>
            </w:r>
          </w:p>
          <w:p w14:paraId="2B6313CD">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snapToGrid/>
                <w:color w:val="auto"/>
                <w:spacing w:val="0"/>
                <w:kern w:val="0"/>
                <w:position w:val="0"/>
                <w:sz w:val="24"/>
                <w:lang w:val="en-US" w:eastAsia="zh-CN"/>
              </w:rPr>
            </w:pPr>
            <w:r>
              <w:rPr>
                <w:rFonts w:hint="eastAsia" w:ascii="宋体" w:hAnsi="宋体" w:eastAsia="宋体" w:cs="宋体"/>
                <w:snapToGrid/>
                <w:color w:val="auto"/>
                <w:spacing w:val="0"/>
                <w:kern w:val="0"/>
                <w:position w:val="0"/>
                <w:sz w:val="24"/>
                <w:lang w:val="en-US" w:eastAsia="zh-CN"/>
              </w:rPr>
              <w:t>②</w:t>
            </w:r>
            <w:r>
              <w:rPr>
                <w:rFonts w:hint="eastAsia" w:cs="Times New Roman"/>
                <w:snapToGrid/>
                <w:color w:val="auto"/>
                <w:spacing w:val="0"/>
                <w:kern w:val="0"/>
                <w:position w:val="0"/>
                <w:sz w:val="24"/>
                <w:lang w:val="en-US" w:eastAsia="zh-CN"/>
              </w:rPr>
              <w:t xml:space="preserve"> </w:t>
            </w:r>
            <w:r>
              <w:rPr>
                <w:rFonts w:hint="default" w:ascii="Times New Roman" w:hAnsi="Times New Roman" w:eastAsia="宋体" w:cs="Times New Roman"/>
                <w:snapToGrid/>
                <w:color w:val="auto"/>
                <w:spacing w:val="0"/>
                <w:kern w:val="0"/>
                <w:position w:val="0"/>
                <w:sz w:val="24"/>
                <w:lang w:val="en-US" w:eastAsia="zh-CN"/>
              </w:rPr>
              <w:t>项目原料及产品由汽车进行运输。</w:t>
            </w:r>
          </w:p>
          <w:p w14:paraId="65BFFBA6">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default" w:ascii="Times New Roman" w:hAnsi="Times New Roman" w:eastAsia="宋体" w:cs="Times New Roman"/>
                <w:snapToGrid/>
                <w:color w:val="auto"/>
                <w:spacing w:val="0"/>
                <w:kern w:val="0"/>
                <w:position w:val="0"/>
                <w:sz w:val="24"/>
                <w:lang w:val="en-US" w:eastAsia="zh-CN"/>
              </w:rPr>
            </w:pPr>
            <w:r>
              <w:rPr>
                <w:rFonts w:hint="eastAsia" w:ascii="宋体" w:hAnsi="宋体" w:eastAsia="宋体" w:cs="宋体"/>
                <w:snapToGrid/>
                <w:color w:val="auto"/>
                <w:spacing w:val="0"/>
                <w:kern w:val="0"/>
                <w:position w:val="0"/>
                <w:sz w:val="24"/>
                <w:lang w:val="en-US" w:eastAsia="zh-CN"/>
              </w:rPr>
              <w:t>③</w:t>
            </w:r>
            <w:r>
              <w:rPr>
                <w:rFonts w:hint="eastAsia" w:cs="Times New Roman"/>
                <w:snapToGrid/>
                <w:color w:val="auto"/>
                <w:spacing w:val="0"/>
                <w:kern w:val="0"/>
                <w:position w:val="0"/>
                <w:sz w:val="24"/>
                <w:lang w:val="en-US" w:eastAsia="zh-CN"/>
              </w:rPr>
              <w:t xml:space="preserve"> </w:t>
            </w:r>
            <w:r>
              <w:rPr>
                <w:rFonts w:hint="default" w:ascii="Times New Roman" w:hAnsi="Times New Roman" w:eastAsia="宋体" w:cs="Times New Roman"/>
                <w:snapToGrid/>
                <w:color w:val="auto"/>
                <w:spacing w:val="0"/>
                <w:kern w:val="0"/>
                <w:position w:val="0"/>
                <w:sz w:val="24"/>
                <w:lang w:val="en-US" w:eastAsia="zh-CN"/>
              </w:rPr>
              <w:t>平面布置合理性</w:t>
            </w:r>
          </w:p>
          <w:p w14:paraId="0BA70D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napToGrid/>
                <w:color w:val="auto"/>
                <w:spacing w:val="0"/>
                <w:kern w:val="0"/>
                <w:position w:val="0"/>
                <w:sz w:val="24"/>
                <w:lang w:val="en-US" w:eastAsia="zh-CN"/>
              </w:rPr>
            </w:pPr>
            <w:r>
              <w:rPr>
                <w:rFonts w:hint="default" w:ascii="Times New Roman" w:hAnsi="Times New Roman" w:eastAsia="宋体" w:cs="Times New Roman"/>
                <w:snapToGrid/>
                <w:color w:val="auto"/>
                <w:spacing w:val="0"/>
                <w:kern w:val="0"/>
                <w:position w:val="0"/>
                <w:sz w:val="24"/>
                <w:lang w:val="en-US" w:eastAsia="zh-CN"/>
              </w:rPr>
              <w:t>项目厂区布置总体来说，结构明朗，流程顺畅，布局紧凑，符合防火、安全卫生、环保、交通、运输、生产工艺流程等需求。总体上做到按功能分区，系统分明，布置整齐。</w:t>
            </w:r>
          </w:p>
          <w:p w14:paraId="0B418AC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s="Times New Roman"/>
                <w:b/>
                <w:bCs w:val="0"/>
                <w:sz w:val="24"/>
                <w:szCs w:val="24"/>
                <w:lang w:val="en-US" w:eastAsia="zh-CN"/>
              </w:rPr>
            </w:pPr>
          </w:p>
          <w:p w14:paraId="00F93BE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s="Times New Roman"/>
                <w:b/>
                <w:bCs w:val="0"/>
                <w:sz w:val="24"/>
                <w:szCs w:val="24"/>
                <w:lang w:val="en-US" w:eastAsia="zh-CN"/>
              </w:rPr>
            </w:pPr>
          </w:p>
          <w:p w14:paraId="4765C57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bCs w:val="0"/>
                <w:sz w:val="24"/>
                <w:szCs w:val="24"/>
                <w:lang w:val="en-US" w:eastAsia="zh-CN"/>
              </w:rPr>
            </w:pPr>
          </w:p>
        </w:tc>
      </w:tr>
      <w:tr w14:paraId="518442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71" w:hRule="atLeast"/>
          <w:jc w:val="center"/>
        </w:trPr>
        <w:tc>
          <w:tcPr>
            <w:tcW w:w="454" w:type="dxa"/>
            <w:tcBorders>
              <w:tl2br w:val="nil"/>
              <w:tr2bl w:val="nil"/>
            </w:tcBorders>
            <w:noWrap w:val="0"/>
            <w:vAlign w:val="center"/>
          </w:tcPr>
          <w:p w14:paraId="555A9CC6">
            <w:pPr>
              <w:pStyle w:val="22"/>
              <w:adjustRightInd w:val="0"/>
              <w:snapToGrid w:val="0"/>
              <w:spacing w:before="0" w:beforeAutospacing="0" w:after="0" w:afterAutospacing="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工艺流程和产排污环节</w:t>
            </w:r>
          </w:p>
        </w:tc>
        <w:tc>
          <w:tcPr>
            <w:tcW w:w="8620" w:type="dxa"/>
            <w:tcBorders>
              <w:tl2br w:val="nil"/>
              <w:tr2bl w:val="nil"/>
            </w:tcBorders>
            <w:noWrap w:val="0"/>
            <w:vAlign w:val="top"/>
          </w:tcPr>
          <w:p w14:paraId="7E6E1C9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cs="Times New Roman"/>
                <w:b/>
                <w:bCs w:val="0"/>
                <w:sz w:val="24"/>
                <w:szCs w:val="24"/>
                <w:lang w:val="en-US" w:eastAsia="zh-CN"/>
              </w:rPr>
            </w:pPr>
            <w:r>
              <w:rPr>
                <w:rFonts w:hint="eastAsia" w:cs="Times New Roman"/>
                <w:b/>
                <w:bCs w:val="0"/>
                <w:sz w:val="24"/>
                <w:szCs w:val="24"/>
                <w:lang w:val="en-US" w:eastAsia="zh-CN"/>
              </w:rPr>
              <w:t>1.营运期生产工艺流程及产污节点图</w:t>
            </w:r>
          </w:p>
          <w:p w14:paraId="7AD48AC8">
            <w:r>
              <w:object>
                <v:shape id="_x0000_i1026" o:spt="75" type="#_x0000_t75" style="height:605.4pt;width:406.15pt;" o:ole="t" filled="f" o:preferrelative="t" stroked="f" coordsize="21600,21600">
                  <v:path/>
                  <v:fill on="f" focussize="0,0"/>
                  <v:stroke on="f"/>
                  <v:imagedata r:id="rId10" o:title=""/>
                  <o:lock v:ext="edit" aspectratio="f"/>
                  <w10:wrap type="none"/>
                  <w10:anchorlock/>
                </v:shape>
                <o:OLEObject Type="Embed" ProgID="Visio.Drawing.11" ShapeID="_x0000_i1026" DrawAspect="Content" ObjectID="_1468075726" r:id="rId9">
                  <o:LockedField>false</o:LockedField>
                </o:OLEObject>
              </w:object>
            </w:r>
          </w:p>
          <w:p w14:paraId="2D9433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4"/>
                <w:szCs w:val="24"/>
              </w:rPr>
            </w:pPr>
            <w:r>
              <w:rPr>
                <w:rFonts w:hint="eastAsia"/>
                <w:b/>
                <w:bCs/>
                <w:sz w:val="24"/>
                <w:szCs w:val="24"/>
              </w:rPr>
              <w:t>图</w:t>
            </w:r>
            <w:r>
              <w:rPr>
                <w:rFonts w:hint="eastAsia"/>
                <w:b/>
                <w:bCs/>
                <w:sz w:val="24"/>
                <w:szCs w:val="24"/>
                <w:lang w:val="en-US" w:eastAsia="zh-CN"/>
              </w:rPr>
              <w:t>2.2  PVC板材</w:t>
            </w:r>
            <w:r>
              <w:rPr>
                <w:rFonts w:hint="eastAsia"/>
                <w:b/>
                <w:bCs/>
                <w:sz w:val="24"/>
                <w:szCs w:val="24"/>
              </w:rPr>
              <w:t>生产工艺流程及产污环节图</w:t>
            </w:r>
          </w:p>
          <w:p w14:paraId="08D7AFB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snapToGrid/>
                <w:color w:val="000000" w:themeColor="text1"/>
                <w:spacing w:val="0"/>
                <w:kern w:val="0"/>
                <w:position w:val="0"/>
                <w:sz w:val="24"/>
                <w:szCs w:val="24"/>
                <w:lang w:val="en-US" w:eastAsia="zh-CN"/>
                <w14:textFill>
                  <w14:solidFill>
                    <w14:schemeClr w14:val="tx1"/>
                  </w14:solidFill>
                </w14:textFill>
              </w:rPr>
            </w:pPr>
            <w:r>
              <w:rPr>
                <w:rFonts w:hint="eastAsia" w:ascii="宋体" w:hAnsi="宋体" w:eastAsia="宋体" w:cs="宋体"/>
                <w:b/>
                <w:bCs/>
                <w:snapToGrid/>
                <w:color w:val="000000" w:themeColor="text1"/>
                <w:spacing w:val="0"/>
                <w:kern w:val="0"/>
                <w:position w:val="0"/>
                <w:sz w:val="24"/>
                <w:szCs w:val="24"/>
                <w:lang w:val="en-US" w:eastAsia="zh-CN"/>
                <w14:textFill>
                  <w14:solidFill>
                    <w14:schemeClr w14:val="tx1"/>
                  </w14:solidFill>
                </w14:textFill>
              </w:rPr>
              <w:t>工艺流程简述</w:t>
            </w:r>
            <w:r>
              <w:rPr>
                <w:rFonts w:hint="eastAsia" w:ascii="宋体" w:hAnsi="宋体" w:cs="宋体"/>
                <w:b/>
                <w:bCs/>
                <w:snapToGrid/>
                <w:color w:val="000000" w:themeColor="text1"/>
                <w:spacing w:val="0"/>
                <w:kern w:val="0"/>
                <w:position w:val="0"/>
                <w:sz w:val="24"/>
                <w:szCs w:val="24"/>
                <w:lang w:val="en-US" w:eastAsia="zh-CN"/>
                <w14:textFill>
                  <w14:solidFill>
                    <w14:schemeClr w14:val="tx1"/>
                  </w14:solidFill>
                </w14:textFill>
              </w:rPr>
              <w:t>如下</w:t>
            </w:r>
            <w:r>
              <w:rPr>
                <w:rFonts w:hint="eastAsia" w:ascii="宋体" w:hAnsi="宋体" w:eastAsia="宋体" w:cs="宋体"/>
                <w:b/>
                <w:bCs/>
                <w:snapToGrid/>
                <w:color w:val="000000" w:themeColor="text1"/>
                <w:spacing w:val="0"/>
                <w:kern w:val="0"/>
                <w:position w:val="0"/>
                <w:sz w:val="24"/>
                <w:szCs w:val="24"/>
                <w:lang w:val="en-US" w:eastAsia="zh-CN"/>
                <w14:textFill>
                  <w14:solidFill>
                    <w14:schemeClr w14:val="tx1"/>
                  </w14:solidFill>
                </w14:textFill>
              </w:rPr>
              <w:t>：</w:t>
            </w:r>
          </w:p>
          <w:p w14:paraId="68E44BD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cs="Times New Roman"/>
                <w:b w:val="0"/>
                <w:bCs w:val="0"/>
                <w:color w:val="FF0000"/>
                <w:position w:val="6"/>
                <w:sz w:val="24"/>
                <w:szCs w:val="24"/>
                <w:lang w:val="en-US" w:eastAsia="zh-CN"/>
              </w:rPr>
            </w:pPr>
            <w:r>
              <w:rPr>
                <w:rFonts w:hint="eastAsia" w:cs="Times New Roman"/>
                <w:b w:val="0"/>
                <w:bCs w:val="0"/>
                <w:color w:val="auto"/>
                <w:position w:val="6"/>
                <w:sz w:val="24"/>
                <w:szCs w:val="24"/>
                <w:lang w:val="en-US" w:eastAsia="zh-CN"/>
              </w:rPr>
              <w:t>（1）混料</w:t>
            </w:r>
            <w:r>
              <w:rPr>
                <w:rFonts w:hint="eastAsia" w:ascii="Times New Roman" w:hAnsi="Times New Roman" w:eastAsia="宋体" w:cs="Times New Roman"/>
                <w:b w:val="0"/>
                <w:bCs w:val="0"/>
                <w:color w:val="auto"/>
                <w:kern w:val="2"/>
                <w:position w:val="6"/>
                <w:sz w:val="24"/>
                <w:szCs w:val="24"/>
                <w:lang w:val="en-US" w:eastAsia="zh-CN" w:bidi="ar-SA"/>
              </w:rPr>
              <w:t>：</w:t>
            </w:r>
            <w:r>
              <w:rPr>
                <w:rFonts w:hint="eastAsia" w:cs="Times New Roman"/>
                <w:b w:val="0"/>
                <w:bCs w:val="0"/>
                <w:color w:val="auto"/>
                <w:position w:val="6"/>
                <w:sz w:val="24"/>
                <w:szCs w:val="24"/>
                <w:lang w:val="en-US" w:eastAsia="zh-CN"/>
              </w:rPr>
              <w:t>将外购的PVC粉、轻钙、阻燃剂、稳定剂、调节剂、发泡剂、润滑剂、颜料人工拆包投入混料机。</w:t>
            </w:r>
            <w:r>
              <w:rPr>
                <w:rFonts w:hint="eastAsia" w:cs="Times New Roman"/>
                <w:b w:val="0"/>
                <w:bCs w:val="0"/>
                <w:color w:val="auto"/>
                <w:kern w:val="2"/>
                <w:position w:val="6"/>
                <w:sz w:val="24"/>
                <w:szCs w:val="24"/>
                <w:lang w:val="en-US" w:eastAsia="zh-CN" w:bidi="ar-SA"/>
              </w:rPr>
              <w:t>混料机将投入的物料充分混合均匀，混料过程全程密闭</w:t>
            </w:r>
            <w:r>
              <w:rPr>
                <w:rFonts w:hint="eastAsia" w:cs="Times New Roman"/>
                <w:b w:val="0"/>
                <w:bCs w:val="0"/>
                <w:color w:val="auto"/>
                <w:position w:val="6"/>
                <w:sz w:val="24"/>
                <w:szCs w:val="24"/>
                <w:lang w:val="en-US" w:eastAsia="zh-CN"/>
              </w:rPr>
              <w:t>此工序会产生投料废气G1-1、固体废物S1-1、机械噪声N。</w:t>
            </w:r>
          </w:p>
          <w:p w14:paraId="0F2CFDF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2）融熔挤出：混合均匀的物料通过管道进入融熔挤出机，熔融采用电加热加热到180到220摄氏度。加热后的物料成为具有一定流动性的熔体。熔体通过挤出机的模具挤出，形成具有特定截面形状和尺寸的木塑板坯。此工序会产生熔融挤出废气</w:t>
            </w:r>
            <w:r>
              <w:rPr>
                <w:rFonts w:hint="default" w:cs="Times New Roman"/>
                <w:b w:val="0"/>
                <w:bCs w:val="0"/>
                <w:color w:val="auto"/>
                <w:position w:val="6"/>
                <w:sz w:val="24"/>
                <w:szCs w:val="24"/>
                <w:lang w:val="en-US" w:eastAsia="zh-CN"/>
              </w:rPr>
              <w:t>G1-2</w:t>
            </w:r>
            <w:r>
              <w:rPr>
                <w:rFonts w:hint="eastAsia" w:cs="Times New Roman"/>
                <w:b w:val="0"/>
                <w:bCs w:val="0"/>
                <w:color w:val="auto"/>
                <w:position w:val="6"/>
                <w:sz w:val="24"/>
                <w:szCs w:val="24"/>
                <w:lang w:val="en-US" w:eastAsia="zh-CN"/>
              </w:rPr>
              <w:t>。</w:t>
            </w:r>
          </w:p>
          <w:p w14:paraId="4408C629">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（3）</w:t>
            </w:r>
            <w:r>
              <w:rPr>
                <w:rFonts w:hint="eastAsia" w:cs="Times New Roman"/>
                <w:b w:val="0"/>
                <w:bCs w:val="0"/>
                <w:color w:val="auto"/>
                <w:position w:val="6"/>
                <w:sz w:val="24"/>
                <w:szCs w:val="24"/>
                <w:highlight w:val="none"/>
                <w:lang w:val="en-US" w:eastAsia="zh-CN"/>
              </w:rPr>
              <w:t>压花</w:t>
            </w:r>
            <w:r>
              <w:rPr>
                <w:rFonts w:hint="eastAsia" w:cs="Times New Roman"/>
                <w:b w:val="0"/>
                <w:bCs w:val="0"/>
                <w:color w:val="auto"/>
                <w:position w:val="6"/>
                <w:sz w:val="24"/>
                <w:szCs w:val="24"/>
                <w:lang w:val="en-US" w:eastAsia="zh-CN"/>
              </w:rPr>
              <w:t>：采用在线压花机对挤出后的木塑板材表面压花，使得板材表面</w:t>
            </w:r>
          </w:p>
          <w:p w14:paraId="7ED0B946">
            <w:pPr>
              <w:keepNext w:val="0"/>
              <w:keepLines w:val="0"/>
              <w:pageBreakBefore w:val="0"/>
              <w:widowControl w:val="0"/>
              <w:kinsoku/>
              <w:wordWrap/>
              <w:overflowPunct/>
              <w:topLinePunct w:val="0"/>
              <w:bidi w:val="0"/>
              <w:adjustRightInd w:val="0"/>
              <w:snapToGrid w:val="0"/>
              <w:spacing w:line="360" w:lineRule="auto"/>
              <w:textAlignment w:val="auto"/>
              <w:rPr>
                <w:rFonts w:hint="eastAsia" w:cs="Times New Roman"/>
                <w:b w:val="0"/>
                <w:bCs w:val="0"/>
                <w:color w:val="FF0000"/>
                <w:position w:val="6"/>
                <w:sz w:val="24"/>
                <w:szCs w:val="24"/>
                <w:lang w:val="en-US" w:eastAsia="zh-CN"/>
              </w:rPr>
            </w:pPr>
            <w:r>
              <w:rPr>
                <w:rFonts w:hint="eastAsia" w:cs="Times New Roman"/>
                <w:b w:val="0"/>
                <w:bCs w:val="0"/>
                <w:color w:val="auto"/>
                <w:position w:val="6"/>
                <w:sz w:val="24"/>
                <w:szCs w:val="24"/>
                <w:lang w:val="en-US" w:eastAsia="zh-CN"/>
              </w:rPr>
              <w:t>形成一定规律性的形状。在线压花机主要通过加热使压花机上面带有的印花模具直接在板材表面上压花，加热温度为100℃左右，时间为30s。在加热软化过程中，属于物理性熔融，由于分子间的剪切挤压会发生断链、分解、降解等，而产生少量有机废气（以NMHC计），同时氯乙烯在200℃以下，热解产物主要为少量氯化氢和氯乙烯；本项目</w:t>
            </w:r>
            <w:r>
              <w:rPr>
                <w:rFonts w:hint="eastAsia" w:cs="Times New Roman"/>
                <w:b w:val="0"/>
                <w:bCs w:val="0"/>
                <w:color w:val="auto"/>
                <w:position w:val="6"/>
                <w:sz w:val="24"/>
                <w:szCs w:val="24"/>
                <w:highlight w:val="none"/>
                <w:lang w:val="en-US" w:eastAsia="zh-CN"/>
              </w:rPr>
              <w:t>覆膜</w:t>
            </w:r>
            <w:r>
              <w:rPr>
                <w:rFonts w:hint="eastAsia" w:cs="Times New Roman"/>
                <w:b w:val="0"/>
                <w:bCs w:val="0"/>
                <w:color w:val="auto"/>
                <w:position w:val="6"/>
                <w:sz w:val="24"/>
                <w:szCs w:val="24"/>
                <w:lang w:val="en-US" w:eastAsia="zh-CN"/>
              </w:rPr>
              <w:t>过程无需加热，温度主要来源于熔融挤出工序的物料，该物料从190℃降至100℃左右，ASA膜与熔融挤出工序的物料经过滚筒压制，粘合完成覆膜，不需胶黏剂，因覆膜压花过程未达到270℃的热解温度，故本项目不考虑该过程苯乙烯、丙烯腈等污染物的产排；以上工序会产生少量异味（以臭气浓度计）。</w:t>
            </w:r>
          </w:p>
          <w:p w14:paraId="592560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（4）冷却定型</w:t>
            </w:r>
            <w:r>
              <w:rPr>
                <w:rFonts w:hint="eastAsia" w:ascii="Times New Roman" w:hAnsi="Times New Roman" w:cs="Times New Roman"/>
                <w:b w:val="0"/>
                <w:bCs w:val="0"/>
                <w:color w:val="auto"/>
                <w:position w:val="6"/>
                <w:sz w:val="24"/>
                <w:szCs w:val="24"/>
                <w:lang w:val="en-US" w:eastAsia="zh-CN"/>
              </w:rPr>
              <w:t>：压花后的木塑板材在牵引作用下进入冷却机的冷却水池内，通过喷淋管上的喷淋孔对板材直接冷却定型，冷却水池尺寸为4m×1.</w:t>
            </w:r>
            <w:r>
              <w:rPr>
                <w:rFonts w:hint="eastAsia" w:cs="Times New Roman"/>
                <w:b w:val="0"/>
                <w:bCs w:val="0"/>
                <w:color w:val="auto"/>
                <w:position w:val="6"/>
                <w:sz w:val="24"/>
                <w:szCs w:val="24"/>
                <w:lang w:val="en-US" w:eastAsia="zh-CN"/>
              </w:rPr>
              <w:t>1</w:t>
            </w:r>
            <w:r>
              <w:rPr>
                <w:rFonts w:hint="eastAsia" w:ascii="Times New Roman" w:hAnsi="Times New Roman" w:cs="Times New Roman"/>
                <w:b w:val="0"/>
                <w:bCs w:val="0"/>
                <w:color w:val="auto"/>
                <w:position w:val="6"/>
                <w:sz w:val="24"/>
                <w:szCs w:val="24"/>
                <w:lang w:val="en-US" w:eastAsia="zh-CN"/>
              </w:rPr>
              <w:t>m×1m。冷却水循环使用</w:t>
            </w:r>
            <w:r>
              <w:rPr>
                <w:rFonts w:hint="eastAsia" w:cs="Times New Roman"/>
                <w:b w:val="0"/>
                <w:bCs w:val="0"/>
                <w:color w:val="auto"/>
                <w:position w:val="6"/>
                <w:sz w:val="24"/>
                <w:szCs w:val="24"/>
                <w:lang w:val="en-US" w:eastAsia="zh-CN"/>
              </w:rPr>
              <w:t>不外排，定期补充损耗</w:t>
            </w:r>
            <w:r>
              <w:rPr>
                <w:rFonts w:hint="eastAsia" w:ascii="Times New Roman" w:hAnsi="Times New Roman" w:cs="Times New Roman"/>
                <w:b w:val="0"/>
                <w:bCs w:val="0"/>
                <w:color w:val="auto"/>
                <w:position w:val="6"/>
                <w:sz w:val="24"/>
                <w:szCs w:val="24"/>
                <w:lang w:val="en-US" w:eastAsia="zh-CN"/>
              </w:rPr>
              <w:t>。</w:t>
            </w:r>
            <w:r>
              <w:rPr>
                <w:rFonts w:hint="eastAsia" w:cs="Times New Roman"/>
                <w:b w:val="0"/>
                <w:bCs w:val="0"/>
                <w:color w:val="auto"/>
                <w:position w:val="6"/>
                <w:sz w:val="24"/>
                <w:szCs w:val="24"/>
                <w:lang w:val="en-US" w:eastAsia="zh-CN"/>
              </w:rPr>
              <w:t>此工艺会产生冷却废水W1-1。</w:t>
            </w:r>
          </w:p>
          <w:p w14:paraId="45A9A6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（5）牵引切割</w:t>
            </w:r>
            <w:r>
              <w:rPr>
                <w:rFonts w:hint="eastAsia" w:ascii="Times New Roman" w:hAnsi="Times New Roman" w:cs="Times New Roman"/>
                <w:b w:val="0"/>
                <w:bCs w:val="0"/>
                <w:color w:val="auto"/>
                <w:position w:val="6"/>
                <w:sz w:val="24"/>
                <w:szCs w:val="24"/>
                <w:lang w:val="en-US" w:eastAsia="zh-CN"/>
              </w:rPr>
              <w:t>：</w:t>
            </w:r>
            <w:r>
              <w:rPr>
                <w:rFonts w:hint="eastAsia" w:cs="Times New Roman"/>
                <w:b w:val="0"/>
                <w:bCs w:val="0"/>
                <w:color w:val="auto"/>
                <w:position w:val="6"/>
                <w:sz w:val="24"/>
                <w:szCs w:val="24"/>
                <w:lang w:val="en-US" w:eastAsia="zh-CN"/>
              </w:rPr>
              <w:t>将冷却定型的板材通过牵引进行切割。此工艺会产生切割废气G1-3、废边角料S1-2、机械噪声N。</w:t>
            </w:r>
          </w:p>
          <w:p w14:paraId="695ADE58">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Times New Roman" w:hAnsi="Times New Roman" w:eastAsia="宋体" w:cs="Times New Roman"/>
                <w:b w:val="0"/>
                <w:bCs w:val="0"/>
                <w:color w:val="FF0000"/>
                <w:kern w:val="2"/>
                <w:position w:val="6"/>
                <w:sz w:val="24"/>
                <w:szCs w:val="24"/>
                <w:lang w:val="en-US" w:eastAsia="zh-CN" w:bidi="ar-SA"/>
              </w:rPr>
            </w:pPr>
            <w:r>
              <w:rPr>
                <w:rFonts w:hint="eastAsia" w:cs="Times New Roman"/>
                <w:b w:val="0"/>
                <w:bCs w:val="0"/>
                <w:color w:val="auto"/>
                <w:position w:val="6"/>
                <w:sz w:val="24"/>
                <w:szCs w:val="24"/>
                <w:lang w:val="en-US" w:eastAsia="zh-CN"/>
              </w:rPr>
              <w:t>（6）砂光打磨</w:t>
            </w:r>
            <w:r>
              <w:rPr>
                <w:rFonts w:hint="eastAsia" w:ascii="Times New Roman" w:hAnsi="Times New Roman" w:eastAsia="宋体" w:cs="Times New Roman"/>
                <w:b w:val="0"/>
                <w:bCs w:val="0"/>
                <w:color w:val="auto"/>
                <w:kern w:val="2"/>
                <w:position w:val="6"/>
                <w:sz w:val="24"/>
                <w:szCs w:val="24"/>
                <w:lang w:val="en-US" w:eastAsia="zh-CN" w:bidi="ar-SA"/>
              </w:rPr>
              <w:t>：将冷却后的木塑板材运至在线砂光机上对板材表面进行打磨、抛光和修整。该工序会产生在线砂光</w:t>
            </w:r>
            <w:r>
              <w:rPr>
                <w:rFonts w:hint="eastAsia" w:cs="Times New Roman"/>
                <w:b w:val="0"/>
                <w:bCs w:val="0"/>
                <w:color w:val="auto"/>
                <w:kern w:val="2"/>
                <w:position w:val="6"/>
                <w:sz w:val="24"/>
                <w:szCs w:val="24"/>
                <w:lang w:val="en-US" w:eastAsia="zh-CN" w:bidi="ar-SA"/>
              </w:rPr>
              <w:t>废气</w:t>
            </w:r>
            <w:r>
              <w:rPr>
                <w:rFonts w:hint="eastAsia" w:ascii="Times New Roman" w:hAnsi="Times New Roman" w:eastAsia="宋体" w:cs="Times New Roman"/>
                <w:b w:val="0"/>
                <w:bCs w:val="0"/>
                <w:color w:val="auto"/>
                <w:kern w:val="2"/>
                <w:position w:val="6"/>
                <w:sz w:val="24"/>
                <w:szCs w:val="24"/>
                <w:lang w:val="en-US" w:eastAsia="zh-CN" w:bidi="ar-SA"/>
              </w:rPr>
              <w:t>G</w:t>
            </w:r>
            <w:r>
              <w:rPr>
                <w:rFonts w:hint="eastAsia" w:cs="Times New Roman"/>
                <w:b w:val="0"/>
                <w:bCs w:val="0"/>
                <w:color w:val="auto"/>
                <w:kern w:val="2"/>
                <w:position w:val="6"/>
                <w:sz w:val="24"/>
                <w:szCs w:val="24"/>
                <w:lang w:val="en-US" w:eastAsia="zh-CN" w:bidi="ar-SA"/>
              </w:rPr>
              <w:t>1-4</w:t>
            </w:r>
            <w:r>
              <w:rPr>
                <w:rFonts w:hint="eastAsia" w:ascii="Times New Roman" w:hAnsi="Times New Roman" w:eastAsia="宋体" w:cs="Times New Roman"/>
                <w:b w:val="0"/>
                <w:bCs w:val="0"/>
                <w:color w:val="auto"/>
                <w:kern w:val="2"/>
                <w:position w:val="6"/>
                <w:sz w:val="24"/>
                <w:szCs w:val="24"/>
                <w:lang w:val="en-US" w:eastAsia="zh-CN" w:bidi="ar-SA"/>
              </w:rPr>
              <w:t>、废屑S</w:t>
            </w:r>
            <w:r>
              <w:rPr>
                <w:rFonts w:hint="eastAsia" w:cs="Times New Roman"/>
                <w:b w:val="0"/>
                <w:bCs w:val="0"/>
                <w:color w:val="auto"/>
                <w:kern w:val="2"/>
                <w:position w:val="6"/>
                <w:sz w:val="24"/>
                <w:szCs w:val="24"/>
                <w:lang w:val="en-US" w:eastAsia="zh-CN" w:bidi="ar-SA"/>
              </w:rPr>
              <w:t>1-3</w:t>
            </w:r>
            <w:r>
              <w:rPr>
                <w:rFonts w:hint="eastAsia" w:ascii="Times New Roman" w:hAnsi="Times New Roman" w:eastAsia="宋体" w:cs="Times New Roman"/>
                <w:b w:val="0"/>
                <w:bCs w:val="0"/>
                <w:color w:val="auto"/>
                <w:kern w:val="2"/>
                <w:position w:val="6"/>
                <w:sz w:val="24"/>
                <w:szCs w:val="24"/>
                <w:lang w:val="en-US" w:eastAsia="zh-CN" w:bidi="ar-SA"/>
              </w:rPr>
              <w:t>和</w:t>
            </w:r>
            <w:r>
              <w:rPr>
                <w:rFonts w:hint="eastAsia" w:cs="Times New Roman"/>
                <w:b w:val="0"/>
                <w:bCs w:val="0"/>
                <w:color w:val="auto"/>
                <w:kern w:val="2"/>
                <w:position w:val="6"/>
                <w:sz w:val="24"/>
                <w:szCs w:val="24"/>
                <w:lang w:val="en-US" w:eastAsia="zh-CN" w:bidi="ar-SA"/>
              </w:rPr>
              <w:t>机械</w:t>
            </w:r>
            <w:r>
              <w:rPr>
                <w:rFonts w:hint="eastAsia" w:ascii="Times New Roman" w:hAnsi="Times New Roman" w:eastAsia="宋体" w:cs="Times New Roman"/>
                <w:b w:val="0"/>
                <w:bCs w:val="0"/>
                <w:color w:val="auto"/>
                <w:kern w:val="2"/>
                <w:position w:val="6"/>
                <w:sz w:val="24"/>
                <w:szCs w:val="24"/>
                <w:lang w:val="en-US" w:eastAsia="zh-CN" w:bidi="ar-SA"/>
              </w:rPr>
              <w:t>噪声</w:t>
            </w:r>
            <w:r>
              <w:rPr>
                <w:rFonts w:hint="eastAsia" w:cs="Times New Roman"/>
                <w:b w:val="0"/>
                <w:bCs w:val="0"/>
                <w:color w:val="auto"/>
                <w:kern w:val="2"/>
                <w:position w:val="6"/>
                <w:sz w:val="24"/>
                <w:szCs w:val="24"/>
                <w:lang w:val="en-US" w:eastAsia="zh-CN" w:bidi="ar-SA"/>
              </w:rPr>
              <w:t>N</w:t>
            </w:r>
            <w:r>
              <w:rPr>
                <w:rFonts w:hint="eastAsia" w:ascii="Times New Roman" w:hAnsi="Times New Roman" w:eastAsia="宋体" w:cs="Times New Roman"/>
                <w:b w:val="0"/>
                <w:bCs w:val="0"/>
                <w:color w:val="auto"/>
                <w:kern w:val="2"/>
                <w:position w:val="6"/>
                <w:sz w:val="24"/>
                <w:szCs w:val="24"/>
                <w:lang w:val="en-US" w:eastAsia="zh-CN" w:bidi="ar-SA"/>
              </w:rPr>
              <w:t>。</w:t>
            </w:r>
          </w:p>
          <w:p w14:paraId="62577630">
            <w:pPr>
              <w:pStyle w:val="8"/>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color w:val="FF0000"/>
                <w:lang w:val="en-US" w:eastAsia="zh-CN"/>
              </w:rPr>
            </w:pPr>
            <w:r>
              <w:rPr>
                <w:rFonts w:hint="eastAsia"/>
                <w:color w:val="auto"/>
                <w:lang w:val="en-US" w:eastAsia="zh-CN"/>
              </w:rPr>
              <w:t>（7）精确切割：根据客户需求，对切割后的木塑板材进行精切。该工序会产生切割废气G1-5、废边角料S1-3和机械噪声N。</w:t>
            </w:r>
          </w:p>
          <w:p w14:paraId="03EC117D">
            <w:pPr>
              <w:spacing w:line="360" w:lineRule="auto"/>
              <w:ind w:firstLine="480" w:firstLineChars="200"/>
              <w:rPr>
                <w:rFonts w:hint="eastAsia" w:ascii="Times New Roman" w:hAnsi="Times New Roman" w:eastAsia="宋体" w:cs="Times New Roman"/>
                <w:color w:val="auto"/>
                <w:kern w:val="0"/>
                <w:sz w:val="24"/>
                <w:szCs w:val="20"/>
                <w:lang w:val="en-US" w:eastAsia="zh-CN" w:bidi="ar-SA"/>
              </w:rPr>
            </w:pPr>
            <w:r>
              <w:rPr>
                <w:rFonts w:hint="eastAsia" w:ascii="Times New Roman" w:hAnsi="Times New Roman" w:eastAsia="宋体" w:cs="Times New Roman"/>
                <w:color w:val="auto"/>
                <w:kern w:val="0"/>
                <w:sz w:val="24"/>
                <w:szCs w:val="20"/>
                <w:lang w:val="en-US" w:eastAsia="zh-CN" w:bidi="ar-SA"/>
              </w:rPr>
              <w:t>（</w:t>
            </w:r>
            <w:r>
              <w:rPr>
                <w:rFonts w:hint="eastAsia" w:cs="Times New Roman"/>
                <w:color w:val="auto"/>
                <w:kern w:val="0"/>
                <w:sz w:val="24"/>
                <w:szCs w:val="20"/>
                <w:lang w:val="en-US" w:eastAsia="zh-CN" w:bidi="ar-SA"/>
              </w:rPr>
              <w:t>8</w:t>
            </w:r>
            <w:r>
              <w:rPr>
                <w:rFonts w:hint="eastAsia" w:ascii="Times New Roman" w:hAnsi="Times New Roman" w:eastAsia="宋体" w:cs="Times New Roman"/>
                <w:color w:val="auto"/>
                <w:kern w:val="0"/>
                <w:sz w:val="24"/>
                <w:szCs w:val="20"/>
                <w:lang w:val="en-US" w:eastAsia="zh-CN" w:bidi="ar-SA"/>
              </w:rPr>
              <w:t>）</w:t>
            </w:r>
            <w:r>
              <w:rPr>
                <w:rFonts w:hint="eastAsia" w:cs="Times New Roman"/>
                <w:color w:val="auto"/>
                <w:kern w:val="0"/>
                <w:sz w:val="24"/>
                <w:szCs w:val="20"/>
                <w:lang w:val="en-US" w:eastAsia="zh-CN" w:bidi="ar-SA"/>
              </w:rPr>
              <w:t>码垛</w:t>
            </w:r>
            <w:r>
              <w:rPr>
                <w:rFonts w:hint="eastAsia" w:ascii="Times New Roman" w:hAnsi="Times New Roman" w:eastAsia="宋体" w:cs="Times New Roman"/>
                <w:color w:val="auto"/>
                <w:kern w:val="0"/>
                <w:sz w:val="24"/>
                <w:szCs w:val="20"/>
                <w:lang w:val="en-US" w:eastAsia="zh-CN" w:bidi="ar-SA"/>
              </w:rPr>
              <w:t>：</w:t>
            </w:r>
            <w:r>
              <w:rPr>
                <w:rFonts w:hint="eastAsia" w:cs="Times New Roman"/>
                <w:color w:val="auto"/>
                <w:kern w:val="0"/>
                <w:sz w:val="24"/>
                <w:szCs w:val="20"/>
                <w:lang w:val="en-US" w:eastAsia="zh-CN" w:bidi="ar-SA"/>
              </w:rPr>
              <w:t>精确切割后得到成品，码垛堆放</w:t>
            </w:r>
            <w:r>
              <w:rPr>
                <w:rFonts w:hint="eastAsia" w:ascii="Times New Roman" w:hAnsi="Times New Roman" w:eastAsia="宋体" w:cs="Times New Roman"/>
                <w:color w:val="auto"/>
                <w:kern w:val="0"/>
                <w:sz w:val="24"/>
                <w:szCs w:val="20"/>
                <w:lang w:val="en-US" w:eastAsia="zh-CN" w:bidi="ar-SA"/>
              </w:rPr>
              <w:t>。</w:t>
            </w:r>
          </w:p>
          <w:p w14:paraId="42B9E5CB">
            <w:pPr>
              <w:jc w:val="center"/>
              <w:rPr>
                <w:rFonts w:hint="eastAsia"/>
                <w:b/>
                <w:bCs/>
                <w:sz w:val="24"/>
                <w:szCs w:val="24"/>
              </w:rPr>
            </w:pPr>
            <w:r>
              <w:rPr>
                <w:rFonts w:hint="eastAsia"/>
                <w:b/>
                <w:bCs/>
                <w:sz w:val="24"/>
                <w:szCs w:val="24"/>
              </w:rPr>
              <w:object>
                <v:shape id="_x0000_i1027" o:spt="75" type="#_x0000_t75" style="height:501pt;width:403.5pt;" o:ole="t" filled="f" o:preferrelative="t" stroked="f" coordsize="21600,21600">
                  <v:path/>
                  <v:fill on="f" focussize="0,0"/>
                  <v:stroke on="f"/>
                  <v:imagedata r:id="rId12" o:title=""/>
                  <o:lock v:ext="edit" aspectratio="f"/>
                  <w10:wrap type="none"/>
                  <w10:anchorlock/>
                </v:shape>
                <o:OLEObject Type="Embed" ProgID="Visio.Drawing.11" ShapeID="_x0000_i1027" DrawAspect="Content" ObjectID="_1468075727" r:id="rId11">
                  <o:LockedField>false</o:LockedField>
                </o:OLEObject>
              </w:object>
            </w:r>
          </w:p>
          <w:p w14:paraId="270F15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4"/>
                <w:szCs w:val="24"/>
              </w:rPr>
            </w:pPr>
            <w:r>
              <w:rPr>
                <w:rFonts w:hint="eastAsia"/>
                <w:b/>
                <w:bCs/>
                <w:sz w:val="24"/>
                <w:szCs w:val="24"/>
              </w:rPr>
              <w:t>图</w:t>
            </w:r>
            <w:r>
              <w:rPr>
                <w:rFonts w:hint="eastAsia"/>
                <w:b/>
                <w:bCs/>
                <w:sz w:val="24"/>
                <w:szCs w:val="24"/>
                <w:lang w:val="en-US" w:eastAsia="zh-CN"/>
              </w:rPr>
              <w:t>2.3  PE板材</w:t>
            </w:r>
            <w:r>
              <w:rPr>
                <w:rFonts w:hint="eastAsia"/>
                <w:b/>
                <w:bCs/>
                <w:sz w:val="24"/>
                <w:szCs w:val="24"/>
              </w:rPr>
              <w:t>生产工艺流程及产污环节图</w:t>
            </w:r>
          </w:p>
          <w:p w14:paraId="786DA44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snapToGrid/>
                <w:color w:val="000000" w:themeColor="text1"/>
                <w:spacing w:val="0"/>
                <w:kern w:val="0"/>
                <w:position w:val="0"/>
                <w:sz w:val="24"/>
                <w:szCs w:val="24"/>
                <w:lang w:val="en-US" w:eastAsia="zh-CN"/>
                <w14:textFill>
                  <w14:solidFill>
                    <w14:schemeClr w14:val="tx1"/>
                  </w14:solidFill>
                </w14:textFill>
              </w:rPr>
            </w:pPr>
            <w:r>
              <w:rPr>
                <w:rFonts w:hint="eastAsia" w:ascii="宋体" w:hAnsi="宋体" w:eastAsia="宋体" w:cs="宋体"/>
                <w:b/>
                <w:bCs/>
                <w:snapToGrid/>
                <w:color w:val="000000" w:themeColor="text1"/>
                <w:spacing w:val="0"/>
                <w:kern w:val="0"/>
                <w:position w:val="0"/>
                <w:sz w:val="24"/>
                <w:szCs w:val="24"/>
                <w:lang w:val="en-US" w:eastAsia="zh-CN"/>
                <w14:textFill>
                  <w14:solidFill>
                    <w14:schemeClr w14:val="tx1"/>
                  </w14:solidFill>
                </w14:textFill>
              </w:rPr>
              <w:t>工艺流程简述</w:t>
            </w:r>
            <w:r>
              <w:rPr>
                <w:rFonts w:hint="eastAsia" w:ascii="宋体" w:hAnsi="宋体" w:cs="宋体"/>
                <w:b/>
                <w:bCs/>
                <w:snapToGrid/>
                <w:color w:val="000000" w:themeColor="text1"/>
                <w:spacing w:val="0"/>
                <w:kern w:val="0"/>
                <w:position w:val="0"/>
                <w:sz w:val="24"/>
                <w:szCs w:val="24"/>
                <w:lang w:val="en-US" w:eastAsia="zh-CN"/>
                <w14:textFill>
                  <w14:solidFill>
                    <w14:schemeClr w14:val="tx1"/>
                  </w14:solidFill>
                </w14:textFill>
              </w:rPr>
              <w:t>如下</w:t>
            </w:r>
            <w:r>
              <w:rPr>
                <w:rFonts w:hint="eastAsia" w:ascii="宋体" w:hAnsi="宋体" w:eastAsia="宋体" w:cs="宋体"/>
                <w:b/>
                <w:bCs/>
                <w:snapToGrid/>
                <w:color w:val="000000" w:themeColor="text1"/>
                <w:spacing w:val="0"/>
                <w:kern w:val="0"/>
                <w:position w:val="0"/>
                <w:sz w:val="24"/>
                <w:szCs w:val="24"/>
                <w:lang w:val="en-US" w:eastAsia="zh-CN"/>
                <w14:textFill>
                  <w14:solidFill>
                    <w14:schemeClr w14:val="tx1"/>
                  </w14:solidFill>
                </w14:textFill>
              </w:rPr>
              <w:t>：</w:t>
            </w:r>
          </w:p>
          <w:p w14:paraId="303173A8">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cs="Times New Roman"/>
                <w:b w:val="0"/>
                <w:bCs w:val="0"/>
                <w:color w:val="FF0000"/>
                <w:position w:val="6"/>
                <w:sz w:val="24"/>
                <w:szCs w:val="24"/>
                <w:lang w:val="en-US" w:eastAsia="zh-CN"/>
              </w:rPr>
            </w:pPr>
            <w:r>
              <w:rPr>
                <w:rFonts w:hint="eastAsia" w:cs="Times New Roman"/>
                <w:b w:val="0"/>
                <w:bCs w:val="0"/>
                <w:color w:val="auto"/>
                <w:position w:val="6"/>
                <w:sz w:val="24"/>
                <w:szCs w:val="24"/>
                <w:lang w:val="en-US" w:eastAsia="zh-CN"/>
              </w:rPr>
              <w:t>（1）混料</w:t>
            </w:r>
            <w:r>
              <w:rPr>
                <w:rFonts w:hint="eastAsia" w:ascii="Times New Roman" w:hAnsi="Times New Roman" w:eastAsia="宋体" w:cs="Times New Roman"/>
                <w:b w:val="0"/>
                <w:bCs w:val="0"/>
                <w:color w:val="auto"/>
                <w:kern w:val="2"/>
                <w:position w:val="6"/>
                <w:sz w:val="24"/>
                <w:szCs w:val="24"/>
                <w:lang w:val="en-US" w:eastAsia="zh-CN" w:bidi="ar-SA"/>
              </w:rPr>
              <w:t>：</w:t>
            </w:r>
            <w:r>
              <w:rPr>
                <w:rFonts w:hint="eastAsia" w:cs="Times New Roman"/>
                <w:b w:val="0"/>
                <w:bCs w:val="0"/>
                <w:color w:val="auto"/>
                <w:position w:val="6"/>
                <w:sz w:val="24"/>
                <w:szCs w:val="24"/>
                <w:lang w:val="en-US" w:eastAsia="zh-CN"/>
              </w:rPr>
              <w:t>将外购的PE木塑底料、PE粒子。人工拆包投入混料机。</w:t>
            </w:r>
            <w:r>
              <w:rPr>
                <w:rFonts w:hint="eastAsia" w:cs="Times New Roman"/>
                <w:b w:val="0"/>
                <w:bCs w:val="0"/>
                <w:color w:val="auto"/>
                <w:kern w:val="2"/>
                <w:position w:val="6"/>
                <w:sz w:val="24"/>
                <w:szCs w:val="24"/>
                <w:lang w:val="en-US" w:eastAsia="zh-CN" w:bidi="ar-SA"/>
              </w:rPr>
              <w:t>混料机将投入的物料充分混合均匀，混料过程全程密闭</w:t>
            </w:r>
            <w:r>
              <w:rPr>
                <w:rFonts w:hint="eastAsia" w:ascii="Times New Roman" w:hAnsi="Times New Roman" w:eastAsia="宋体" w:cs="Times New Roman"/>
                <w:b w:val="0"/>
                <w:bCs w:val="0"/>
                <w:color w:val="auto"/>
                <w:kern w:val="2"/>
                <w:position w:val="6"/>
                <w:sz w:val="24"/>
                <w:szCs w:val="24"/>
                <w:lang w:val="en-US" w:eastAsia="zh-CN" w:bidi="ar-SA"/>
              </w:rPr>
              <w:t>。</w:t>
            </w:r>
            <w:r>
              <w:rPr>
                <w:rFonts w:hint="eastAsia" w:cs="Times New Roman"/>
                <w:b w:val="0"/>
                <w:bCs w:val="0"/>
                <w:color w:val="auto"/>
                <w:position w:val="6"/>
                <w:sz w:val="24"/>
                <w:szCs w:val="24"/>
                <w:lang w:val="en-US" w:eastAsia="zh-CN"/>
              </w:rPr>
              <w:t>此工序会产生混料废气G2-1、废包装袋S2-1和机械噪声N。</w:t>
            </w:r>
          </w:p>
          <w:p w14:paraId="36A10B4E">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2）融熔挤出：混合均匀的物料通过管道进入融熔挤出机，熔融采用电加热加热到180到220摄氏度。加热后的物料成为具有一定流动性的熔体。熔体通过挤出机的模具挤出，形成具有特定截面形状和尺寸的木塑板坯。此工序会产生熔融挤出废气</w:t>
            </w:r>
            <w:r>
              <w:rPr>
                <w:rFonts w:hint="default" w:cs="Times New Roman"/>
                <w:b w:val="0"/>
                <w:bCs w:val="0"/>
                <w:color w:val="auto"/>
                <w:position w:val="6"/>
                <w:sz w:val="24"/>
                <w:szCs w:val="24"/>
                <w:lang w:val="en-US" w:eastAsia="zh-CN"/>
              </w:rPr>
              <w:t>G1-2</w:t>
            </w:r>
            <w:r>
              <w:rPr>
                <w:rFonts w:hint="eastAsia" w:cs="Times New Roman"/>
                <w:b w:val="0"/>
                <w:bCs w:val="0"/>
                <w:color w:val="auto"/>
                <w:position w:val="6"/>
                <w:sz w:val="24"/>
                <w:szCs w:val="24"/>
                <w:lang w:val="en-US" w:eastAsia="zh-CN"/>
              </w:rPr>
              <w:t>。</w:t>
            </w:r>
          </w:p>
          <w:p w14:paraId="256BE676">
            <w:pPr>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eastAsia"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（3）压花：采用在线压花机对挤出后的木塑板材表面压花，使得板材表面</w:t>
            </w:r>
          </w:p>
          <w:p w14:paraId="479AB01F">
            <w:pPr>
              <w:keepNext w:val="0"/>
              <w:keepLines w:val="0"/>
              <w:pageBreakBefore w:val="0"/>
              <w:widowControl w:val="0"/>
              <w:kinsoku/>
              <w:wordWrap/>
              <w:overflowPunct/>
              <w:topLinePunct w:val="0"/>
              <w:bidi w:val="0"/>
              <w:adjustRightInd w:val="0"/>
              <w:snapToGrid w:val="0"/>
              <w:spacing w:line="360" w:lineRule="auto"/>
              <w:textAlignment w:val="auto"/>
              <w:rPr>
                <w:rFonts w:hint="eastAsia"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形成一定规律性的形状。在线压花机主要通过加热使压花机上面带有的印花模具直接在板材表面上压花，加热温度为100℃左右，时间为30s。由于PE（聚乙烯）通常在170~210℃时裂解产生非甲烷总烃。压花工序操作温度100℃，远未到达PE裂解温度，故压花工艺产生的极少量的有机废气本环评不作分析。</w:t>
            </w:r>
          </w:p>
          <w:p w14:paraId="6F8A0B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（4）冷却定型</w:t>
            </w:r>
            <w:r>
              <w:rPr>
                <w:rFonts w:hint="eastAsia" w:ascii="Times New Roman" w:hAnsi="Times New Roman" w:cs="Times New Roman"/>
                <w:b w:val="0"/>
                <w:bCs w:val="0"/>
                <w:color w:val="auto"/>
                <w:position w:val="6"/>
                <w:sz w:val="24"/>
                <w:szCs w:val="24"/>
                <w:lang w:val="en-US" w:eastAsia="zh-CN"/>
              </w:rPr>
              <w:t>：压花后的木塑板材在牵引作用下进入冷却机的冷却水池内，通过喷淋管上的喷淋孔对板材直接冷却定型，冷却水池尺寸为4m×1.</w:t>
            </w:r>
            <w:r>
              <w:rPr>
                <w:rFonts w:hint="eastAsia" w:cs="Times New Roman"/>
                <w:b w:val="0"/>
                <w:bCs w:val="0"/>
                <w:color w:val="auto"/>
                <w:position w:val="6"/>
                <w:sz w:val="24"/>
                <w:szCs w:val="24"/>
                <w:lang w:val="en-US" w:eastAsia="zh-CN"/>
              </w:rPr>
              <w:t>1</w:t>
            </w:r>
            <w:r>
              <w:rPr>
                <w:rFonts w:hint="eastAsia" w:ascii="Times New Roman" w:hAnsi="Times New Roman" w:cs="Times New Roman"/>
                <w:b w:val="0"/>
                <w:bCs w:val="0"/>
                <w:color w:val="auto"/>
                <w:position w:val="6"/>
                <w:sz w:val="24"/>
                <w:szCs w:val="24"/>
                <w:lang w:val="en-US" w:eastAsia="zh-CN"/>
              </w:rPr>
              <w:t>m×1m。</w:t>
            </w:r>
          </w:p>
          <w:p w14:paraId="60BB319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cs="Times New Roman"/>
                <w:b w:val="0"/>
                <w:bCs w:val="0"/>
                <w:color w:val="auto"/>
                <w:position w:val="6"/>
                <w:sz w:val="24"/>
                <w:szCs w:val="24"/>
                <w:lang w:val="en-US" w:eastAsia="zh-CN"/>
              </w:rPr>
            </w:pPr>
            <w:r>
              <w:rPr>
                <w:rFonts w:hint="eastAsia" w:ascii="Times New Roman" w:hAnsi="Times New Roman" w:cs="Times New Roman"/>
                <w:b w:val="0"/>
                <w:bCs w:val="0"/>
                <w:color w:val="auto"/>
                <w:position w:val="6"/>
                <w:sz w:val="24"/>
                <w:szCs w:val="24"/>
                <w:lang w:val="en-US" w:eastAsia="zh-CN"/>
              </w:rPr>
              <w:t>冷却水循环使用</w:t>
            </w:r>
            <w:r>
              <w:rPr>
                <w:rFonts w:hint="eastAsia" w:cs="Times New Roman"/>
                <w:b w:val="0"/>
                <w:bCs w:val="0"/>
                <w:color w:val="auto"/>
                <w:position w:val="6"/>
                <w:sz w:val="24"/>
                <w:szCs w:val="24"/>
                <w:lang w:val="en-US" w:eastAsia="zh-CN"/>
              </w:rPr>
              <w:t>不外排，定期补充损耗</w:t>
            </w:r>
            <w:r>
              <w:rPr>
                <w:rFonts w:hint="eastAsia" w:ascii="Times New Roman" w:hAnsi="Times New Roman" w:cs="Times New Roman"/>
                <w:b w:val="0"/>
                <w:bCs w:val="0"/>
                <w:color w:val="auto"/>
                <w:position w:val="6"/>
                <w:sz w:val="24"/>
                <w:szCs w:val="24"/>
                <w:lang w:val="en-US" w:eastAsia="zh-CN"/>
              </w:rPr>
              <w:t>。</w:t>
            </w:r>
            <w:r>
              <w:rPr>
                <w:rFonts w:hint="eastAsia" w:cs="Times New Roman"/>
                <w:b w:val="0"/>
                <w:bCs w:val="0"/>
                <w:color w:val="auto"/>
                <w:position w:val="6"/>
                <w:sz w:val="24"/>
                <w:szCs w:val="24"/>
                <w:lang w:val="en-US" w:eastAsia="zh-CN"/>
              </w:rPr>
              <w:t>此工艺会产生冷却废水W2-1。</w:t>
            </w:r>
          </w:p>
          <w:p w14:paraId="154E072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 w:val="0"/>
                <w:bCs w:val="0"/>
                <w:color w:val="auto"/>
                <w:position w:val="6"/>
                <w:sz w:val="24"/>
                <w:szCs w:val="24"/>
                <w:lang w:val="en-US" w:eastAsia="zh-CN"/>
              </w:rPr>
            </w:pPr>
            <w:r>
              <w:rPr>
                <w:rFonts w:hint="eastAsia" w:cs="Times New Roman"/>
                <w:b w:val="0"/>
                <w:bCs w:val="0"/>
                <w:color w:val="auto"/>
                <w:position w:val="6"/>
                <w:sz w:val="24"/>
                <w:szCs w:val="24"/>
                <w:lang w:val="en-US" w:eastAsia="zh-CN"/>
              </w:rPr>
              <w:t>（5）牵引切割</w:t>
            </w:r>
            <w:r>
              <w:rPr>
                <w:rFonts w:hint="eastAsia" w:ascii="Times New Roman" w:hAnsi="Times New Roman" w:cs="Times New Roman"/>
                <w:b w:val="0"/>
                <w:bCs w:val="0"/>
                <w:color w:val="auto"/>
                <w:position w:val="6"/>
                <w:sz w:val="24"/>
                <w:szCs w:val="24"/>
                <w:lang w:val="en-US" w:eastAsia="zh-CN"/>
              </w:rPr>
              <w:t>：</w:t>
            </w:r>
            <w:r>
              <w:rPr>
                <w:rFonts w:hint="eastAsia" w:cs="Times New Roman"/>
                <w:b w:val="0"/>
                <w:bCs w:val="0"/>
                <w:color w:val="auto"/>
                <w:position w:val="6"/>
                <w:sz w:val="24"/>
                <w:szCs w:val="24"/>
                <w:lang w:val="en-US" w:eastAsia="zh-CN"/>
              </w:rPr>
              <w:t>将冷定型的板材通过牵引进行切割。此工序会产生切割废气G2-3，废边角料S2-2和机械噪声N。</w:t>
            </w:r>
          </w:p>
          <w:p w14:paraId="7E01630F">
            <w:pPr>
              <w:pStyle w:val="8"/>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color w:val="FF0000"/>
                <w:lang w:val="en-US" w:eastAsia="zh-CN"/>
              </w:rPr>
            </w:pPr>
            <w:r>
              <w:rPr>
                <w:rFonts w:hint="eastAsia"/>
                <w:color w:val="auto"/>
                <w:lang w:val="en-US" w:eastAsia="zh-CN"/>
              </w:rPr>
              <w:t>（6）精确切割：根据客户需求，对牵引切割后的木塑板材进行精切。该工序会产生切割粉尘G2-4、废边角料S2-3和机械噪声N。</w:t>
            </w:r>
          </w:p>
          <w:p w14:paraId="765BA28F">
            <w:pPr>
              <w:keepNext w:val="0"/>
              <w:keepLines w:val="0"/>
              <w:pageBreakBefore w:val="0"/>
              <w:widowControl w:val="0"/>
              <w:numPr>
                <w:ilvl w:val="0"/>
                <w:numId w:val="0"/>
              </w:numPr>
              <w:tabs>
                <w:tab w:val="left" w:pos="1453"/>
              </w:tabs>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eastAsia="宋体" w:cs="Times New Roman"/>
                <w:b/>
                <w:bCs/>
                <w:color w:val="FF0000"/>
                <w:kern w:val="2"/>
                <w:sz w:val="28"/>
                <w:szCs w:val="28"/>
                <w:lang w:val="en-US" w:eastAsia="zh-CN" w:bidi="ar-SA"/>
              </w:rPr>
            </w:pPr>
            <w:r>
              <w:rPr>
                <w:rFonts w:hint="eastAsia" w:ascii="Times New Roman" w:hAnsi="Times New Roman" w:eastAsia="宋体" w:cs="Times New Roman"/>
                <w:color w:val="auto"/>
                <w:kern w:val="0"/>
                <w:sz w:val="24"/>
                <w:szCs w:val="20"/>
                <w:lang w:val="en-US" w:eastAsia="zh-CN" w:bidi="ar-SA"/>
              </w:rPr>
              <w:t>（</w:t>
            </w:r>
            <w:r>
              <w:rPr>
                <w:rFonts w:hint="eastAsia" w:cs="Times New Roman"/>
                <w:color w:val="auto"/>
                <w:kern w:val="0"/>
                <w:sz w:val="24"/>
                <w:szCs w:val="20"/>
                <w:lang w:val="en-US" w:eastAsia="zh-CN" w:bidi="ar-SA"/>
              </w:rPr>
              <w:t>7</w:t>
            </w:r>
            <w:r>
              <w:rPr>
                <w:rFonts w:hint="eastAsia" w:ascii="Times New Roman" w:hAnsi="Times New Roman" w:eastAsia="宋体" w:cs="Times New Roman"/>
                <w:color w:val="auto"/>
                <w:kern w:val="0"/>
                <w:sz w:val="24"/>
                <w:szCs w:val="20"/>
                <w:lang w:val="en-US" w:eastAsia="zh-CN" w:bidi="ar-SA"/>
              </w:rPr>
              <w:t>）</w:t>
            </w:r>
            <w:r>
              <w:rPr>
                <w:rFonts w:hint="eastAsia" w:cs="Times New Roman"/>
                <w:color w:val="auto"/>
                <w:kern w:val="0"/>
                <w:sz w:val="24"/>
                <w:szCs w:val="20"/>
                <w:lang w:val="en-US" w:eastAsia="zh-CN" w:bidi="ar-SA"/>
              </w:rPr>
              <w:t>码垛</w:t>
            </w:r>
            <w:r>
              <w:rPr>
                <w:rFonts w:hint="eastAsia" w:ascii="Times New Roman" w:hAnsi="Times New Roman" w:eastAsia="宋体" w:cs="Times New Roman"/>
                <w:color w:val="auto"/>
                <w:kern w:val="0"/>
                <w:sz w:val="24"/>
                <w:szCs w:val="20"/>
                <w:lang w:val="en-US" w:eastAsia="zh-CN" w:bidi="ar-SA"/>
              </w:rPr>
              <w:t>：</w:t>
            </w:r>
            <w:r>
              <w:rPr>
                <w:rFonts w:hint="eastAsia" w:cs="Times New Roman"/>
                <w:color w:val="auto"/>
                <w:kern w:val="0"/>
                <w:sz w:val="24"/>
                <w:szCs w:val="20"/>
                <w:lang w:val="en-US" w:eastAsia="zh-CN" w:bidi="ar-SA"/>
              </w:rPr>
              <w:t>精确切割后得到成品，码垛堆放</w:t>
            </w:r>
            <w:r>
              <w:rPr>
                <w:rFonts w:hint="eastAsia" w:ascii="Times New Roman" w:hAnsi="Times New Roman" w:eastAsia="宋体" w:cs="Times New Roman"/>
                <w:color w:val="auto"/>
                <w:kern w:val="0"/>
                <w:sz w:val="24"/>
                <w:szCs w:val="20"/>
                <w:lang w:val="en-US" w:eastAsia="zh-CN" w:bidi="ar-SA"/>
              </w:rPr>
              <w:t>。</w:t>
            </w:r>
          </w:p>
          <w:p w14:paraId="2114A998">
            <w:pPr>
              <w:spacing w:line="360" w:lineRule="auto"/>
              <w:ind w:firstLine="482" w:firstLineChars="200"/>
              <w:rPr>
                <w:b/>
                <w:sz w:val="24"/>
                <w:szCs w:val="24"/>
              </w:rPr>
            </w:pPr>
            <w:r>
              <w:rPr>
                <w:b/>
                <w:sz w:val="24"/>
                <w:szCs w:val="24"/>
              </w:rPr>
              <w:t>综上分析，项目运营期产污情况见下表：</w:t>
            </w:r>
          </w:p>
          <w:p w14:paraId="517E1EC4">
            <w:pPr>
              <w:spacing w:line="360" w:lineRule="auto"/>
              <w:jc w:val="center"/>
              <w:rPr>
                <w:b/>
                <w:sz w:val="24"/>
                <w:szCs w:val="24"/>
              </w:rPr>
            </w:pPr>
            <w:r>
              <w:rPr>
                <w:b/>
                <w:sz w:val="24"/>
                <w:szCs w:val="24"/>
              </w:rPr>
              <w:t>表2</w:t>
            </w:r>
            <w:r>
              <w:rPr>
                <w:rFonts w:hint="eastAsia"/>
                <w:b/>
                <w:sz w:val="24"/>
                <w:szCs w:val="24"/>
                <w:lang w:val="en-US" w:eastAsia="zh-CN"/>
              </w:rPr>
              <w:t>.7</w:t>
            </w:r>
            <w:r>
              <w:rPr>
                <w:b/>
                <w:sz w:val="24"/>
                <w:szCs w:val="24"/>
              </w:rPr>
              <w:t xml:space="preserve"> 运营期主要污染工序一览表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3"/>
              <w:gridCol w:w="933"/>
              <w:gridCol w:w="3666"/>
              <w:gridCol w:w="2009"/>
            </w:tblGrid>
            <w:tr w14:paraId="0CEF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noWrap w:val="0"/>
                  <w:vAlign w:val="center"/>
                </w:tcPr>
                <w:p w14:paraId="4FF13867">
                  <w:pPr>
                    <w:jc w:val="center"/>
                    <w:rPr>
                      <w:rFonts w:hint="eastAsia" w:eastAsia="宋体"/>
                      <w:bCs/>
                      <w:color w:val="auto"/>
                      <w:szCs w:val="21"/>
                      <w:lang w:val="en-US" w:eastAsia="zh-CN"/>
                    </w:rPr>
                  </w:pPr>
                  <w:r>
                    <w:rPr>
                      <w:rFonts w:hint="eastAsia"/>
                      <w:bCs/>
                      <w:color w:val="auto"/>
                      <w:szCs w:val="21"/>
                      <w:lang w:val="en-US" w:eastAsia="zh-CN"/>
                    </w:rPr>
                    <w:t>产品种类</w:t>
                  </w:r>
                </w:p>
              </w:tc>
              <w:tc>
                <w:tcPr>
                  <w:tcW w:w="546" w:type="pct"/>
                  <w:noWrap w:val="0"/>
                  <w:vAlign w:val="center"/>
                </w:tcPr>
                <w:p w14:paraId="7A3EF9DC">
                  <w:pPr>
                    <w:jc w:val="center"/>
                    <w:rPr>
                      <w:bCs/>
                      <w:color w:val="auto"/>
                      <w:szCs w:val="21"/>
                    </w:rPr>
                  </w:pPr>
                  <w:r>
                    <w:rPr>
                      <w:bCs/>
                      <w:color w:val="auto"/>
                      <w:szCs w:val="21"/>
                    </w:rPr>
                    <w:t>污染类别</w:t>
                  </w:r>
                </w:p>
              </w:tc>
              <w:tc>
                <w:tcPr>
                  <w:tcW w:w="552" w:type="pct"/>
                  <w:noWrap w:val="0"/>
                  <w:vAlign w:val="center"/>
                </w:tcPr>
                <w:p w14:paraId="116DCF08">
                  <w:pPr>
                    <w:jc w:val="center"/>
                    <w:rPr>
                      <w:bCs/>
                      <w:color w:val="auto"/>
                      <w:szCs w:val="21"/>
                    </w:rPr>
                  </w:pPr>
                  <w:r>
                    <w:rPr>
                      <w:bCs/>
                      <w:color w:val="auto"/>
                      <w:szCs w:val="21"/>
                    </w:rPr>
                    <w:t>污染源</w:t>
                  </w:r>
                </w:p>
                <w:p w14:paraId="6511F47C">
                  <w:pPr>
                    <w:jc w:val="center"/>
                    <w:rPr>
                      <w:bCs/>
                      <w:color w:val="auto"/>
                      <w:szCs w:val="21"/>
                    </w:rPr>
                  </w:pPr>
                  <w:r>
                    <w:rPr>
                      <w:bCs/>
                      <w:color w:val="auto"/>
                      <w:szCs w:val="21"/>
                    </w:rPr>
                    <w:t>编号</w:t>
                  </w:r>
                </w:p>
              </w:tc>
              <w:tc>
                <w:tcPr>
                  <w:tcW w:w="2168" w:type="pct"/>
                  <w:noWrap w:val="0"/>
                  <w:vAlign w:val="center"/>
                </w:tcPr>
                <w:p w14:paraId="0CD4D1DA">
                  <w:pPr>
                    <w:jc w:val="center"/>
                    <w:rPr>
                      <w:bCs/>
                      <w:color w:val="auto"/>
                      <w:szCs w:val="21"/>
                    </w:rPr>
                  </w:pPr>
                  <w:r>
                    <w:rPr>
                      <w:bCs/>
                      <w:color w:val="auto"/>
                      <w:szCs w:val="21"/>
                    </w:rPr>
                    <w:t>产生工序</w:t>
                  </w:r>
                </w:p>
              </w:tc>
              <w:tc>
                <w:tcPr>
                  <w:tcW w:w="1188" w:type="pct"/>
                  <w:noWrap w:val="0"/>
                  <w:vAlign w:val="center"/>
                </w:tcPr>
                <w:p w14:paraId="1561432D">
                  <w:pPr>
                    <w:jc w:val="center"/>
                    <w:rPr>
                      <w:bCs/>
                      <w:color w:val="auto"/>
                      <w:szCs w:val="21"/>
                    </w:rPr>
                  </w:pPr>
                  <w:r>
                    <w:rPr>
                      <w:bCs/>
                      <w:color w:val="auto"/>
                      <w:szCs w:val="21"/>
                    </w:rPr>
                    <w:t>主要污染因子</w:t>
                  </w:r>
                </w:p>
              </w:tc>
            </w:tr>
            <w:tr w14:paraId="30EB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restart"/>
                  <w:noWrap w:val="0"/>
                  <w:vAlign w:val="center"/>
                </w:tcPr>
                <w:p w14:paraId="7E960685">
                  <w:pPr>
                    <w:jc w:val="center"/>
                    <w:rPr>
                      <w:rFonts w:hint="eastAsia" w:eastAsia="宋体"/>
                      <w:bCs/>
                      <w:color w:val="auto"/>
                      <w:szCs w:val="21"/>
                      <w:lang w:val="en-US" w:eastAsia="zh-CN"/>
                    </w:rPr>
                  </w:pPr>
                  <w:r>
                    <w:rPr>
                      <w:rFonts w:hint="eastAsia"/>
                      <w:bCs/>
                      <w:color w:val="auto"/>
                      <w:szCs w:val="21"/>
                      <w:lang w:val="en-US" w:eastAsia="zh-CN"/>
                    </w:rPr>
                    <w:t>PVC板材</w:t>
                  </w:r>
                </w:p>
              </w:tc>
              <w:tc>
                <w:tcPr>
                  <w:tcW w:w="546" w:type="pct"/>
                  <w:vMerge w:val="restart"/>
                  <w:noWrap w:val="0"/>
                  <w:vAlign w:val="center"/>
                </w:tcPr>
                <w:p w14:paraId="3DC2C860">
                  <w:pPr>
                    <w:jc w:val="center"/>
                    <w:rPr>
                      <w:bCs/>
                      <w:color w:val="auto"/>
                      <w:szCs w:val="21"/>
                    </w:rPr>
                  </w:pPr>
                  <w:r>
                    <w:rPr>
                      <w:bCs/>
                      <w:color w:val="auto"/>
                      <w:szCs w:val="21"/>
                    </w:rPr>
                    <w:t>废气</w:t>
                  </w:r>
                </w:p>
              </w:tc>
              <w:tc>
                <w:tcPr>
                  <w:tcW w:w="552" w:type="pct"/>
                  <w:noWrap w:val="0"/>
                  <w:vAlign w:val="center"/>
                </w:tcPr>
                <w:p w14:paraId="23B2A57B">
                  <w:pPr>
                    <w:jc w:val="center"/>
                    <w:rPr>
                      <w:rFonts w:hint="default" w:eastAsia="宋体"/>
                      <w:bCs/>
                      <w:color w:val="auto"/>
                      <w:szCs w:val="21"/>
                      <w:lang w:val="en-US" w:eastAsia="zh-CN"/>
                    </w:rPr>
                  </w:pPr>
                  <w:r>
                    <w:rPr>
                      <w:bCs/>
                      <w:color w:val="auto"/>
                      <w:szCs w:val="21"/>
                    </w:rPr>
                    <w:t>G1</w:t>
                  </w:r>
                  <w:r>
                    <w:rPr>
                      <w:rFonts w:hint="eastAsia"/>
                      <w:bCs/>
                      <w:color w:val="auto"/>
                      <w:szCs w:val="21"/>
                      <w:lang w:val="en-US" w:eastAsia="zh-CN"/>
                    </w:rPr>
                    <w:t>-1</w:t>
                  </w:r>
                </w:p>
              </w:tc>
              <w:tc>
                <w:tcPr>
                  <w:tcW w:w="2168" w:type="pct"/>
                  <w:noWrap w:val="0"/>
                  <w:vAlign w:val="center"/>
                </w:tcPr>
                <w:p w14:paraId="17AA8557">
                  <w:pPr>
                    <w:jc w:val="center"/>
                    <w:rPr>
                      <w:rFonts w:hint="eastAsia" w:eastAsia="宋体"/>
                      <w:bCs/>
                      <w:color w:val="auto"/>
                      <w:szCs w:val="21"/>
                      <w:lang w:eastAsia="zh-CN"/>
                    </w:rPr>
                  </w:pPr>
                  <w:r>
                    <w:rPr>
                      <w:rFonts w:hint="eastAsia"/>
                      <w:bCs/>
                      <w:color w:val="auto"/>
                      <w:szCs w:val="21"/>
                      <w:lang w:val="en-US" w:eastAsia="zh-CN"/>
                    </w:rPr>
                    <w:t>混料</w:t>
                  </w:r>
                </w:p>
              </w:tc>
              <w:tc>
                <w:tcPr>
                  <w:tcW w:w="1188" w:type="pct"/>
                  <w:noWrap w:val="0"/>
                  <w:vAlign w:val="center"/>
                </w:tcPr>
                <w:p w14:paraId="61B65310">
                  <w:pPr>
                    <w:jc w:val="center"/>
                    <w:rPr>
                      <w:rFonts w:hint="eastAsia" w:eastAsia="宋体"/>
                      <w:bCs/>
                      <w:color w:val="auto"/>
                      <w:szCs w:val="21"/>
                      <w:lang w:val="en-US" w:eastAsia="zh-CN"/>
                    </w:rPr>
                  </w:pPr>
                  <w:r>
                    <w:rPr>
                      <w:rFonts w:hint="eastAsia"/>
                      <w:bCs/>
                      <w:color w:val="auto"/>
                      <w:szCs w:val="21"/>
                      <w:lang w:val="en-US" w:eastAsia="zh-CN"/>
                    </w:rPr>
                    <w:t>颗粒物</w:t>
                  </w:r>
                </w:p>
              </w:tc>
            </w:tr>
            <w:tr w14:paraId="65BC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542F9B95">
                  <w:pPr>
                    <w:jc w:val="center"/>
                    <w:rPr>
                      <w:rFonts w:hint="eastAsia"/>
                      <w:bCs/>
                      <w:color w:val="auto"/>
                      <w:szCs w:val="21"/>
                      <w:lang w:val="en-US" w:eastAsia="zh-CN"/>
                    </w:rPr>
                  </w:pPr>
                </w:p>
              </w:tc>
              <w:tc>
                <w:tcPr>
                  <w:tcW w:w="546" w:type="pct"/>
                  <w:vMerge w:val="continue"/>
                  <w:noWrap w:val="0"/>
                  <w:vAlign w:val="center"/>
                </w:tcPr>
                <w:p w14:paraId="30AD1746">
                  <w:pPr>
                    <w:jc w:val="center"/>
                    <w:rPr>
                      <w:bCs/>
                      <w:color w:val="auto"/>
                      <w:szCs w:val="21"/>
                    </w:rPr>
                  </w:pPr>
                </w:p>
              </w:tc>
              <w:tc>
                <w:tcPr>
                  <w:tcW w:w="552" w:type="pct"/>
                  <w:noWrap w:val="0"/>
                  <w:vAlign w:val="center"/>
                </w:tcPr>
                <w:p w14:paraId="5B93F142">
                  <w:pPr>
                    <w:jc w:val="center"/>
                    <w:rPr>
                      <w:rFonts w:hint="default"/>
                      <w:bCs/>
                      <w:color w:val="auto"/>
                      <w:szCs w:val="21"/>
                      <w:lang w:val="en-US"/>
                    </w:rPr>
                  </w:pPr>
                  <w:r>
                    <w:rPr>
                      <w:bCs/>
                      <w:color w:val="auto"/>
                      <w:szCs w:val="21"/>
                    </w:rPr>
                    <w:t>G1</w:t>
                  </w:r>
                  <w:r>
                    <w:rPr>
                      <w:rFonts w:hint="eastAsia"/>
                      <w:bCs/>
                      <w:color w:val="auto"/>
                      <w:szCs w:val="21"/>
                      <w:lang w:val="en-US" w:eastAsia="zh-CN"/>
                    </w:rPr>
                    <w:t>-2</w:t>
                  </w:r>
                </w:p>
              </w:tc>
              <w:tc>
                <w:tcPr>
                  <w:tcW w:w="2168" w:type="pct"/>
                  <w:noWrap w:val="0"/>
                  <w:vAlign w:val="center"/>
                </w:tcPr>
                <w:p w14:paraId="29B5C0F3">
                  <w:pPr>
                    <w:jc w:val="center"/>
                    <w:rPr>
                      <w:rFonts w:hint="eastAsia"/>
                      <w:bCs/>
                      <w:color w:val="auto"/>
                      <w:szCs w:val="21"/>
                      <w:lang w:val="en-US" w:eastAsia="zh-CN"/>
                    </w:rPr>
                  </w:pPr>
                  <w:r>
                    <w:rPr>
                      <w:rFonts w:hint="eastAsia"/>
                      <w:bCs/>
                      <w:color w:val="auto"/>
                      <w:szCs w:val="21"/>
                      <w:lang w:val="en-US" w:eastAsia="zh-CN"/>
                    </w:rPr>
                    <w:t>熔融挤出</w:t>
                  </w:r>
                </w:p>
              </w:tc>
              <w:tc>
                <w:tcPr>
                  <w:tcW w:w="1188" w:type="pct"/>
                  <w:noWrap w:val="0"/>
                  <w:vAlign w:val="center"/>
                </w:tcPr>
                <w:p w14:paraId="2052153E">
                  <w:pPr>
                    <w:jc w:val="center"/>
                    <w:rPr>
                      <w:rFonts w:hint="eastAsia"/>
                      <w:bCs/>
                      <w:color w:val="auto"/>
                      <w:szCs w:val="21"/>
                      <w:lang w:val="en-US" w:eastAsia="zh-CN"/>
                    </w:rPr>
                  </w:pPr>
                  <w:r>
                    <w:rPr>
                      <w:rFonts w:hint="eastAsia"/>
                      <w:bCs/>
                      <w:color w:val="auto"/>
                      <w:szCs w:val="21"/>
                      <w:lang w:val="en-US" w:eastAsia="zh-CN"/>
                    </w:rPr>
                    <w:t>非甲烷总烃、氯化氢、氯乙烯、臭气浓度</w:t>
                  </w:r>
                </w:p>
              </w:tc>
            </w:tr>
            <w:tr w14:paraId="689B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73686C4A">
                  <w:pPr>
                    <w:jc w:val="center"/>
                    <w:rPr>
                      <w:rFonts w:hint="eastAsia"/>
                      <w:bCs/>
                      <w:color w:val="auto"/>
                      <w:szCs w:val="21"/>
                      <w:lang w:val="en-US" w:eastAsia="zh-CN"/>
                    </w:rPr>
                  </w:pPr>
                </w:p>
              </w:tc>
              <w:tc>
                <w:tcPr>
                  <w:tcW w:w="546" w:type="pct"/>
                  <w:vMerge w:val="continue"/>
                  <w:noWrap w:val="0"/>
                  <w:vAlign w:val="center"/>
                </w:tcPr>
                <w:p w14:paraId="7EF2FB2A">
                  <w:pPr>
                    <w:jc w:val="center"/>
                    <w:rPr>
                      <w:bCs/>
                      <w:color w:val="auto"/>
                      <w:szCs w:val="21"/>
                    </w:rPr>
                  </w:pPr>
                </w:p>
              </w:tc>
              <w:tc>
                <w:tcPr>
                  <w:tcW w:w="552" w:type="pct"/>
                  <w:noWrap w:val="0"/>
                  <w:vAlign w:val="center"/>
                </w:tcPr>
                <w:p w14:paraId="3D8FB908">
                  <w:pPr>
                    <w:jc w:val="center"/>
                    <w:rPr>
                      <w:rFonts w:hint="default"/>
                      <w:bCs/>
                      <w:color w:val="auto"/>
                      <w:szCs w:val="21"/>
                      <w:lang w:val="en-US"/>
                    </w:rPr>
                  </w:pPr>
                  <w:r>
                    <w:rPr>
                      <w:bCs/>
                      <w:color w:val="auto"/>
                      <w:szCs w:val="21"/>
                    </w:rPr>
                    <w:t>G1</w:t>
                  </w:r>
                  <w:r>
                    <w:rPr>
                      <w:rFonts w:hint="eastAsia"/>
                      <w:bCs/>
                      <w:color w:val="auto"/>
                      <w:szCs w:val="21"/>
                      <w:lang w:val="en-US" w:eastAsia="zh-CN"/>
                    </w:rPr>
                    <w:t>-3</w:t>
                  </w:r>
                </w:p>
              </w:tc>
              <w:tc>
                <w:tcPr>
                  <w:tcW w:w="2168" w:type="pct"/>
                  <w:noWrap w:val="0"/>
                  <w:vAlign w:val="center"/>
                </w:tcPr>
                <w:p w14:paraId="2246D113">
                  <w:pPr>
                    <w:jc w:val="center"/>
                    <w:rPr>
                      <w:rFonts w:hint="eastAsia"/>
                      <w:bCs/>
                      <w:color w:val="auto"/>
                      <w:szCs w:val="21"/>
                      <w:lang w:val="en-US" w:eastAsia="zh-CN"/>
                    </w:rPr>
                  </w:pPr>
                  <w:r>
                    <w:rPr>
                      <w:rFonts w:hint="eastAsia"/>
                      <w:bCs/>
                      <w:color w:val="auto"/>
                      <w:szCs w:val="21"/>
                      <w:lang w:val="en-US" w:eastAsia="zh-CN"/>
                    </w:rPr>
                    <w:t>牵引切割</w:t>
                  </w:r>
                </w:p>
              </w:tc>
              <w:tc>
                <w:tcPr>
                  <w:tcW w:w="1188" w:type="pct"/>
                  <w:noWrap w:val="0"/>
                  <w:vAlign w:val="center"/>
                </w:tcPr>
                <w:p w14:paraId="6761DD28">
                  <w:pPr>
                    <w:jc w:val="center"/>
                    <w:rPr>
                      <w:rFonts w:hint="eastAsia"/>
                      <w:bCs/>
                      <w:color w:val="auto"/>
                      <w:szCs w:val="21"/>
                      <w:lang w:val="en-US" w:eastAsia="zh-CN"/>
                    </w:rPr>
                  </w:pPr>
                  <w:r>
                    <w:rPr>
                      <w:rFonts w:hint="eastAsia"/>
                      <w:bCs/>
                      <w:color w:val="auto"/>
                      <w:szCs w:val="21"/>
                      <w:lang w:val="en-US" w:eastAsia="zh-CN"/>
                    </w:rPr>
                    <w:t>颗粒物</w:t>
                  </w:r>
                </w:p>
              </w:tc>
            </w:tr>
            <w:tr w14:paraId="19C8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0B7C8BC9">
                  <w:pPr>
                    <w:jc w:val="center"/>
                    <w:rPr>
                      <w:rFonts w:hint="eastAsia"/>
                      <w:bCs/>
                      <w:color w:val="auto"/>
                      <w:szCs w:val="21"/>
                      <w:lang w:val="en-US" w:eastAsia="zh-CN"/>
                    </w:rPr>
                  </w:pPr>
                </w:p>
              </w:tc>
              <w:tc>
                <w:tcPr>
                  <w:tcW w:w="546" w:type="pct"/>
                  <w:vMerge w:val="continue"/>
                  <w:noWrap w:val="0"/>
                  <w:vAlign w:val="center"/>
                </w:tcPr>
                <w:p w14:paraId="1656701B">
                  <w:pPr>
                    <w:jc w:val="center"/>
                    <w:rPr>
                      <w:bCs/>
                      <w:color w:val="auto"/>
                      <w:szCs w:val="21"/>
                    </w:rPr>
                  </w:pPr>
                </w:p>
              </w:tc>
              <w:tc>
                <w:tcPr>
                  <w:tcW w:w="552" w:type="pct"/>
                  <w:noWrap w:val="0"/>
                  <w:vAlign w:val="center"/>
                </w:tcPr>
                <w:p w14:paraId="3DFBF202">
                  <w:pPr>
                    <w:jc w:val="center"/>
                    <w:rPr>
                      <w:rFonts w:hint="default"/>
                      <w:bCs/>
                      <w:color w:val="auto"/>
                      <w:szCs w:val="21"/>
                      <w:lang w:val="en-US"/>
                    </w:rPr>
                  </w:pPr>
                  <w:r>
                    <w:rPr>
                      <w:bCs/>
                      <w:color w:val="auto"/>
                      <w:szCs w:val="21"/>
                    </w:rPr>
                    <w:t>G1</w:t>
                  </w:r>
                  <w:r>
                    <w:rPr>
                      <w:rFonts w:hint="eastAsia"/>
                      <w:bCs/>
                      <w:color w:val="auto"/>
                      <w:szCs w:val="21"/>
                      <w:lang w:val="en-US" w:eastAsia="zh-CN"/>
                    </w:rPr>
                    <w:t>-4</w:t>
                  </w:r>
                </w:p>
              </w:tc>
              <w:tc>
                <w:tcPr>
                  <w:tcW w:w="2168" w:type="pct"/>
                  <w:noWrap w:val="0"/>
                  <w:vAlign w:val="center"/>
                </w:tcPr>
                <w:p w14:paraId="6CEDD3CA">
                  <w:pPr>
                    <w:jc w:val="center"/>
                    <w:rPr>
                      <w:rFonts w:hint="eastAsia"/>
                      <w:bCs/>
                      <w:color w:val="auto"/>
                      <w:szCs w:val="21"/>
                      <w:lang w:val="en-US" w:eastAsia="zh-CN"/>
                    </w:rPr>
                  </w:pPr>
                  <w:r>
                    <w:rPr>
                      <w:rFonts w:hint="eastAsia"/>
                      <w:bCs/>
                      <w:color w:val="auto"/>
                      <w:szCs w:val="21"/>
                      <w:lang w:val="en-US" w:eastAsia="zh-CN"/>
                    </w:rPr>
                    <w:t>砂光打磨</w:t>
                  </w:r>
                </w:p>
              </w:tc>
              <w:tc>
                <w:tcPr>
                  <w:tcW w:w="1188" w:type="pct"/>
                  <w:noWrap w:val="0"/>
                  <w:vAlign w:val="center"/>
                </w:tcPr>
                <w:p w14:paraId="7C996226">
                  <w:pPr>
                    <w:jc w:val="center"/>
                    <w:rPr>
                      <w:rFonts w:hint="eastAsia"/>
                      <w:bCs/>
                      <w:color w:val="auto"/>
                      <w:szCs w:val="21"/>
                      <w:lang w:val="en-US" w:eastAsia="zh-CN"/>
                    </w:rPr>
                  </w:pPr>
                  <w:r>
                    <w:rPr>
                      <w:rFonts w:hint="eastAsia"/>
                      <w:bCs/>
                      <w:color w:val="auto"/>
                      <w:szCs w:val="21"/>
                      <w:lang w:val="en-US" w:eastAsia="zh-CN"/>
                    </w:rPr>
                    <w:t>颗粒物</w:t>
                  </w:r>
                </w:p>
              </w:tc>
            </w:tr>
            <w:tr w14:paraId="4649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3E066E34">
                  <w:pPr>
                    <w:jc w:val="center"/>
                    <w:rPr>
                      <w:rFonts w:hint="eastAsia"/>
                      <w:bCs/>
                      <w:color w:val="auto"/>
                      <w:szCs w:val="21"/>
                      <w:lang w:val="en-US" w:eastAsia="zh-CN"/>
                    </w:rPr>
                  </w:pPr>
                </w:p>
              </w:tc>
              <w:tc>
                <w:tcPr>
                  <w:tcW w:w="546" w:type="pct"/>
                  <w:vMerge w:val="continue"/>
                  <w:noWrap w:val="0"/>
                  <w:vAlign w:val="center"/>
                </w:tcPr>
                <w:p w14:paraId="37DE7DCA">
                  <w:pPr>
                    <w:jc w:val="center"/>
                    <w:rPr>
                      <w:bCs/>
                      <w:color w:val="auto"/>
                      <w:szCs w:val="21"/>
                    </w:rPr>
                  </w:pPr>
                </w:p>
              </w:tc>
              <w:tc>
                <w:tcPr>
                  <w:tcW w:w="552" w:type="pct"/>
                  <w:noWrap w:val="0"/>
                  <w:vAlign w:val="center"/>
                </w:tcPr>
                <w:p w14:paraId="3DDF85EB">
                  <w:pPr>
                    <w:jc w:val="center"/>
                    <w:rPr>
                      <w:rFonts w:hint="default"/>
                      <w:bCs/>
                      <w:color w:val="auto"/>
                      <w:szCs w:val="21"/>
                      <w:lang w:val="en-US"/>
                    </w:rPr>
                  </w:pPr>
                  <w:r>
                    <w:rPr>
                      <w:bCs/>
                      <w:color w:val="auto"/>
                      <w:szCs w:val="21"/>
                    </w:rPr>
                    <w:t>G1</w:t>
                  </w:r>
                  <w:r>
                    <w:rPr>
                      <w:rFonts w:hint="eastAsia"/>
                      <w:bCs/>
                      <w:color w:val="auto"/>
                      <w:szCs w:val="21"/>
                      <w:lang w:val="en-US" w:eastAsia="zh-CN"/>
                    </w:rPr>
                    <w:t>-5</w:t>
                  </w:r>
                </w:p>
              </w:tc>
              <w:tc>
                <w:tcPr>
                  <w:tcW w:w="2168" w:type="pct"/>
                  <w:noWrap w:val="0"/>
                  <w:vAlign w:val="center"/>
                </w:tcPr>
                <w:p w14:paraId="59275173">
                  <w:pPr>
                    <w:jc w:val="center"/>
                    <w:rPr>
                      <w:rFonts w:hint="eastAsia"/>
                      <w:bCs/>
                      <w:color w:val="auto"/>
                      <w:szCs w:val="21"/>
                      <w:lang w:val="en-US" w:eastAsia="zh-CN"/>
                    </w:rPr>
                  </w:pPr>
                  <w:r>
                    <w:rPr>
                      <w:rFonts w:hint="eastAsia"/>
                      <w:bCs/>
                      <w:color w:val="auto"/>
                      <w:szCs w:val="21"/>
                      <w:lang w:val="en-US" w:eastAsia="zh-CN"/>
                    </w:rPr>
                    <w:t>精确切割</w:t>
                  </w:r>
                </w:p>
              </w:tc>
              <w:tc>
                <w:tcPr>
                  <w:tcW w:w="1188" w:type="pct"/>
                  <w:noWrap w:val="0"/>
                  <w:vAlign w:val="center"/>
                </w:tcPr>
                <w:p w14:paraId="6793BFF1">
                  <w:pPr>
                    <w:jc w:val="center"/>
                    <w:rPr>
                      <w:rFonts w:hint="eastAsia"/>
                      <w:bCs/>
                      <w:color w:val="auto"/>
                      <w:szCs w:val="21"/>
                      <w:lang w:val="en-US" w:eastAsia="zh-CN"/>
                    </w:rPr>
                  </w:pPr>
                  <w:r>
                    <w:rPr>
                      <w:rFonts w:hint="eastAsia"/>
                      <w:bCs/>
                      <w:color w:val="auto"/>
                      <w:szCs w:val="21"/>
                      <w:lang w:val="en-US" w:eastAsia="zh-CN"/>
                    </w:rPr>
                    <w:t>颗粒物</w:t>
                  </w:r>
                </w:p>
              </w:tc>
            </w:tr>
            <w:tr w14:paraId="50F1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46C9E0CD">
                  <w:pPr>
                    <w:jc w:val="center"/>
                    <w:rPr>
                      <w:bCs/>
                      <w:color w:val="auto"/>
                      <w:szCs w:val="21"/>
                    </w:rPr>
                  </w:pPr>
                </w:p>
              </w:tc>
              <w:tc>
                <w:tcPr>
                  <w:tcW w:w="546" w:type="pct"/>
                  <w:noWrap w:val="0"/>
                  <w:vAlign w:val="center"/>
                </w:tcPr>
                <w:p w14:paraId="195A76BA">
                  <w:pPr>
                    <w:jc w:val="center"/>
                    <w:rPr>
                      <w:bCs/>
                      <w:color w:val="auto"/>
                      <w:szCs w:val="21"/>
                    </w:rPr>
                  </w:pPr>
                  <w:r>
                    <w:rPr>
                      <w:bCs/>
                      <w:color w:val="auto"/>
                      <w:szCs w:val="21"/>
                    </w:rPr>
                    <w:t>废水</w:t>
                  </w:r>
                </w:p>
              </w:tc>
              <w:tc>
                <w:tcPr>
                  <w:tcW w:w="552" w:type="pct"/>
                  <w:noWrap w:val="0"/>
                  <w:vAlign w:val="center"/>
                </w:tcPr>
                <w:p w14:paraId="2C1A7059">
                  <w:pPr>
                    <w:jc w:val="center"/>
                    <w:rPr>
                      <w:rFonts w:hint="default" w:eastAsia="宋体"/>
                      <w:bCs/>
                      <w:color w:val="auto"/>
                      <w:szCs w:val="21"/>
                      <w:lang w:val="en-US" w:eastAsia="zh-CN"/>
                    </w:rPr>
                  </w:pPr>
                  <w:r>
                    <w:rPr>
                      <w:bCs/>
                      <w:color w:val="auto"/>
                      <w:szCs w:val="21"/>
                    </w:rPr>
                    <w:t>W1</w:t>
                  </w:r>
                  <w:r>
                    <w:rPr>
                      <w:rFonts w:hint="eastAsia"/>
                      <w:bCs/>
                      <w:color w:val="auto"/>
                      <w:szCs w:val="21"/>
                      <w:lang w:val="en-US" w:eastAsia="zh-CN"/>
                    </w:rPr>
                    <w:t>-1</w:t>
                  </w:r>
                </w:p>
              </w:tc>
              <w:tc>
                <w:tcPr>
                  <w:tcW w:w="2168" w:type="pct"/>
                  <w:noWrap w:val="0"/>
                  <w:vAlign w:val="center"/>
                </w:tcPr>
                <w:p w14:paraId="62E93F13">
                  <w:pPr>
                    <w:jc w:val="center"/>
                    <w:rPr>
                      <w:rFonts w:hint="eastAsia" w:eastAsia="宋体"/>
                      <w:bCs/>
                      <w:color w:val="auto"/>
                      <w:szCs w:val="21"/>
                      <w:lang w:eastAsia="zh-CN"/>
                    </w:rPr>
                  </w:pPr>
                  <w:r>
                    <w:rPr>
                      <w:rFonts w:hint="eastAsia"/>
                      <w:bCs/>
                      <w:color w:val="auto"/>
                      <w:szCs w:val="21"/>
                      <w:lang w:eastAsia="zh-CN"/>
                    </w:rPr>
                    <w:t>冷却定型</w:t>
                  </w:r>
                </w:p>
              </w:tc>
              <w:tc>
                <w:tcPr>
                  <w:tcW w:w="1188" w:type="pct"/>
                  <w:noWrap w:val="0"/>
                  <w:vAlign w:val="center"/>
                </w:tcPr>
                <w:p w14:paraId="50BB1693">
                  <w:pPr>
                    <w:jc w:val="center"/>
                    <w:rPr>
                      <w:bCs/>
                      <w:color w:val="auto"/>
                      <w:szCs w:val="21"/>
                    </w:rPr>
                  </w:pPr>
                  <w:r>
                    <w:rPr>
                      <w:bCs/>
                      <w:color w:val="auto"/>
                      <w:szCs w:val="21"/>
                    </w:rPr>
                    <w:t>COD、</w:t>
                  </w:r>
                  <w:r>
                    <w:rPr>
                      <w:rFonts w:hint="eastAsia"/>
                      <w:bCs/>
                      <w:color w:val="auto"/>
                      <w:szCs w:val="21"/>
                    </w:rPr>
                    <w:t>B</w:t>
                  </w:r>
                  <w:r>
                    <w:rPr>
                      <w:bCs/>
                      <w:color w:val="auto"/>
                      <w:szCs w:val="21"/>
                    </w:rPr>
                    <w:t>OD</w:t>
                  </w:r>
                  <w:r>
                    <w:rPr>
                      <w:bCs/>
                      <w:color w:val="auto"/>
                      <w:szCs w:val="21"/>
                      <w:vertAlign w:val="subscript"/>
                    </w:rPr>
                    <w:t>5</w:t>
                  </w:r>
                  <w:r>
                    <w:rPr>
                      <w:rFonts w:hint="eastAsia"/>
                      <w:bCs/>
                      <w:color w:val="auto"/>
                      <w:szCs w:val="21"/>
                    </w:rPr>
                    <w:t>、</w:t>
                  </w:r>
                  <w:r>
                    <w:rPr>
                      <w:bCs/>
                      <w:color w:val="auto"/>
                      <w:szCs w:val="21"/>
                    </w:rPr>
                    <w:t>SS、</w:t>
                  </w:r>
                  <w:r>
                    <w:rPr>
                      <w:bCs/>
                      <w:color w:val="auto"/>
                      <w:szCs w:val="21"/>
                      <w:lang w:val="pt-BR"/>
                    </w:rPr>
                    <w:t>NH</w:t>
                  </w:r>
                  <w:r>
                    <w:rPr>
                      <w:bCs/>
                      <w:color w:val="auto"/>
                      <w:szCs w:val="21"/>
                      <w:vertAlign w:val="subscript"/>
                      <w:lang w:val="pt-BR"/>
                    </w:rPr>
                    <w:t>3</w:t>
                  </w:r>
                  <w:r>
                    <w:rPr>
                      <w:bCs/>
                      <w:color w:val="auto"/>
                      <w:szCs w:val="21"/>
                      <w:lang w:val="pt-BR"/>
                    </w:rPr>
                    <w:t>-N</w:t>
                  </w:r>
                </w:p>
              </w:tc>
            </w:tr>
            <w:tr w14:paraId="24CF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51E1C95D">
                  <w:pPr>
                    <w:jc w:val="center"/>
                    <w:rPr>
                      <w:bCs/>
                      <w:color w:val="auto"/>
                      <w:szCs w:val="21"/>
                    </w:rPr>
                  </w:pPr>
                </w:p>
              </w:tc>
              <w:tc>
                <w:tcPr>
                  <w:tcW w:w="546" w:type="pct"/>
                  <w:noWrap w:val="0"/>
                  <w:vAlign w:val="center"/>
                </w:tcPr>
                <w:p w14:paraId="77A9BFC6">
                  <w:pPr>
                    <w:jc w:val="center"/>
                    <w:rPr>
                      <w:bCs/>
                      <w:color w:val="auto"/>
                      <w:szCs w:val="21"/>
                    </w:rPr>
                  </w:pPr>
                  <w:r>
                    <w:rPr>
                      <w:bCs/>
                      <w:color w:val="auto"/>
                      <w:szCs w:val="21"/>
                    </w:rPr>
                    <w:t>噪声</w:t>
                  </w:r>
                </w:p>
              </w:tc>
              <w:tc>
                <w:tcPr>
                  <w:tcW w:w="552" w:type="pct"/>
                  <w:noWrap w:val="0"/>
                  <w:vAlign w:val="center"/>
                </w:tcPr>
                <w:p w14:paraId="41CC391E">
                  <w:pPr>
                    <w:jc w:val="center"/>
                    <w:rPr>
                      <w:rFonts w:hint="eastAsia" w:eastAsia="宋体"/>
                      <w:bCs/>
                      <w:color w:val="auto"/>
                      <w:szCs w:val="21"/>
                      <w:lang w:eastAsia="zh-CN"/>
                    </w:rPr>
                  </w:pPr>
                  <w:r>
                    <w:rPr>
                      <w:rFonts w:hint="eastAsia"/>
                      <w:bCs/>
                      <w:color w:val="auto"/>
                      <w:szCs w:val="21"/>
                      <w:lang w:val="en-US" w:eastAsia="zh-CN"/>
                    </w:rPr>
                    <w:t>N</w:t>
                  </w:r>
                </w:p>
              </w:tc>
              <w:tc>
                <w:tcPr>
                  <w:tcW w:w="2168" w:type="pct"/>
                  <w:noWrap w:val="0"/>
                  <w:vAlign w:val="center"/>
                </w:tcPr>
                <w:p w14:paraId="4C2A4EFF">
                  <w:pPr>
                    <w:jc w:val="center"/>
                    <w:rPr>
                      <w:bCs/>
                      <w:color w:val="auto"/>
                      <w:szCs w:val="21"/>
                    </w:rPr>
                  </w:pPr>
                  <w:r>
                    <w:rPr>
                      <w:bCs/>
                      <w:color w:val="auto"/>
                      <w:szCs w:val="21"/>
                    </w:rPr>
                    <w:t>设备运行</w:t>
                  </w:r>
                </w:p>
              </w:tc>
              <w:tc>
                <w:tcPr>
                  <w:tcW w:w="1188" w:type="pct"/>
                  <w:noWrap w:val="0"/>
                  <w:vAlign w:val="center"/>
                </w:tcPr>
                <w:p w14:paraId="1D67E2F8">
                  <w:pPr>
                    <w:jc w:val="center"/>
                    <w:rPr>
                      <w:bCs/>
                      <w:color w:val="auto"/>
                      <w:szCs w:val="21"/>
                    </w:rPr>
                  </w:pPr>
                  <w:r>
                    <w:rPr>
                      <w:bCs/>
                      <w:color w:val="auto"/>
                      <w:szCs w:val="21"/>
                    </w:rPr>
                    <w:t xml:space="preserve">机械噪声 </w:t>
                  </w:r>
                </w:p>
              </w:tc>
            </w:tr>
            <w:tr w14:paraId="788E5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3EDD00B1">
                  <w:pPr>
                    <w:jc w:val="center"/>
                    <w:rPr>
                      <w:bCs/>
                      <w:color w:val="auto"/>
                      <w:szCs w:val="21"/>
                    </w:rPr>
                  </w:pPr>
                </w:p>
              </w:tc>
              <w:tc>
                <w:tcPr>
                  <w:tcW w:w="546" w:type="pct"/>
                  <w:vMerge w:val="restart"/>
                  <w:noWrap w:val="0"/>
                  <w:vAlign w:val="center"/>
                </w:tcPr>
                <w:p w14:paraId="038570EE">
                  <w:pPr>
                    <w:jc w:val="center"/>
                    <w:rPr>
                      <w:bCs/>
                      <w:color w:val="auto"/>
                      <w:szCs w:val="21"/>
                    </w:rPr>
                  </w:pPr>
                  <w:r>
                    <w:rPr>
                      <w:bCs/>
                      <w:color w:val="auto"/>
                      <w:szCs w:val="21"/>
                    </w:rPr>
                    <w:t>固废</w:t>
                  </w:r>
                </w:p>
              </w:tc>
              <w:tc>
                <w:tcPr>
                  <w:tcW w:w="552" w:type="pct"/>
                  <w:noWrap w:val="0"/>
                  <w:vAlign w:val="center"/>
                </w:tcPr>
                <w:p w14:paraId="6EBF46EC">
                  <w:pPr>
                    <w:jc w:val="center"/>
                    <w:rPr>
                      <w:rFonts w:hint="default" w:eastAsia="宋体"/>
                      <w:bCs/>
                      <w:color w:val="auto"/>
                      <w:szCs w:val="21"/>
                      <w:lang w:val="en-US" w:eastAsia="zh-CN"/>
                    </w:rPr>
                  </w:pPr>
                  <w:r>
                    <w:rPr>
                      <w:bCs/>
                      <w:color w:val="auto"/>
                      <w:szCs w:val="21"/>
                    </w:rPr>
                    <w:t>S1</w:t>
                  </w:r>
                  <w:r>
                    <w:rPr>
                      <w:rFonts w:hint="eastAsia"/>
                      <w:bCs/>
                      <w:color w:val="auto"/>
                      <w:szCs w:val="21"/>
                      <w:lang w:val="en-US" w:eastAsia="zh-CN"/>
                    </w:rPr>
                    <w:t>-1</w:t>
                  </w:r>
                </w:p>
              </w:tc>
              <w:tc>
                <w:tcPr>
                  <w:tcW w:w="2168" w:type="pct"/>
                  <w:noWrap w:val="0"/>
                  <w:vAlign w:val="center"/>
                </w:tcPr>
                <w:p w14:paraId="040D70A5">
                  <w:pPr>
                    <w:jc w:val="center"/>
                    <w:rPr>
                      <w:rFonts w:hint="eastAsia" w:eastAsia="宋体"/>
                      <w:bCs/>
                      <w:color w:val="auto"/>
                      <w:szCs w:val="21"/>
                      <w:lang w:eastAsia="zh-CN"/>
                    </w:rPr>
                  </w:pPr>
                  <w:r>
                    <w:rPr>
                      <w:rFonts w:hint="eastAsia"/>
                      <w:bCs/>
                      <w:color w:val="auto"/>
                      <w:szCs w:val="21"/>
                      <w:lang w:eastAsia="zh-CN"/>
                    </w:rPr>
                    <w:t>混料</w:t>
                  </w:r>
                </w:p>
              </w:tc>
              <w:tc>
                <w:tcPr>
                  <w:tcW w:w="1188" w:type="pct"/>
                  <w:noWrap w:val="0"/>
                  <w:vAlign w:val="center"/>
                </w:tcPr>
                <w:p w14:paraId="1E4FA318">
                  <w:pPr>
                    <w:jc w:val="center"/>
                    <w:rPr>
                      <w:rFonts w:hint="default" w:eastAsia="宋体"/>
                      <w:bCs/>
                      <w:color w:val="auto"/>
                      <w:szCs w:val="21"/>
                      <w:lang w:val="en-US" w:eastAsia="zh-CN"/>
                    </w:rPr>
                  </w:pPr>
                  <w:r>
                    <w:rPr>
                      <w:rFonts w:hint="eastAsia"/>
                      <w:bCs/>
                      <w:color w:val="auto"/>
                      <w:szCs w:val="21"/>
                      <w:lang w:val="en-US" w:eastAsia="zh-CN"/>
                    </w:rPr>
                    <w:t>废包装袋</w:t>
                  </w:r>
                </w:p>
              </w:tc>
            </w:tr>
            <w:tr w14:paraId="7ED2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1EF89043">
                  <w:pPr>
                    <w:jc w:val="center"/>
                    <w:rPr>
                      <w:bCs/>
                      <w:color w:val="auto"/>
                      <w:szCs w:val="21"/>
                    </w:rPr>
                  </w:pPr>
                </w:p>
              </w:tc>
              <w:tc>
                <w:tcPr>
                  <w:tcW w:w="546" w:type="pct"/>
                  <w:vMerge w:val="continue"/>
                  <w:noWrap w:val="0"/>
                  <w:vAlign w:val="center"/>
                </w:tcPr>
                <w:p w14:paraId="7F4E0B50">
                  <w:pPr>
                    <w:jc w:val="center"/>
                    <w:rPr>
                      <w:bCs/>
                      <w:color w:val="auto"/>
                      <w:szCs w:val="21"/>
                    </w:rPr>
                  </w:pPr>
                </w:p>
              </w:tc>
              <w:tc>
                <w:tcPr>
                  <w:tcW w:w="552" w:type="pct"/>
                  <w:noWrap w:val="0"/>
                  <w:vAlign w:val="center"/>
                </w:tcPr>
                <w:p w14:paraId="1927E115">
                  <w:pPr>
                    <w:jc w:val="center"/>
                    <w:rPr>
                      <w:rFonts w:hint="default" w:eastAsia="宋体"/>
                      <w:bCs/>
                      <w:color w:val="auto"/>
                      <w:szCs w:val="21"/>
                      <w:lang w:val="en-US" w:eastAsia="zh-CN"/>
                    </w:rPr>
                  </w:pPr>
                  <w:r>
                    <w:rPr>
                      <w:bCs/>
                      <w:color w:val="auto"/>
                      <w:szCs w:val="21"/>
                    </w:rPr>
                    <w:t>S1</w:t>
                  </w:r>
                  <w:r>
                    <w:rPr>
                      <w:rFonts w:hint="eastAsia"/>
                      <w:bCs/>
                      <w:color w:val="auto"/>
                      <w:szCs w:val="21"/>
                      <w:lang w:val="en-US" w:eastAsia="zh-CN"/>
                    </w:rPr>
                    <w:t>-2</w:t>
                  </w:r>
                </w:p>
              </w:tc>
              <w:tc>
                <w:tcPr>
                  <w:tcW w:w="2168" w:type="pct"/>
                  <w:noWrap w:val="0"/>
                  <w:vAlign w:val="center"/>
                </w:tcPr>
                <w:p w14:paraId="68778B99">
                  <w:pPr>
                    <w:jc w:val="center"/>
                    <w:rPr>
                      <w:rFonts w:hint="eastAsia" w:eastAsia="宋体"/>
                      <w:bCs/>
                      <w:color w:val="auto"/>
                      <w:szCs w:val="21"/>
                      <w:lang w:eastAsia="zh-CN"/>
                    </w:rPr>
                  </w:pPr>
                  <w:r>
                    <w:rPr>
                      <w:rFonts w:hint="eastAsia"/>
                      <w:bCs/>
                      <w:color w:val="auto"/>
                      <w:szCs w:val="21"/>
                      <w:lang w:eastAsia="zh-CN"/>
                    </w:rPr>
                    <w:t>牵引切割</w:t>
                  </w:r>
                </w:p>
              </w:tc>
              <w:tc>
                <w:tcPr>
                  <w:tcW w:w="1188" w:type="pct"/>
                  <w:noWrap w:val="0"/>
                  <w:vAlign w:val="center"/>
                </w:tcPr>
                <w:p w14:paraId="0BB9A3D8">
                  <w:pPr>
                    <w:jc w:val="center"/>
                    <w:rPr>
                      <w:bCs/>
                      <w:color w:val="auto"/>
                      <w:szCs w:val="21"/>
                    </w:rPr>
                  </w:pPr>
                  <w:r>
                    <w:rPr>
                      <w:rFonts w:hint="eastAsia"/>
                      <w:bCs/>
                      <w:color w:val="auto"/>
                      <w:szCs w:val="21"/>
                      <w:lang w:eastAsia="zh-CN"/>
                    </w:rPr>
                    <w:t>边角料</w:t>
                  </w:r>
                </w:p>
              </w:tc>
            </w:tr>
            <w:tr w14:paraId="7188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44A874CD">
                  <w:pPr>
                    <w:jc w:val="center"/>
                    <w:rPr>
                      <w:bCs/>
                      <w:color w:val="auto"/>
                      <w:szCs w:val="21"/>
                    </w:rPr>
                  </w:pPr>
                </w:p>
              </w:tc>
              <w:tc>
                <w:tcPr>
                  <w:tcW w:w="546" w:type="pct"/>
                  <w:vMerge w:val="continue"/>
                  <w:noWrap w:val="0"/>
                  <w:vAlign w:val="center"/>
                </w:tcPr>
                <w:p w14:paraId="0AC036C5">
                  <w:pPr>
                    <w:jc w:val="center"/>
                    <w:rPr>
                      <w:bCs/>
                      <w:color w:val="auto"/>
                      <w:szCs w:val="21"/>
                    </w:rPr>
                  </w:pPr>
                </w:p>
              </w:tc>
              <w:tc>
                <w:tcPr>
                  <w:tcW w:w="552" w:type="pct"/>
                  <w:noWrap w:val="0"/>
                  <w:vAlign w:val="center"/>
                </w:tcPr>
                <w:p w14:paraId="4CE866D0">
                  <w:pPr>
                    <w:jc w:val="center"/>
                    <w:rPr>
                      <w:rFonts w:hint="default" w:eastAsia="宋体"/>
                      <w:bCs/>
                      <w:color w:val="auto"/>
                      <w:szCs w:val="21"/>
                      <w:lang w:val="en-US" w:eastAsia="zh-CN"/>
                    </w:rPr>
                  </w:pPr>
                  <w:r>
                    <w:rPr>
                      <w:bCs/>
                      <w:color w:val="auto"/>
                      <w:szCs w:val="21"/>
                    </w:rPr>
                    <w:t>S1</w:t>
                  </w:r>
                  <w:r>
                    <w:rPr>
                      <w:rFonts w:hint="eastAsia"/>
                      <w:bCs/>
                      <w:color w:val="auto"/>
                      <w:szCs w:val="21"/>
                      <w:lang w:val="en-US" w:eastAsia="zh-CN"/>
                    </w:rPr>
                    <w:t>-3</w:t>
                  </w:r>
                </w:p>
              </w:tc>
              <w:tc>
                <w:tcPr>
                  <w:tcW w:w="2168" w:type="pct"/>
                  <w:noWrap w:val="0"/>
                  <w:vAlign w:val="center"/>
                </w:tcPr>
                <w:p w14:paraId="3071DBCF">
                  <w:pPr>
                    <w:jc w:val="center"/>
                    <w:rPr>
                      <w:rFonts w:hint="eastAsia" w:eastAsia="宋体"/>
                      <w:bCs/>
                      <w:color w:val="auto"/>
                      <w:szCs w:val="21"/>
                      <w:lang w:eastAsia="zh-CN"/>
                    </w:rPr>
                  </w:pPr>
                  <w:r>
                    <w:rPr>
                      <w:rFonts w:hint="eastAsia"/>
                      <w:bCs/>
                      <w:color w:val="auto"/>
                      <w:szCs w:val="21"/>
                      <w:lang w:eastAsia="zh-CN"/>
                    </w:rPr>
                    <w:t>砂光打磨</w:t>
                  </w:r>
                </w:p>
              </w:tc>
              <w:tc>
                <w:tcPr>
                  <w:tcW w:w="1188" w:type="pct"/>
                  <w:noWrap w:val="0"/>
                  <w:vAlign w:val="center"/>
                </w:tcPr>
                <w:p w14:paraId="4F1624A8">
                  <w:pPr>
                    <w:jc w:val="center"/>
                    <w:rPr>
                      <w:bCs/>
                      <w:color w:val="auto"/>
                      <w:szCs w:val="21"/>
                    </w:rPr>
                  </w:pPr>
                  <w:r>
                    <w:rPr>
                      <w:rFonts w:hint="eastAsia"/>
                      <w:bCs/>
                      <w:color w:val="auto"/>
                      <w:szCs w:val="21"/>
                      <w:lang w:eastAsia="zh-CN"/>
                    </w:rPr>
                    <w:t>碎屑</w:t>
                  </w:r>
                </w:p>
              </w:tc>
            </w:tr>
            <w:tr w14:paraId="48CE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62BCF32A">
                  <w:pPr>
                    <w:jc w:val="center"/>
                    <w:rPr>
                      <w:bCs/>
                      <w:color w:val="auto"/>
                      <w:szCs w:val="21"/>
                    </w:rPr>
                  </w:pPr>
                </w:p>
              </w:tc>
              <w:tc>
                <w:tcPr>
                  <w:tcW w:w="546" w:type="pct"/>
                  <w:vMerge w:val="continue"/>
                  <w:noWrap w:val="0"/>
                  <w:vAlign w:val="center"/>
                </w:tcPr>
                <w:p w14:paraId="2D64FADE">
                  <w:pPr>
                    <w:jc w:val="center"/>
                    <w:rPr>
                      <w:bCs/>
                      <w:color w:val="auto"/>
                      <w:szCs w:val="21"/>
                    </w:rPr>
                  </w:pPr>
                </w:p>
              </w:tc>
              <w:tc>
                <w:tcPr>
                  <w:tcW w:w="552" w:type="pct"/>
                  <w:noWrap w:val="0"/>
                  <w:vAlign w:val="center"/>
                </w:tcPr>
                <w:p w14:paraId="1A64CF90">
                  <w:pPr>
                    <w:jc w:val="center"/>
                    <w:rPr>
                      <w:rFonts w:hint="default" w:eastAsia="宋体"/>
                      <w:bCs/>
                      <w:color w:val="auto"/>
                      <w:szCs w:val="21"/>
                      <w:lang w:val="en-US" w:eastAsia="zh-CN"/>
                    </w:rPr>
                  </w:pPr>
                  <w:r>
                    <w:rPr>
                      <w:bCs/>
                      <w:color w:val="auto"/>
                      <w:szCs w:val="21"/>
                    </w:rPr>
                    <w:t>S1</w:t>
                  </w:r>
                  <w:r>
                    <w:rPr>
                      <w:rFonts w:hint="eastAsia"/>
                      <w:bCs/>
                      <w:color w:val="auto"/>
                      <w:szCs w:val="21"/>
                      <w:lang w:val="en-US" w:eastAsia="zh-CN"/>
                    </w:rPr>
                    <w:t>-4</w:t>
                  </w:r>
                </w:p>
              </w:tc>
              <w:tc>
                <w:tcPr>
                  <w:tcW w:w="2168" w:type="pct"/>
                  <w:noWrap w:val="0"/>
                  <w:vAlign w:val="center"/>
                </w:tcPr>
                <w:p w14:paraId="4DC27D2A">
                  <w:pPr>
                    <w:jc w:val="center"/>
                    <w:rPr>
                      <w:rFonts w:hint="eastAsia" w:eastAsia="宋体"/>
                      <w:bCs/>
                      <w:color w:val="auto"/>
                      <w:szCs w:val="21"/>
                      <w:lang w:eastAsia="zh-CN"/>
                    </w:rPr>
                  </w:pPr>
                  <w:r>
                    <w:rPr>
                      <w:rFonts w:hint="eastAsia"/>
                      <w:bCs/>
                      <w:color w:val="auto"/>
                      <w:szCs w:val="21"/>
                      <w:lang w:eastAsia="zh-CN"/>
                    </w:rPr>
                    <w:t>精确切割</w:t>
                  </w:r>
                </w:p>
              </w:tc>
              <w:tc>
                <w:tcPr>
                  <w:tcW w:w="1188" w:type="pct"/>
                  <w:noWrap w:val="0"/>
                  <w:vAlign w:val="center"/>
                </w:tcPr>
                <w:p w14:paraId="12EE33B7">
                  <w:pPr>
                    <w:jc w:val="center"/>
                    <w:rPr>
                      <w:bCs/>
                      <w:color w:val="auto"/>
                      <w:szCs w:val="21"/>
                    </w:rPr>
                  </w:pPr>
                  <w:r>
                    <w:rPr>
                      <w:rFonts w:hint="eastAsia"/>
                      <w:bCs/>
                      <w:color w:val="auto"/>
                      <w:szCs w:val="21"/>
                      <w:lang w:eastAsia="zh-CN"/>
                    </w:rPr>
                    <w:t>边角料</w:t>
                  </w:r>
                </w:p>
              </w:tc>
            </w:tr>
            <w:tr w14:paraId="0817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40705E52">
                  <w:pPr>
                    <w:jc w:val="center"/>
                    <w:rPr>
                      <w:bCs/>
                      <w:color w:val="auto"/>
                      <w:szCs w:val="21"/>
                    </w:rPr>
                  </w:pPr>
                </w:p>
              </w:tc>
              <w:tc>
                <w:tcPr>
                  <w:tcW w:w="546" w:type="pct"/>
                  <w:vMerge w:val="continue"/>
                  <w:noWrap w:val="0"/>
                  <w:vAlign w:val="center"/>
                </w:tcPr>
                <w:p w14:paraId="71DB0668">
                  <w:pPr>
                    <w:jc w:val="center"/>
                    <w:rPr>
                      <w:bCs/>
                      <w:color w:val="auto"/>
                      <w:szCs w:val="21"/>
                    </w:rPr>
                  </w:pPr>
                </w:p>
              </w:tc>
              <w:tc>
                <w:tcPr>
                  <w:tcW w:w="552" w:type="pct"/>
                  <w:noWrap w:val="0"/>
                  <w:vAlign w:val="center"/>
                </w:tcPr>
                <w:p w14:paraId="58E7781D">
                  <w:pPr>
                    <w:jc w:val="center"/>
                    <w:rPr>
                      <w:rFonts w:hint="default"/>
                      <w:bCs/>
                      <w:color w:val="auto"/>
                      <w:szCs w:val="21"/>
                      <w:lang w:val="en-US"/>
                    </w:rPr>
                  </w:pPr>
                  <w:r>
                    <w:rPr>
                      <w:bCs/>
                      <w:color w:val="auto"/>
                      <w:szCs w:val="21"/>
                    </w:rPr>
                    <w:t>S</w:t>
                  </w:r>
                  <w:r>
                    <w:rPr>
                      <w:rFonts w:hint="eastAsia"/>
                      <w:bCs/>
                      <w:color w:val="auto"/>
                      <w:szCs w:val="21"/>
                      <w:lang w:val="en-US" w:eastAsia="zh-CN"/>
                    </w:rPr>
                    <w:t>23</w:t>
                  </w:r>
                </w:p>
              </w:tc>
              <w:tc>
                <w:tcPr>
                  <w:tcW w:w="2168" w:type="pct"/>
                  <w:noWrap w:val="0"/>
                  <w:vAlign w:val="center"/>
                </w:tcPr>
                <w:p w14:paraId="6E24A33F">
                  <w:pPr>
                    <w:jc w:val="center"/>
                    <w:rPr>
                      <w:bCs/>
                      <w:color w:val="auto"/>
                      <w:szCs w:val="21"/>
                    </w:rPr>
                  </w:pPr>
                  <w:r>
                    <w:rPr>
                      <w:bCs/>
                      <w:color w:val="auto"/>
                      <w:szCs w:val="21"/>
                    </w:rPr>
                    <w:t>职工生活</w:t>
                  </w:r>
                </w:p>
              </w:tc>
              <w:tc>
                <w:tcPr>
                  <w:tcW w:w="1188" w:type="pct"/>
                  <w:noWrap w:val="0"/>
                  <w:vAlign w:val="center"/>
                </w:tcPr>
                <w:p w14:paraId="654E8D2C">
                  <w:pPr>
                    <w:jc w:val="center"/>
                    <w:rPr>
                      <w:bCs/>
                      <w:color w:val="auto"/>
                      <w:szCs w:val="21"/>
                    </w:rPr>
                  </w:pPr>
                  <w:r>
                    <w:rPr>
                      <w:bCs/>
                      <w:color w:val="auto"/>
                      <w:szCs w:val="21"/>
                    </w:rPr>
                    <w:t>生活垃圾</w:t>
                  </w:r>
                </w:p>
              </w:tc>
            </w:tr>
            <w:tr w14:paraId="650FB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2E964542">
                  <w:pPr>
                    <w:jc w:val="center"/>
                    <w:rPr>
                      <w:bCs/>
                      <w:color w:val="auto"/>
                      <w:szCs w:val="21"/>
                    </w:rPr>
                  </w:pPr>
                </w:p>
              </w:tc>
              <w:tc>
                <w:tcPr>
                  <w:tcW w:w="546" w:type="pct"/>
                  <w:noWrap w:val="0"/>
                  <w:vAlign w:val="center"/>
                </w:tcPr>
                <w:p w14:paraId="261B5012">
                  <w:pPr>
                    <w:jc w:val="center"/>
                    <w:rPr>
                      <w:bCs/>
                      <w:color w:val="auto"/>
                      <w:szCs w:val="21"/>
                    </w:rPr>
                  </w:pPr>
                  <w:r>
                    <w:rPr>
                      <w:bCs/>
                      <w:color w:val="auto"/>
                      <w:szCs w:val="21"/>
                    </w:rPr>
                    <w:t>噪声</w:t>
                  </w:r>
                </w:p>
              </w:tc>
              <w:tc>
                <w:tcPr>
                  <w:tcW w:w="552" w:type="pct"/>
                  <w:noWrap w:val="0"/>
                  <w:vAlign w:val="center"/>
                </w:tcPr>
                <w:p w14:paraId="0F0F0912">
                  <w:pPr>
                    <w:jc w:val="center"/>
                    <w:rPr>
                      <w:bCs/>
                      <w:color w:val="auto"/>
                      <w:szCs w:val="21"/>
                    </w:rPr>
                  </w:pPr>
                  <w:r>
                    <w:rPr>
                      <w:rFonts w:hint="eastAsia"/>
                      <w:bCs/>
                      <w:color w:val="auto"/>
                      <w:szCs w:val="21"/>
                      <w:lang w:val="en-US" w:eastAsia="zh-CN"/>
                    </w:rPr>
                    <w:t>N</w:t>
                  </w:r>
                </w:p>
              </w:tc>
              <w:tc>
                <w:tcPr>
                  <w:tcW w:w="2168" w:type="pct"/>
                  <w:noWrap w:val="0"/>
                  <w:vAlign w:val="center"/>
                </w:tcPr>
                <w:p w14:paraId="1BBE1239">
                  <w:pPr>
                    <w:jc w:val="center"/>
                    <w:rPr>
                      <w:bCs/>
                      <w:color w:val="auto"/>
                      <w:szCs w:val="21"/>
                    </w:rPr>
                  </w:pPr>
                  <w:r>
                    <w:rPr>
                      <w:bCs/>
                      <w:color w:val="auto"/>
                      <w:szCs w:val="21"/>
                    </w:rPr>
                    <w:t>设备运行</w:t>
                  </w:r>
                </w:p>
              </w:tc>
              <w:tc>
                <w:tcPr>
                  <w:tcW w:w="1188" w:type="pct"/>
                  <w:noWrap w:val="0"/>
                  <w:vAlign w:val="center"/>
                </w:tcPr>
                <w:p w14:paraId="4FC49326">
                  <w:pPr>
                    <w:jc w:val="center"/>
                    <w:rPr>
                      <w:bCs/>
                      <w:color w:val="auto"/>
                      <w:szCs w:val="21"/>
                    </w:rPr>
                  </w:pPr>
                  <w:r>
                    <w:rPr>
                      <w:bCs/>
                      <w:color w:val="auto"/>
                      <w:szCs w:val="21"/>
                    </w:rPr>
                    <w:t xml:space="preserve">机械噪声 </w:t>
                  </w:r>
                </w:p>
              </w:tc>
            </w:tr>
            <w:tr w14:paraId="1B47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restart"/>
                  <w:noWrap w:val="0"/>
                  <w:vAlign w:val="center"/>
                </w:tcPr>
                <w:p w14:paraId="1C8A642C">
                  <w:pPr>
                    <w:jc w:val="center"/>
                    <w:rPr>
                      <w:rFonts w:hint="default" w:eastAsia="宋体"/>
                      <w:bCs/>
                      <w:color w:val="auto"/>
                      <w:szCs w:val="21"/>
                      <w:lang w:val="en-US" w:eastAsia="zh-CN"/>
                    </w:rPr>
                  </w:pPr>
                  <w:r>
                    <w:rPr>
                      <w:rFonts w:hint="eastAsia"/>
                      <w:bCs/>
                      <w:color w:val="auto"/>
                      <w:szCs w:val="21"/>
                      <w:lang w:val="en-US" w:eastAsia="zh-CN"/>
                    </w:rPr>
                    <w:t>PE板材</w:t>
                  </w:r>
                </w:p>
              </w:tc>
              <w:tc>
                <w:tcPr>
                  <w:tcW w:w="546" w:type="pct"/>
                  <w:vMerge w:val="restart"/>
                  <w:noWrap w:val="0"/>
                  <w:vAlign w:val="center"/>
                </w:tcPr>
                <w:p w14:paraId="5ACE1496">
                  <w:pPr>
                    <w:jc w:val="center"/>
                    <w:rPr>
                      <w:bCs/>
                      <w:color w:val="auto"/>
                      <w:szCs w:val="21"/>
                    </w:rPr>
                  </w:pPr>
                  <w:r>
                    <w:rPr>
                      <w:bCs/>
                      <w:color w:val="auto"/>
                      <w:szCs w:val="21"/>
                    </w:rPr>
                    <w:t>废气</w:t>
                  </w:r>
                </w:p>
              </w:tc>
              <w:tc>
                <w:tcPr>
                  <w:tcW w:w="552" w:type="pct"/>
                  <w:noWrap w:val="0"/>
                  <w:vAlign w:val="center"/>
                </w:tcPr>
                <w:p w14:paraId="49E10230">
                  <w:pPr>
                    <w:jc w:val="center"/>
                    <w:rPr>
                      <w:rFonts w:hint="default"/>
                      <w:bCs/>
                      <w:color w:val="auto"/>
                      <w:szCs w:val="21"/>
                      <w:lang w:val="en-US" w:eastAsia="zh-CN"/>
                    </w:rPr>
                  </w:pPr>
                  <w:r>
                    <w:rPr>
                      <w:rFonts w:hint="eastAsia"/>
                      <w:bCs/>
                      <w:color w:val="auto"/>
                      <w:szCs w:val="21"/>
                      <w:lang w:val="en-US" w:eastAsia="zh-CN"/>
                    </w:rPr>
                    <w:t>G2-1</w:t>
                  </w:r>
                </w:p>
              </w:tc>
              <w:tc>
                <w:tcPr>
                  <w:tcW w:w="2168" w:type="pct"/>
                  <w:noWrap w:val="0"/>
                  <w:vAlign w:val="center"/>
                </w:tcPr>
                <w:p w14:paraId="61736365">
                  <w:pPr>
                    <w:jc w:val="center"/>
                    <w:rPr>
                      <w:rFonts w:hint="eastAsia" w:eastAsia="宋体"/>
                      <w:bCs/>
                      <w:color w:val="auto"/>
                      <w:szCs w:val="21"/>
                      <w:lang w:eastAsia="zh-CN"/>
                    </w:rPr>
                  </w:pPr>
                  <w:r>
                    <w:rPr>
                      <w:rFonts w:hint="eastAsia"/>
                      <w:bCs/>
                      <w:color w:val="auto"/>
                      <w:szCs w:val="21"/>
                      <w:lang w:eastAsia="zh-CN"/>
                    </w:rPr>
                    <w:t>混料</w:t>
                  </w:r>
                </w:p>
              </w:tc>
              <w:tc>
                <w:tcPr>
                  <w:tcW w:w="1188" w:type="pct"/>
                  <w:noWrap w:val="0"/>
                  <w:vAlign w:val="center"/>
                </w:tcPr>
                <w:p w14:paraId="3C757A83">
                  <w:pPr>
                    <w:jc w:val="center"/>
                    <w:rPr>
                      <w:rFonts w:hint="eastAsia" w:eastAsia="宋体"/>
                      <w:bCs/>
                      <w:color w:val="auto"/>
                      <w:szCs w:val="21"/>
                      <w:lang w:eastAsia="zh-CN"/>
                    </w:rPr>
                  </w:pPr>
                  <w:r>
                    <w:rPr>
                      <w:rFonts w:hint="eastAsia"/>
                      <w:bCs/>
                      <w:color w:val="auto"/>
                      <w:szCs w:val="21"/>
                      <w:lang w:eastAsia="zh-CN"/>
                    </w:rPr>
                    <w:t>颗粒物</w:t>
                  </w:r>
                </w:p>
              </w:tc>
            </w:tr>
            <w:tr w14:paraId="10D1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21CB4D2F">
                  <w:pPr>
                    <w:jc w:val="center"/>
                    <w:rPr>
                      <w:bCs/>
                      <w:color w:val="auto"/>
                      <w:szCs w:val="21"/>
                    </w:rPr>
                  </w:pPr>
                </w:p>
              </w:tc>
              <w:tc>
                <w:tcPr>
                  <w:tcW w:w="546" w:type="pct"/>
                  <w:vMerge w:val="continue"/>
                  <w:noWrap w:val="0"/>
                  <w:vAlign w:val="center"/>
                </w:tcPr>
                <w:p w14:paraId="7A6E0CA9">
                  <w:pPr>
                    <w:jc w:val="center"/>
                    <w:rPr>
                      <w:bCs/>
                      <w:color w:val="auto"/>
                      <w:szCs w:val="21"/>
                    </w:rPr>
                  </w:pPr>
                </w:p>
              </w:tc>
              <w:tc>
                <w:tcPr>
                  <w:tcW w:w="552" w:type="pct"/>
                  <w:noWrap w:val="0"/>
                  <w:vAlign w:val="center"/>
                </w:tcPr>
                <w:p w14:paraId="717F5653">
                  <w:pPr>
                    <w:jc w:val="center"/>
                    <w:rPr>
                      <w:rFonts w:hint="default"/>
                      <w:bCs/>
                      <w:color w:val="auto"/>
                      <w:szCs w:val="21"/>
                      <w:lang w:val="en-US" w:eastAsia="zh-CN"/>
                    </w:rPr>
                  </w:pPr>
                  <w:r>
                    <w:rPr>
                      <w:rFonts w:hint="eastAsia"/>
                      <w:bCs/>
                      <w:color w:val="auto"/>
                      <w:szCs w:val="21"/>
                      <w:lang w:val="en-US" w:eastAsia="zh-CN"/>
                    </w:rPr>
                    <w:t>G2-2</w:t>
                  </w:r>
                </w:p>
              </w:tc>
              <w:tc>
                <w:tcPr>
                  <w:tcW w:w="2168" w:type="pct"/>
                  <w:noWrap w:val="0"/>
                  <w:vAlign w:val="center"/>
                </w:tcPr>
                <w:p w14:paraId="3AF549BD">
                  <w:pPr>
                    <w:jc w:val="center"/>
                    <w:rPr>
                      <w:rFonts w:hint="eastAsia" w:eastAsia="宋体"/>
                      <w:bCs/>
                      <w:color w:val="auto"/>
                      <w:szCs w:val="21"/>
                      <w:lang w:eastAsia="zh-CN"/>
                    </w:rPr>
                  </w:pPr>
                  <w:r>
                    <w:rPr>
                      <w:rFonts w:hint="eastAsia"/>
                      <w:bCs/>
                      <w:color w:val="auto"/>
                      <w:szCs w:val="21"/>
                      <w:lang w:eastAsia="zh-CN"/>
                    </w:rPr>
                    <w:t>熔融挤出</w:t>
                  </w:r>
                </w:p>
              </w:tc>
              <w:tc>
                <w:tcPr>
                  <w:tcW w:w="1188" w:type="pct"/>
                  <w:noWrap w:val="0"/>
                  <w:vAlign w:val="center"/>
                </w:tcPr>
                <w:p w14:paraId="01CCE2F3">
                  <w:pPr>
                    <w:jc w:val="center"/>
                    <w:rPr>
                      <w:rFonts w:hint="eastAsia" w:eastAsia="宋体"/>
                      <w:bCs/>
                      <w:color w:val="auto"/>
                      <w:szCs w:val="21"/>
                      <w:lang w:eastAsia="zh-CN"/>
                    </w:rPr>
                  </w:pPr>
                  <w:r>
                    <w:rPr>
                      <w:rFonts w:hint="eastAsia"/>
                      <w:bCs/>
                      <w:color w:val="auto"/>
                      <w:szCs w:val="21"/>
                      <w:lang w:eastAsia="zh-CN"/>
                    </w:rPr>
                    <w:t>非甲烷总烃</w:t>
                  </w:r>
                </w:p>
              </w:tc>
            </w:tr>
            <w:tr w14:paraId="56634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47C56AB0">
                  <w:pPr>
                    <w:jc w:val="center"/>
                    <w:rPr>
                      <w:bCs/>
                      <w:color w:val="auto"/>
                      <w:szCs w:val="21"/>
                    </w:rPr>
                  </w:pPr>
                </w:p>
              </w:tc>
              <w:tc>
                <w:tcPr>
                  <w:tcW w:w="546" w:type="pct"/>
                  <w:vMerge w:val="continue"/>
                  <w:noWrap w:val="0"/>
                  <w:vAlign w:val="center"/>
                </w:tcPr>
                <w:p w14:paraId="63705EC5">
                  <w:pPr>
                    <w:jc w:val="center"/>
                    <w:rPr>
                      <w:bCs/>
                      <w:color w:val="auto"/>
                      <w:szCs w:val="21"/>
                    </w:rPr>
                  </w:pPr>
                </w:p>
              </w:tc>
              <w:tc>
                <w:tcPr>
                  <w:tcW w:w="552" w:type="pct"/>
                  <w:noWrap w:val="0"/>
                  <w:vAlign w:val="center"/>
                </w:tcPr>
                <w:p w14:paraId="7689E6AB">
                  <w:pPr>
                    <w:jc w:val="center"/>
                    <w:rPr>
                      <w:rFonts w:hint="default"/>
                      <w:bCs/>
                      <w:color w:val="auto"/>
                      <w:szCs w:val="21"/>
                      <w:lang w:val="en-US" w:eastAsia="zh-CN"/>
                    </w:rPr>
                  </w:pPr>
                  <w:r>
                    <w:rPr>
                      <w:rFonts w:hint="eastAsia"/>
                      <w:bCs/>
                      <w:color w:val="auto"/>
                      <w:szCs w:val="21"/>
                      <w:lang w:val="en-US" w:eastAsia="zh-CN"/>
                    </w:rPr>
                    <w:t>G2-3</w:t>
                  </w:r>
                </w:p>
              </w:tc>
              <w:tc>
                <w:tcPr>
                  <w:tcW w:w="2168" w:type="pct"/>
                  <w:noWrap w:val="0"/>
                  <w:vAlign w:val="center"/>
                </w:tcPr>
                <w:p w14:paraId="50B38A69">
                  <w:pPr>
                    <w:jc w:val="center"/>
                    <w:rPr>
                      <w:bCs/>
                      <w:color w:val="auto"/>
                      <w:szCs w:val="21"/>
                    </w:rPr>
                  </w:pPr>
                  <w:r>
                    <w:rPr>
                      <w:rFonts w:hint="eastAsia"/>
                      <w:bCs/>
                      <w:color w:val="auto"/>
                      <w:szCs w:val="21"/>
                      <w:lang w:eastAsia="zh-CN"/>
                    </w:rPr>
                    <w:t>牵引切割</w:t>
                  </w:r>
                </w:p>
              </w:tc>
              <w:tc>
                <w:tcPr>
                  <w:tcW w:w="1188" w:type="pct"/>
                  <w:noWrap w:val="0"/>
                  <w:vAlign w:val="center"/>
                </w:tcPr>
                <w:p w14:paraId="5479ED10">
                  <w:pPr>
                    <w:jc w:val="center"/>
                    <w:rPr>
                      <w:bCs/>
                      <w:color w:val="auto"/>
                      <w:szCs w:val="21"/>
                    </w:rPr>
                  </w:pPr>
                  <w:r>
                    <w:rPr>
                      <w:rFonts w:hint="eastAsia"/>
                      <w:bCs/>
                      <w:color w:val="auto"/>
                      <w:szCs w:val="21"/>
                      <w:lang w:eastAsia="zh-CN"/>
                    </w:rPr>
                    <w:t>颗粒物</w:t>
                  </w:r>
                </w:p>
              </w:tc>
            </w:tr>
            <w:tr w14:paraId="2D866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413E2C4B">
                  <w:pPr>
                    <w:jc w:val="center"/>
                    <w:rPr>
                      <w:bCs/>
                      <w:color w:val="auto"/>
                      <w:szCs w:val="21"/>
                    </w:rPr>
                  </w:pPr>
                </w:p>
              </w:tc>
              <w:tc>
                <w:tcPr>
                  <w:tcW w:w="546" w:type="pct"/>
                  <w:vMerge w:val="continue"/>
                  <w:noWrap w:val="0"/>
                  <w:vAlign w:val="center"/>
                </w:tcPr>
                <w:p w14:paraId="05BA0E5E">
                  <w:pPr>
                    <w:jc w:val="center"/>
                    <w:rPr>
                      <w:bCs/>
                      <w:color w:val="auto"/>
                      <w:szCs w:val="21"/>
                    </w:rPr>
                  </w:pPr>
                </w:p>
              </w:tc>
              <w:tc>
                <w:tcPr>
                  <w:tcW w:w="552" w:type="pct"/>
                  <w:noWrap w:val="0"/>
                  <w:vAlign w:val="center"/>
                </w:tcPr>
                <w:p w14:paraId="714C1490">
                  <w:pPr>
                    <w:jc w:val="center"/>
                    <w:rPr>
                      <w:rFonts w:hint="default"/>
                      <w:bCs/>
                      <w:color w:val="auto"/>
                      <w:szCs w:val="21"/>
                      <w:lang w:val="en-US" w:eastAsia="zh-CN"/>
                    </w:rPr>
                  </w:pPr>
                  <w:r>
                    <w:rPr>
                      <w:rFonts w:hint="eastAsia"/>
                      <w:bCs/>
                      <w:color w:val="auto"/>
                      <w:szCs w:val="21"/>
                      <w:lang w:val="en-US" w:eastAsia="zh-CN"/>
                    </w:rPr>
                    <w:t>G2-4</w:t>
                  </w:r>
                </w:p>
              </w:tc>
              <w:tc>
                <w:tcPr>
                  <w:tcW w:w="2168" w:type="pct"/>
                  <w:noWrap w:val="0"/>
                  <w:vAlign w:val="center"/>
                </w:tcPr>
                <w:p w14:paraId="45E90BE9">
                  <w:pPr>
                    <w:jc w:val="center"/>
                    <w:rPr>
                      <w:bCs/>
                      <w:color w:val="auto"/>
                      <w:szCs w:val="21"/>
                    </w:rPr>
                  </w:pPr>
                  <w:r>
                    <w:rPr>
                      <w:rFonts w:hint="eastAsia"/>
                      <w:bCs/>
                      <w:color w:val="auto"/>
                      <w:szCs w:val="21"/>
                      <w:lang w:eastAsia="zh-CN"/>
                    </w:rPr>
                    <w:t>精确切割</w:t>
                  </w:r>
                </w:p>
              </w:tc>
              <w:tc>
                <w:tcPr>
                  <w:tcW w:w="1188" w:type="pct"/>
                  <w:noWrap w:val="0"/>
                  <w:vAlign w:val="center"/>
                </w:tcPr>
                <w:p w14:paraId="2DE0A5ED">
                  <w:pPr>
                    <w:jc w:val="center"/>
                    <w:rPr>
                      <w:bCs/>
                      <w:color w:val="auto"/>
                      <w:szCs w:val="21"/>
                    </w:rPr>
                  </w:pPr>
                  <w:r>
                    <w:rPr>
                      <w:rFonts w:hint="eastAsia"/>
                      <w:bCs/>
                      <w:color w:val="auto"/>
                      <w:szCs w:val="21"/>
                      <w:lang w:eastAsia="zh-CN"/>
                    </w:rPr>
                    <w:t>颗粒物</w:t>
                  </w:r>
                </w:p>
              </w:tc>
            </w:tr>
            <w:tr w14:paraId="0A1A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2B1DC3B5">
                  <w:pPr>
                    <w:jc w:val="center"/>
                    <w:rPr>
                      <w:bCs/>
                      <w:color w:val="auto"/>
                      <w:szCs w:val="21"/>
                    </w:rPr>
                  </w:pPr>
                </w:p>
              </w:tc>
              <w:tc>
                <w:tcPr>
                  <w:tcW w:w="546" w:type="pct"/>
                  <w:noWrap w:val="0"/>
                  <w:vAlign w:val="center"/>
                </w:tcPr>
                <w:p w14:paraId="5E41A690">
                  <w:pPr>
                    <w:jc w:val="center"/>
                    <w:rPr>
                      <w:rFonts w:hint="eastAsia" w:eastAsia="宋体"/>
                      <w:bCs/>
                      <w:color w:val="auto"/>
                      <w:szCs w:val="21"/>
                      <w:lang w:val="en-US" w:eastAsia="zh-CN"/>
                    </w:rPr>
                  </w:pPr>
                  <w:r>
                    <w:rPr>
                      <w:rFonts w:hint="eastAsia"/>
                      <w:bCs/>
                      <w:color w:val="auto"/>
                      <w:szCs w:val="21"/>
                      <w:lang w:val="en-US" w:eastAsia="zh-CN"/>
                    </w:rPr>
                    <w:t>废水</w:t>
                  </w:r>
                </w:p>
              </w:tc>
              <w:tc>
                <w:tcPr>
                  <w:tcW w:w="552" w:type="pct"/>
                  <w:noWrap w:val="0"/>
                  <w:vAlign w:val="center"/>
                </w:tcPr>
                <w:p w14:paraId="58BC0056">
                  <w:pPr>
                    <w:jc w:val="center"/>
                    <w:rPr>
                      <w:rFonts w:hint="eastAsia"/>
                      <w:bCs/>
                      <w:color w:val="auto"/>
                      <w:szCs w:val="21"/>
                      <w:lang w:val="en-US" w:eastAsia="zh-CN"/>
                    </w:rPr>
                  </w:pPr>
                  <w:r>
                    <w:rPr>
                      <w:bCs/>
                      <w:color w:val="auto"/>
                      <w:szCs w:val="21"/>
                    </w:rPr>
                    <w:t>W</w:t>
                  </w:r>
                  <w:r>
                    <w:rPr>
                      <w:rFonts w:hint="eastAsia"/>
                      <w:bCs/>
                      <w:color w:val="auto"/>
                      <w:szCs w:val="21"/>
                      <w:lang w:val="en-US" w:eastAsia="zh-CN"/>
                    </w:rPr>
                    <w:t>2-1</w:t>
                  </w:r>
                </w:p>
              </w:tc>
              <w:tc>
                <w:tcPr>
                  <w:tcW w:w="2168" w:type="pct"/>
                  <w:noWrap w:val="0"/>
                  <w:vAlign w:val="center"/>
                </w:tcPr>
                <w:p w14:paraId="72383E49">
                  <w:pPr>
                    <w:jc w:val="center"/>
                    <w:rPr>
                      <w:rFonts w:hint="eastAsia" w:eastAsia="宋体"/>
                      <w:bCs/>
                      <w:color w:val="auto"/>
                      <w:szCs w:val="21"/>
                      <w:lang w:eastAsia="zh-CN"/>
                    </w:rPr>
                  </w:pPr>
                  <w:r>
                    <w:rPr>
                      <w:rFonts w:hint="eastAsia"/>
                      <w:bCs/>
                      <w:color w:val="auto"/>
                      <w:szCs w:val="21"/>
                      <w:lang w:eastAsia="zh-CN"/>
                    </w:rPr>
                    <w:t>冷却定型</w:t>
                  </w:r>
                </w:p>
              </w:tc>
              <w:tc>
                <w:tcPr>
                  <w:tcW w:w="1188" w:type="pct"/>
                  <w:noWrap w:val="0"/>
                  <w:vAlign w:val="center"/>
                </w:tcPr>
                <w:p w14:paraId="2591B872">
                  <w:pPr>
                    <w:jc w:val="center"/>
                    <w:rPr>
                      <w:bCs/>
                      <w:color w:val="auto"/>
                      <w:szCs w:val="21"/>
                    </w:rPr>
                  </w:pPr>
                  <w:r>
                    <w:rPr>
                      <w:bCs/>
                      <w:color w:val="auto"/>
                      <w:szCs w:val="21"/>
                    </w:rPr>
                    <w:t>COD、</w:t>
                  </w:r>
                  <w:r>
                    <w:rPr>
                      <w:rFonts w:hint="eastAsia"/>
                      <w:bCs/>
                      <w:color w:val="auto"/>
                      <w:szCs w:val="21"/>
                    </w:rPr>
                    <w:t>B</w:t>
                  </w:r>
                  <w:r>
                    <w:rPr>
                      <w:bCs/>
                      <w:color w:val="auto"/>
                      <w:szCs w:val="21"/>
                    </w:rPr>
                    <w:t>OD</w:t>
                  </w:r>
                  <w:r>
                    <w:rPr>
                      <w:bCs/>
                      <w:color w:val="auto"/>
                      <w:szCs w:val="21"/>
                      <w:vertAlign w:val="subscript"/>
                    </w:rPr>
                    <w:t>5</w:t>
                  </w:r>
                  <w:r>
                    <w:rPr>
                      <w:rFonts w:hint="eastAsia"/>
                      <w:bCs/>
                      <w:color w:val="auto"/>
                      <w:szCs w:val="21"/>
                    </w:rPr>
                    <w:t>、</w:t>
                  </w:r>
                  <w:r>
                    <w:rPr>
                      <w:bCs/>
                      <w:color w:val="auto"/>
                      <w:szCs w:val="21"/>
                    </w:rPr>
                    <w:t>SS、</w:t>
                  </w:r>
                  <w:r>
                    <w:rPr>
                      <w:bCs/>
                      <w:color w:val="auto"/>
                      <w:szCs w:val="21"/>
                      <w:lang w:val="pt-BR"/>
                    </w:rPr>
                    <w:t>NH</w:t>
                  </w:r>
                  <w:r>
                    <w:rPr>
                      <w:bCs/>
                      <w:color w:val="auto"/>
                      <w:szCs w:val="21"/>
                      <w:vertAlign w:val="subscript"/>
                      <w:lang w:val="pt-BR"/>
                    </w:rPr>
                    <w:t>3</w:t>
                  </w:r>
                  <w:r>
                    <w:rPr>
                      <w:bCs/>
                      <w:color w:val="auto"/>
                      <w:szCs w:val="21"/>
                      <w:lang w:val="pt-BR"/>
                    </w:rPr>
                    <w:t>-N</w:t>
                  </w:r>
                </w:p>
              </w:tc>
            </w:tr>
            <w:tr w14:paraId="7ACC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23E917B5">
                  <w:pPr>
                    <w:jc w:val="center"/>
                    <w:rPr>
                      <w:bCs/>
                      <w:color w:val="auto"/>
                      <w:szCs w:val="21"/>
                    </w:rPr>
                  </w:pPr>
                </w:p>
              </w:tc>
              <w:tc>
                <w:tcPr>
                  <w:tcW w:w="546" w:type="pct"/>
                  <w:noWrap w:val="0"/>
                  <w:vAlign w:val="center"/>
                </w:tcPr>
                <w:p w14:paraId="1D78C789">
                  <w:pPr>
                    <w:jc w:val="center"/>
                    <w:rPr>
                      <w:rFonts w:hint="eastAsia" w:eastAsia="宋体"/>
                      <w:bCs/>
                      <w:color w:val="auto"/>
                      <w:szCs w:val="21"/>
                      <w:lang w:eastAsia="zh-CN"/>
                    </w:rPr>
                  </w:pPr>
                  <w:r>
                    <w:rPr>
                      <w:rFonts w:hint="eastAsia"/>
                      <w:bCs/>
                      <w:color w:val="auto"/>
                      <w:szCs w:val="21"/>
                      <w:lang w:eastAsia="zh-CN"/>
                    </w:rPr>
                    <w:t>噪声</w:t>
                  </w:r>
                </w:p>
              </w:tc>
              <w:tc>
                <w:tcPr>
                  <w:tcW w:w="552" w:type="pct"/>
                  <w:noWrap w:val="0"/>
                  <w:vAlign w:val="center"/>
                </w:tcPr>
                <w:p w14:paraId="76627813">
                  <w:pPr>
                    <w:jc w:val="center"/>
                    <w:rPr>
                      <w:rFonts w:hint="eastAsia"/>
                      <w:bCs/>
                      <w:color w:val="auto"/>
                      <w:szCs w:val="21"/>
                      <w:lang w:val="en-US" w:eastAsia="zh-CN"/>
                    </w:rPr>
                  </w:pPr>
                  <w:r>
                    <w:rPr>
                      <w:rFonts w:hint="eastAsia"/>
                      <w:bCs/>
                      <w:color w:val="auto"/>
                      <w:szCs w:val="21"/>
                      <w:lang w:val="en-US" w:eastAsia="zh-CN"/>
                    </w:rPr>
                    <w:t>N</w:t>
                  </w:r>
                </w:p>
              </w:tc>
              <w:tc>
                <w:tcPr>
                  <w:tcW w:w="2168" w:type="pct"/>
                  <w:noWrap w:val="0"/>
                  <w:vAlign w:val="center"/>
                </w:tcPr>
                <w:p w14:paraId="734AEFA7">
                  <w:pPr>
                    <w:jc w:val="center"/>
                    <w:rPr>
                      <w:bCs/>
                      <w:color w:val="auto"/>
                      <w:szCs w:val="21"/>
                    </w:rPr>
                  </w:pPr>
                  <w:r>
                    <w:rPr>
                      <w:bCs/>
                      <w:color w:val="auto"/>
                      <w:szCs w:val="21"/>
                    </w:rPr>
                    <w:t>设备运行</w:t>
                  </w:r>
                </w:p>
              </w:tc>
              <w:tc>
                <w:tcPr>
                  <w:tcW w:w="1188" w:type="pct"/>
                  <w:noWrap w:val="0"/>
                  <w:vAlign w:val="center"/>
                </w:tcPr>
                <w:p w14:paraId="7CE54731">
                  <w:pPr>
                    <w:jc w:val="center"/>
                    <w:rPr>
                      <w:bCs/>
                      <w:color w:val="auto"/>
                      <w:szCs w:val="21"/>
                    </w:rPr>
                  </w:pPr>
                  <w:r>
                    <w:rPr>
                      <w:bCs/>
                      <w:color w:val="auto"/>
                      <w:szCs w:val="21"/>
                    </w:rPr>
                    <w:t xml:space="preserve">机械噪声 </w:t>
                  </w:r>
                </w:p>
              </w:tc>
            </w:tr>
            <w:tr w14:paraId="405D0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5F80F8FD">
                  <w:pPr>
                    <w:jc w:val="center"/>
                    <w:rPr>
                      <w:bCs/>
                      <w:color w:val="auto"/>
                      <w:szCs w:val="21"/>
                    </w:rPr>
                  </w:pPr>
                </w:p>
              </w:tc>
              <w:tc>
                <w:tcPr>
                  <w:tcW w:w="546" w:type="pct"/>
                  <w:vMerge w:val="restart"/>
                  <w:noWrap w:val="0"/>
                  <w:vAlign w:val="center"/>
                </w:tcPr>
                <w:p w14:paraId="4708BCDB">
                  <w:pPr>
                    <w:jc w:val="center"/>
                    <w:rPr>
                      <w:rFonts w:hint="eastAsia" w:eastAsia="宋体"/>
                      <w:bCs/>
                      <w:color w:val="auto"/>
                      <w:szCs w:val="21"/>
                      <w:lang w:eastAsia="zh-CN"/>
                    </w:rPr>
                  </w:pPr>
                  <w:r>
                    <w:rPr>
                      <w:rFonts w:hint="eastAsia"/>
                      <w:bCs/>
                      <w:color w:val="auto"/>
                      <w:szCs w:val="21"/>
                      <w:lang w:eastAsia="zh-CN"/>
                    </w:rPr>
                    <w:t>固废</w:t>
                  </w:r>
                </w:p>
              </w:tc>
              <w:tc>
                <w:tcPr>
                  <w:tcW w:w="552" w:type="pct"/>
                  <w:noWrap w:val="0"/>
                  <w:vAlign w:val="center"/>
                </w:tcPr>
                <w:p w14:paraId="0D92F177">
                  <w:pPr>
                    <w:jc w:val="center"/>
                    <w:rPr>
                      <w:rFonts w:hint="default" w:eastAsia="宋体"/>
                      <w:bCs/>
                      <w:color w:val="auto"/>
                      <w:szCs w:val="21"/>
                      <w:lang w:val="en-US" w:eastAsia="zh-CN"/>
                    </w:rPr>
                  </w:pPr>
                  <w:r>
                    <w:rPr>
                      <w:bCs/>
                      <w:color w:val="auto"/>
                      <w:szCs w:val="21"/>
                    </w:rPr>
                    <w:t>S</w:t>
                  </w:r>
                  <w:r>
                    <w:rPr>
                      <w:rFonts w:hint="eastAsia"/>
                      <w:bCs/>
                      <w:color w:val="auto"/>
                      <w:szCs w:val="21"/>
                      <w:lang w:val="en-US" w:eastAsia="zh-CN"/>
                    </w:rPr>
                    <w:t>2-1</w:t>
                  </w:r>
                </w:p>
              </w:tc>
              <w:tc>
                <w:tcPr>
                  <w:tcW w:w="2168" w:type="pct"/>
                  <w:noWrap w:val="0"/>
                  <w:vAlign w:val="center"/>
                </w:tcPr>
                <w:p w14:paraId="0EE390D9">
                  <w:pPr>
                    <w:jc w:val="center"/>
                    <w:rPr>
                      <w:bCs/>
                      <w:color w:val="auto"/>
                      <w:szCs w:val="21"/>
                    </w:rPr>
                  </w:pPr>
                  <w:r>
                    <w:rPr>
                      <w:rFonts w:hint="eastAsia"/>
                      <w:bCs/>
                      <w:color w:val="auto"/>
                      <w:szCs w:val="21"/>
                      <w:lang w:eastAsia="zh-CN"/>
                    </w:rPr>
                    <w:t>混料</w:t>
                  </w:r>
                </w:p>
              </w:tc>
              <w:tc>
                <w:tcPr>
                  <w:tcW w:w="1188" w:type="pct"/>
                  <w:noWrap w:val="0"/>
                  <w:vAlign w:val="center"/>
                </w:tcPr>
                <w:p w14:paraId="4363A7FF">
                  <w:pPr>
                    <w:jc w:val="center"/>
                    <w:rPr>
                      <w:bCs/>
                      <w:color w:val="auto"/>
                      <w:szCs w:val="21"/>
                    </w:rPr>
                  </w:pPr>
                  <w:r>
                    <w:rPr>
                      <w:rFonts w:hint="eastAsia"/>
                      <w:bCs/>
                      <w:color w:val="auto"/>
                      <w:szCs w:val="21"/>
                      <w:lang w:val="en-US" w:eastAsia="zh-CN"/>
                    </w:rPr>
                    <w:t>废包装袋</w:t>
                  </w:r>
                </w:p>
              </w:tc>
            </w:tr>
            <w:tr w14:paraId="2FEE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67203257">
                  <w:pPr>
                    <w:jc w:val="center"/>
                    <w:rPr>
                      <w:bCs/>
                      <w:color w:val="auto"/>
                      <w:szCs w:val="21"/>
                    </w:rPr>
                  </w:pPr>
                </w:p>
              </w:tc>
              <w:tc>
                <w:tcPr>
                  <w:tcW w:w="546" w:type="pct"/>
                  <w:vMerge w:val="continue"/>
                  <w:noWrap w:val="0"/>
                  <w:vAlign w:val="center"/>
                </w:tcPr>
                <w:p w14:paraId="2C9FB018">
                  <w:pPr>
                    <w:jc w:val="center"/>
                    <w:rPr>
                      <w:bCs/>
                      <w:color w:val="auto"/>
                      <w:szCs w:val="21"/>
                    </w:rPr>
                  </w:pPr>
                </w:p>
              </w:tc>
              <w:tc>
                <w:tcPr>
                  <w:tcW w:w="552" w:type="pct"/>
                  <w:noWrap w:val="0"/>
                  <w:vAlign w:val="center"/>
                </w:tcPr>
                <w:p w14:paraId="3959BF65">
                  <w:pPr>
                    <w:jc w:val="center"/>
                    <w:rPr>
                      <w:rFonts w:hint="default"/>
                      <w:bCs/>
                      <w:color w:val="auto"/>
                      <w:szCs w:val="21"/>
                      <w:lang w:val="en-US" w:eastAsia="zh-CN"/>
                    </w:rPr>
                  </w:pPr>
                  <w:r>
                    <w:rPr>
                      <w:bCs/>
                      <w:color w:val="auto"/>
                      <w:szCs w:val="21"/>
                    </w:rPr>
                    <w:t>S</w:t>
                  </w:r>
                  <w:r>
                    <w:rPr>
                      <w:rFonts w:hint="eastAsia"/>
                      <w:bCs/>
                      <w:color w:val="auto"/>
                      <w:szCs w:val="21"/>
                      <w:lang w:val="en-US" w:eastAsia="zh-CN"/>
                    </w:rPr>
                    <w:t>2-2</w:t>
                  </w:r>
                </w:p>
              </w:tc>
              <w:tc>
                <w:tcPr>
                  <w:tcW w:w="2168" w:type="pct"/>
                  <w:noWrap w:val="0"/>
                  <w:vAlign w:val="center"/>
                </w:tcPr>
                <w:p w14:paraId="402C88E1">
                  <w:pPr>
                    <w:jc w:val="center"/>
                    <w:rPr>
                      <w:bCs/>
                      <w:color w:val="auto"/>
                      <w:szCs w:val="21"/>
                    </w:rPr>
                  </w:pPr>
                  <w:r>
                    <w:rPr>
                      <w:rFonts w:hint="eastAsia"/>
                      <w:bCs/>
                      <w:color w:val="auto"/>
                      <w:szCs w:val="21"/>
                      <w:lang w:eastAsia="zh-CN"/>
                    </w:rPr>
                    <w:t>牵引切割</w:t>
                  </w:r>
                </w:p>
              </w:tc>
              <w:tc>
                <w:tcPr>
                  <w:tcW w:w="1188" w:type="pct"/>
                  <w:noWrap w:val="0"/>
                  <w:vAlign w:val="center"/>
                </w:tcPr>
                <w:p w14:paraId="1F42F7FC">
                  <w:pPr>
                    <w:jc w:val="center"/>
                    <w:rPr>
                      <w:rFonts w:hint="eastAsia" w:eastAsia="宋体"/>
                      <w:bCs/>
                      <w:color w:val="auto"/>
                      <w:szCs w:val="21"/>
                      <w:lang w:eastAsia="zh-CN"/>
                    </w:rPr>
                  </w:pPr>
                  <w:r>
                    <w:rPr>
                      <w:rFonts w:hint="eastAsia"/>
                      <w:bCs/>
                      <w:color w:val="auto"/>
                      <w:szCs w:val="21"/>
                      <w:lang w:eastAsia="zh-CN"/>
                    </w:rPr>
                    <w:t>边角料</w:t>
                  </w:r>
                </w:p>
              </w:tc>
            </w:tr>
            <w:tr w14:paraId="7669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38425B4F">
                  <w:pPr>
                    <w:jc w:val="center"/>
                    <w:rPr>
                      <w:bCs/>
                      <w:color w:val="auto"/>
                      <w:szCs w:val="21"/>
                    </w:rPr>
                  </w:pPr>
                </w:p>
              </w:tc>
              <w:tc>
                <w:tcPr>
                  <w:tcW w:w="546" w:type="pct"/>
                  <w:vMerge w:val="continue"/>
                  <w:noWrap w:val="0"/>
                  <w:vAlign w:val="center"/>
                </w:tcPr>
                <w:p w14:paraId="0B7D205C">
                  <w:pPr>
                    <w:jc w:val="center"/>
                    <w:rPr>
                      <w:bCs/>
                      <w:color w:val="auto"/>
                      <w:szCs w:val="21"/>
                    </w:rPr>
                  </w:pPr>
                </w:p>
              </w:tc>
              <w:tc>
                <w:tcPr>
                  <w:tcW w:w="552" w:type="pct"/>
                  <w:noWrap w:val="0"/>
                  <w:vAlign w:val="center"/>
                </w:tcPr>
                <w:p w14:paraId="021CB104">
                  <w:pPr>
                    <w:jc w:val="center"/>
                    <w:rPr>
                      <w:rFonts w:hint="default"/>
                      <w:bCs/>
                      <w:color w:val="auto"/>
                      <w:szCs w:val="21"/>
                      <w:lang w:val="en-US" w:eastAsia="zh-CN"/>
                    </w:rPr>
                  </w:pPr>
                  <w:r>
                    <w:rPr>
                      <w:bCs/>
                      <w:color w:val="auto"/>
                      <w:szCs w:val="21"/>
                    </w:rPr>
                    <w:t>S</w:t>
                  </w:r>
                  <w:r>
                    <w:rPr>
                      <w:rFonts w:hint="eastAsia"/>
                      <w:bCs/>
                      <w:color w:val="auto"/>
                      <w:szCs w:val="21"/>
                      <w:lang w:val="en-US" w:eastAsia="zh-CN"/>
                    </w:rPr>
                    <w:t>2-3</w:t>
                  </w:r>
                </w:p>
              </w:tc>
              <w:tc>
                <w:tcPr>
                  <w:tcW w:w="2168" w:type="pct"/>
                  <w:noWrap w:val="0"/>
                  <w:vAlign w:val="center"/>
                </w:tcPr>
                <w:p w14:paraId="5337E95C">
                  <w:pPr>
                    <w:jc w:val="center"/>
                    <w:rPr>
                      <w:bCs/>
                      <w:color w:val="auto"/>
                      <w:szCs w:val="21"/>
                    </w:rPr>
                  </w:pPr>
                  <w:r>
                    <w:rPr>
                      <w:rFonts w:hint="eastAsia"/>
                      <w:bCs/>
                      <w:color w:val="auto"/>
                      <w:szCs w:val="21"/>
                      <w:lang w:eastAsia="zh-CN"/>
                    </w:rPr>
                    <w:t>精确切割</w:t>
                  </w:r>
                </w:p>
              </w:tc>
              <w:tc>
                <w:tcPr>
                  <w:tcW w:w="1188" w:type="pct"/>
                  <w:noWrap w:val="0"/>
                  <w:vAlign w:val="center"/>
                </w:tcPr>
                <w:p w14:paraId="141AE09D">
                  <w:pPr>
                    <w:jc w:val="center"/>
                    <w:rPr>
                      <w:rFonts w:hint="eastAsia" w:eastAsia="宋体"/>
                      <w:bCs/>
                      <w:color w:val="auto"/>
                      <w:szCs w:val="21"/>
                      <w:lang w:eastAsia="zh-CN"/>
                    </w:rPr>
                  </w:pPr>
                  <w:r>
                    <w:rPr>
                      <w:rFonts w:hint="eastAsia"/>
                      <w:bCs/>
                      <w:color w:val="auto"/>
                      <w:szCs w:val="21"/>
                      <w:lang w:eastAsia="zh-CN"/>
                    </w:rPr>
                    <w:t>边角料</w:t>
                  </w:r>
                </w:p>
              </w:tc>
            </w:tr>
            <w:tr w14:paraId="52183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restart"/>
                  <w:noWrap w:val="0"/>
                  <w:vAlign w:val="center"/>
                </w:tcPr>
                <w:p w14:paraId="4D329C2F">
                  <w:pPr>
                    <w:jc w:val="center"/>
                    <w:rPr>
                      <w:rFonts w:hint="eastAsia" w:eastAsia="宋体"/>
                      <w:bCs/>
                      <w:color w:val="auto"/>
                      <w:szCs w:val="21"/>
                      <w:lang w:eastAsia="zh-CN"/>
                    </w:rPr>
                  </w:pPr>
                  <w:r>
                    <w:rPr>
                      <w:rFonts w:hint="eastAsia"/>
                      <w:bCs/>
                      <w:color w:val="auto"/>
                      <w:szCs w:val="21"/>
                      <w:lang w:eastAsia="zh-CN"/>
                    </w:rPr>
                    <w:t>公用工程</w:t>
                  </w:r>
                </w:p>
              </w:tc>
              <w:tc>
                <w:tcPr>
                  <w:tcW w:w="546" w:type="pct"/>
                  <w:noWrap w:val="0"/>
                  <w:vAlign w:val="center"/>
                </w:tcPr>
                <w:p w14:paraId="18ECEB8F">
                  <w:pPr>
                    <w:jc w:val="center"/>
                    <w:rPr>
                      <w:bCs/>
                      <w:color w:val="auto"/>
                      <w:szCs w:val="21"/>
                    </w:rPr>
                  </w:pPr>
                  <w:r>
                    <w:rPr>
                      <w:rFonts w:hint="eastAsia"/>
                      <w:bCs/>
                      <w:color w:val="auto"/>
                      <w:szCs w:val="21"/>
                      <w:lang w:val="en-US" w:eastAsia="zh-CN"/>
                    </w:rPr>
                    <w:t>废水</w:t>
                  </w:r>
                </w:p>
              </w:tc>
              <w:tc>
                <w:tcPr>
                  <w:tcW w:w="552" w:type="pct"/>
                  <w:noWrap w:val="0"/>
                  <w:vAlign w:val="center"/>
                </w:tcPr>
                <w:p w14:paraId="40BE9D9D">
                  <w:pPr>
                    <w:jc w:val="center"/>
                    <w:rPr>
                      <w:rFonts w:hint="eastAsia" w:eastAsia="宋体"/>
                      <w:bCs/>
                      <w:color w:val="auto"/>
                      <w:szCs w:val="21"/>
                      <w:lang w:val="en-US" w:eastAsia="zh-CN"/>
                    </w:rPr>
                  </w:pPr>
                  <w:r>
                    <w:rPr>
                      <w:rFonts w:hint="eastAsia"/>
                      <w:bCs/>
                      <w:color w:val="auto"/>
                      <w:szCs w:val="21"/>
                      <w:lang w:val="en-US" w:eastAsia="zh-CN"/>
                    </w:rPr>
                    <w:t>/</w:t>
                  </w:r>
                </w:p>
              </w:tc>
              <w:tc>
                <w:tcPr>
                  <w:tcW w:w="2168" w:type="pct"/>
                  <w:noWrap w:val="0"/>
                  <w:vAlign w:val="center"/>
                </w:tcPr>
                <w:p w14:paraId="29948205">
                  <w:pPr>
                    <w:jc w:val="center"/>
                    <w:rPr>
                      <w:rFonts w:hint="eastAsia" w:eastAsia="宋体"/>
                      <w:bCs/>
                      <w:color w:val="auto"/>
                      <w:szCs w:val="21"/>
                      <w:lang w:eastAsia="zh-CN"/>
                    </w:rPr>
                  </w:pPr>
                  <w:r>
                    <w:rPr>
                      <w:rFonts w:hint="eastAsia"/>
                      <w:bCs/>
                      <w:color w:val="auto"/>
                      <w:szCs w:val="21"/>
                      <w:lang w:eastAsia="zh-CN"/>
                    </w:rPr>
                    <w:t>生活废水</w:t>
                  </w:r>
                </w:p>
              </w:tc>
              <w:tc>
                <w:tcPr>
                  <w:tcW w:w="1188" w:type="pct"/>
                  <w:noWrap w:val="0"/>
                  <w:vAlign w:val="center"/>
                </w:tcPr>
                <w:p w14:paraId="037078D3">
                  <w:pPr>
                    <w:jc w:val="center"/>
                    <w:rPr>
                      <w:bCs/>
                      <w:color w:val="auto"/>
                      <w:szCs w:val="21"/>
                    </w:rPr>
                  </w:pPr>
                  <w:r>
                    <w:rPr>
                      <w:bCs/>
                      <w:color w:val="auto"/>
                      <w:szCs w:val="21"/>
                    </w:rPr>
                    <w:t>COD、</w:t>
                  </w:r>
                  <w:r>
                    <w:rPr>
                      <w:rFonts w:hint="eastAsia"/>
                      <w:bCs/>
                      <w:color w:val="auto"/>
                      <w:szCs w:val="21"/>
                    </w:rPr>
                    <w:t>B</w:t>
                  </w:r>
                  <w:r>
                    <w:rPr>
                      <w:bCs/>
                      <w:color w:val="auto"/>
                      <w:szCs w:val="21"/>
                    </w:rPr>
                    <w:t>OD</w:t>
                  </w:r>
                  <w:r>
                    <w:rPr>
                      <w:bCs/>
                      <w:color w:val="auto"/>
                      <w:szCs w:val="21"/>
                      <w:vertAlign w:val="subscript"/>
                    </w:rPr>
                    <w:t>5</w:t>
                  </w:r>
                  <w:r>
                    <w:rPr>
                      <w:rFonts w:hint="eastAsia"/>
                      <w:bCs/>
                      <w:color w:val="auto"/>
                      <w:szCs w:val="21"/>
                    </w:rPr>
                    <w:t>、</w:t>
                  </w:r>
                  <w:r>
                    <w:rPr>
                      <w:bCs/>
                      <w:color w:val="auto"/>
                      <w:szCs w:val="21"/>
                    </w:rPr>
                    <w:t>SS、</w:t>
                  </w:r>
                  <w:r>
                    <w:rPr>
                      <w:bCs/>
                      <w:color w:val="auto"/>
                      <w:szCs w:val="21"/>
                      <w:lang w:val="pt-BR"/>
                    </w:rPr>
                    <w:t>NH</w:t>
                  </w:r>
                  <w:r>
                    <w:rPr>
                      <w:bCs/>
                      <w:color w:val="auto"/>
                      <w:szCs w:val="21"/>
                      <w:vertAlign w:val="subscript"/>
                      <w:lang w:val="pt-BR"/>
                    </w:rPr>
                    <w:t>3</w:t>
                  </w:r>
                  <w:r>
                    <w:rPr>
                      <w:bCs/>
                      <w:color w:val="auto"/>
                      <w:szCs w:val="21"/>
                      <w:lang w:val="pt-BR"/>
                    </w:rPr>
                    <w:t>-N</w:t>
                  </w:r>
                </w:p>
              </w:tc>
            </w:tr>
            <w:tr w14:paraId="4CD5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14A267A3">
                  <w:pPr>
                    <w:jc w:val="center"/>
                    <w:rPr>
                      <w:bCs/>
                      <w:color w:val="auto"/>
                      <w:szCs w:val="21"/>
                    </w:rPr>
                  </w:pPr>
                </w:p>
              </w:tc>
              <w:tc>
                <w:tcPr>
                  <w:tcW w:w="546" w:type="pct"/>
                  <w:vMerge w:val="restart"/>
                  <w:noWrap w:val="0"/>
                  <w:vAlign w:val="center"/>
                </w:tcPr>
                <w:p w14:paraId="342D51CD">
                  <w:pPr>
                    <w:jc w:val="center"/>
                    <w:rPr>
                      <w:bCs/>
                      <w:color w:val="auto"/>
                      <w:szCs w:val="21"/>
                    </w:rPr>
                  </w:pPr>
                  <w:r>
                    <w:rPr>
                      <w:rFonts w:hint="eastAsia"/>
                      <w:bCs/>
                      <w:color w:val="auto"/>
                      <w:szCs w:val="21"/>
                      <w:lang w:eastAsia="zh-CN"/>
                    </w:rPr>
                    <w:t>固废</w:t>
                  </w:r>
                </w:p>
              </w:tc>
              <w:tc>
                <w:tcPr>
                  <w:tcW w:w="552" w:type="pct"/>
                  <w:noWrap w:val="0"/>
                  <w:vAlign w:val="center"/>
                </w:tcPr>
                <w:p w14:paraId="6656BA18">
                  <w:pPr>
                    <w:jc w:val="center"/>
                    <w:rPr>
                      <w:bCs/>
                      <w:color w:val="auto"/>
                      <w:szCs w:val="21"/>
                    </w:rPr>
                  </w:pPr>
                  <w:r>
                    <w:rPr>
                      <w:rFonts w:hint="eastAsia"/>
                      <w:bCs/>
                      <w:color w:val="auto"/>
                      <w:szCs w:val="21"/>
                      <w:lang w:val="en-US" w:eastAsia="zh-CN"/>
                    </w:rPr>
                    <w:t>/</w:t>
                  </w:r>
                </w:p>
              </w:tc>
              <w:tc>
                <w:tcPr>
                  <w:tcW w:w="2168" w:type="pct"/>
                  <w:noWrap w:val="0"/>
                  <w:vAlign w:val="center"/>
                </w:tcPr>
                <w:p w14:paraId="7E69618C">
                  <w:pPr>
                    <w:jc w:val="center"/>
                    <w:rPr>
                      <w:rFonts w:hint="eastAsia" w:eastAsia="宋体"/>
                      <w:bCs/>
                      <w:color w:val="auto"/>
                      <w:szCs w:val="21"/>
                      <w:lang w:eastAsia="zh-CN"/>
                    </w:rPr>
                  </w:pPr>
                  <w:r>
                    <w:rPr>
                      <w:rFonts w:hint="eastAsia"/>
                      <w:bCs/>
                      <w:color w:val="auto"/>
                      <w:szCs w:val="21"/>
                      <w:lang w:eastAsia="zh-CN"/>
                    </w:rPr>
                    <w:t>职工生活</w:t>
                  </w:r>
                </w:p>
              </w:tc>
              <w:tc>
                <w:tcPr>
                  <w:tcW w:w="1188" w:type="pct"/>
                  <w:noWrap w:val="0"/>
                  <w:vAlign w:val="center"/>
                </w:tcPr>
                <w:p w14:paraId="349DA10F">
                  <w:pPr>
                    <w:jc w:val="center"/>
                    <w:rPr>
                      <w:bCs/>
                      <w:color w:val="auto"/>
                      <w:szCs w:val="21"/>
                    </w:rPr>
                  </w:pPr>
                  <w:r>
                    <w:rPr>
                      <w:rFonts w:hint="eastAsia"/>
                      <w:bCs/>
                      <w:color w:val="auto"/>
                      <w:szCs w:val="21"/>
                      <w:lang w:eastAsia="zh-CN"/>
                    </w:rPr>
                    <w:t>生活垃圾</w:t>
                  </w:r>
                </w:p>
              </w:tc>
            </w:tr>
            <w:tr w14:paraId="53723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4" w:type="pct"/>
                  <w:vMerge w:val="continue"/>
                  <w:noWrap w:val="0"/>
                  <w:vAlign w:val="center"/>
                </w:tcPr>
                <w:p w14:paraId="6CC80DA9">
                  <w:pPr>
                    <w:jc w:val="center"/>
                    <w:rPr>
                      <w:bCs/>
                      <w:color w:val="auto"/>
                      <w:szCs w:val="21"/>
                    </w:rPr>
                  </w:pPr>
                </w:p>
              </w:tc>
              <w:tc>
                <w:tcPr>
                  <w:tcW w:w="546" w:type="pct"/>
                  <w:vMerge w:val="continue"/>
                  <w:noWrap w:val="0"/>
                  <w:vAlign w:val="center"/>
                </w:tcPr>
                <w:p w14:paraId="5C03E434">
                  <w:pPr>
                    <w:jc w:val="center"/>
                    <w:rPr>
                      <w:bCs/>
                      <w:color w:val="auto"/>
                      <w:szCs w:val="21"/>
                    </w:rPr>
                  </w:pPr>
                </w:p>
              </w:tc>
              <w:tc>
                <w:tcPr>
                  <w:tcW w:w="552" w:type="pct"/>
                  <w:noWrap w:val="0"/>
                  <w:vAlign w:val="center"/>
                </w:tcPr>
                <w:p w14:paraId="30956B71">
                  <w:pPr>
                    <w:jc w:val="center"/>
                    <w:rPr>
                      <w:bCs/>
                      <w:color w:val="auto"/>
                      <w:szCs w:val="21"/>
                    </w:rPr>
                  </w:pPr>
                  <w:r>
                    <w:rPr>
                      <w:rFonts w:hint="eastAsia"/>
                      <w:bCs/>
                      <w:color w:val="auto"/>
                      <w:szCs w:val="21"/>
                      <w:lang w:val="en-US" w:eastAsia="zh-CN"/>
                    </w:rPr>
                    <w:t>/</w:t>
                  </w:r>
                </w:p>
              </w:tc>
              <w:tc>
                <w:tcPr>
                  <w:tcW w:w="2168" w:type="pct"/>
                  <w:noWrap w:val="0"/>
                  <w:vAlign w:val="center"/>
                </w:tcPr>
                <w:p w14:paraId="743B1EE7">
                  <w:pPr>
                    <w:jc w:val="center"/>
                    <w:rPr>
                      <w:rFonts w:hint="eastAsia" w:eastAsia="宋体"/>
                      <w:bCs/>
                      <w:color w:val="auto"/>
                      <w:szCs w:val="21"/>
                      <w:lang w:eastAsia="zh-CN"/>
                    </w:rPr>
                  </w:pPr>
                  <w:r>
                    <w:rPr>
                      <w:rFonts w:hint="eastAsia"/>
                      <w:bCs/>
                      <w:color w:val="auto"/>
                      <w:szCs w:val="21"/>
                      <w:lang w:eastAsia="zh-CN"/>
                    </w:rPr>
                    <w:t>设备维护</w:t>
                  </w:r>
                </w:p>
              </w:tc>
              <w:tc>
                <w:tcPr>
                  <w:tcW w:w="1188" w:type="pct"/>
                  <w:noWrap w:val="0"/>
                  <w:vAlign w:val="center"/>
                </w:tcPr>
                <w:p w14:paraId="6CD52F6B">
                  <w:pPr>
                    <w:jc w:val="center"/>
                    <w:rPr>
                      <w:rFonts w:hint="eastAsia" w:eastAsia="宋体"/>
                      <w:bCs/>
                      <w:color w:val="auto"/>
                      <w:szCs w:val="21"/>
                      <w:lang w:eastAsia="zh-CN"/>
                    </w:rPr>
                  </w:pPr>
                  <w:r>
                    <w:rPr>
                      <w:rFonts w:hint="eastAsia"/>
                      <w:bCs/>
                      <w:color w:val="auto"/>
                      <w:szCs w:val="21"/>
                      <w:lang w:eastAsia="zh-CN"/>
                    </w:rPr>
                    <w:t>润滑油</w:t>
                  </w:r>
                </w:p>
              </w:tc>
            </w:tr>
          </w:tbl>
          <w:p w14:paraId="581AEA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Cs/>
                <w:sz w:val="24"/>
                <w:szCs w:val="24"/>
                <w:lang w:val="en-US" w:eastAsia="zh-CN"/>
              </w:rPr>
            </w:pPr>
          </w:p>
          <w:p w14:paraId="46D92F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bCs/>
                <w:sz w:val="24"/>
                <w:szCs w:val="24"/>
                <w:lang w:val="en-US" w:eastAsia="zh-CN"/>
              </w:rPr>
            </w:pPr>
          </w:p>
          <w:p w14:paraId="3BDEEF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bCs/>
                <w:sz w:val="24"/>
                <w:szCs w:val="24"/>
                <w:lang w:val="en-US" w:eastAsia="zh-CN"/>
              </w:rPr>
            </w:pPr>
          </w:p>
          <w:p w14:paraId="1C49D5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bCs/>
                <w:sz w:val="24"/>
                <w:szCs w:val="24"/>
                <w:lang w:val="en-US" w:eastAsia="zh-CN"/>
              </w:rPr>
            </w:pPr>
          </w:p>
          <w:p w14:paraId="7C8647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bCs/>
                <w:sz w:val="24"/>
                <w:szCs w:val="24"/>
                <w:lang w:val="en-US" w:eastAsia="zh-CN"/>
              </w:rPr>
            </w:pPr>
          </w:p>
          <w:p w14:paraId="1D6F86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bCs/>
                <w:sz w:val="24"/>
                <w:szCs w:val="24"/>
                <w:lang w:val="en-US" w:eastAsia="zh-CN"/>
              </w:rPr>
            </w:pPr>
          </w:p>
          <w:p w14:paraId="31A9BD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bCs/>
                <w:sz w:val="24"/>
                <w:szCs w:val="24"/>
                <w:lang w:val="en-US" w:eastAsia="zh-CN"/>
              </w:rPr>
            </w:pPr>
          </w:p>
          <w:p w14:paraId="109697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sz w:val="24"/>
                <w:szCs w:val="24"/>
                <w:lang w:val="en-US" w:eastAsia="zh-CN"/>
              </w:rPr>
            </w:pPr>
          </w:p>
          <w:p w14:paraId="320BAFA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z w:val="24"/>
                <w:szCs w:val="24"/>
                <w:lang w:val="en-US" w:eastAsia="zh-CN"/>
              </w:rPr>
            </w:pPr>
          </w:p>
          <w:p w14:paraId="71BCB56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z w:val="24"/>
                <w:szCs w:val="24"/>
                <w:lang w:val="en-US" w:eastAsia="zh-CN"/>
              </w:rPr>
            </w:pPr>
          </w:p>
          <w:p w14:paraId="39BCDAD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z w:val="24"/>
                <w:szCs w:val="24"/>
                <w:lang w:val="en-US" w:eastAsia="zh-CN"/>
              </w:rPr>
            </w:pPr>
          </w:p>
          <w:p w14:paraId="1E3490F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z w:val="24"/>
                <w:szCs w:val="24"/>
                <w:lang w:val="en-US" w:eastAsia="zh-CN"/>
              </w:rPr>
            </w:pPr>
          </w:p>
          <w:p w14:paraId="4B77B29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z w:val="24"/>
                <w:szCs w:val="24"/>
                <w:lang w:val="en-US" w:eastAsia="zh-CN"/>
              </w:rPr>
            </w:pPr>
          </w:p>
          <w:p w14:paraId="1FEE3B3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Cs/>
                <w:sz w:val="24"/>
                <w:szCs w:val="24"/>
                <w:lang w:val="en-US" w:eastAsia="zh-CN"/>
              </w:rPr>
            </w:pPr>
          </w:p>
        </w:tc>
      </w:tr>
      <w:tr w14:paraId="1EDE69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59" w:hRule="atLeast"/>
          <w:jc w:val="center"/>
        </w:trPr>
        <w:tc>
          <w:tcPr>
            <w:tcW w:w="454" w:type="dxa"/>
            <w:tcBorders>
              <w:tl2br w:val="nil"/>
              <w:tr2bl w:val="nil"/>
            </w:tcBorders>
            <w:noWrap w:val="0"/>
            <w:vAlign w:val="center"/>
          </w:tcPr>
          <w:p w14:paraId="3E0011E1">
            <w:pPr>
              <w:pStyle w:val="22"/>
              <w:adjustRightInd w:val="0"/>
              <w:snapToGrid w:val="0"/>
              <w:spacing w:before="0" w:beforeAutospacing="0" w:after="0" w:afterAutospacing="0"/>
              <w:jc w:val="center"/>
              <w:rPr>
                <w:rFonts w:hint="default" w:ascii="Times New Roman" w:hAnsi="Times New Roman" w:eastAsia="宋体" w:cs="Times New Roman"/>
                <w:sz w:val="24"/>
                <w:szCs w:val="24"/>
              </w:rPr>
            </w:pPr>
            <w:r>
              <w:rPr>
                <w:rFonts w:hint="default" w:ascii="Times New Roman" w:hAnsi="Times New Roman" w:eastAsia="宋体" w:cs="Times New Roman"/>
                <w:bCs/>
                <w:kern w:val="2"/>
                <w:sz w:val="24"/>
                <w:szCs w:val="24"/>
              </w:rPr>
              <w:t>与项目有关的原有环境污染问题</w:t>
            </w:r>
          </w:p>
        </w:tc>
        <w:tc>
          <w:tcPr>
            <w:tcW w:w="8620" w:type="dxa"/>
            <w:tcBorders>
              <w:tl2br w:val="nil"/>
              <w:tr2bl w:val="nil"/>
            </w:tcBorders>
            <w:noWrap w:val="0"/>
            <w:vAlign w:val="center"/>
          </w:tcPr>
          <w:p w14:paraId="2E76EA92">
            <w:pPr>
              <w:keepNext w:val="0"/>
              <w:keepLines w:val="0"/>
              <w:pageBreakBefore w:val="0"/>
              <w:widowControl w:val="0"/>
              <w:kinsoku/>
              <w:wordWrap/>
              <w:overflowPunct/>
              <w:topLinePunct w:val="0"/>
              <w:autoSpaceDE/>
              <w:autoSpaceDN/>
              <w:bidi w:val="0"/>
              <w:adjustRightInd w:val="0"/>
              <w:snapToGrid w:val="0"/>
              <w:spacing w:line="360" w:lineRule="auto"/>
              <w:textAlignment w:val="auto"/>
              <w:rPr>
                <w:b/>
                <w:bCs/>
                <w:color w:val="auto"/>
                <w:sz w:val="24"/>
              </w:rPr>
            </w:pPr>
            <w:r>
              <w:rPr>
                <w:rFonts w:hint="eastAsia"/>
                <w:b/>
                <w:bCs/>
                <w:color w:val="auto"/>
                <w:sz w:val="24"/>
                <w:lang w:eastAsia="zh-CN"/>
              </w:rPr>
              <w:t>1.</w:t>
            </w:r>
            <w:r>
              <w:rPr>
                <w:rFonts w:hint="eastAsia"/>
                <w:b/>
                <w:bCs/>
                <w:color w:val="auto"/>
                <w:sz w:val="24"/>
              </w:rPr>
              <w:t>现有</w:t>
            </w:r>
            <w:r>
              <w:rPr>
                <w:b/>
                <w:bCs/>
                <w:color w:val="auto"/>
                <w:sz w:val="24"/>
              </w:rPr>
              <w:t>工程环保手续履行情况</w:t>
            </w:r>
          </w:p>
          <w:p w14:paraId="02F7222C">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cs="Times New Roman"/>
                <w:b w:val="0"/>
                <w:bCs w:val="0"/>
                <w:color w:val="auto"/>
                <w:sz w:val="24"/>
                <w:szCs w:val="24"/>
                <w:highlight w:val="none"/>
                <w:lang w:val="en-US" w:eastAsia="zh-CN"/>
              </w:rPr>
            </w:pPr>
            <w:r>
              <w:rPr>
                <w:rFonts w:hint="eastAsia" w:ascii="Times New Roman" w:hAnsi="Times New Roman" w:cs="Times New Roman"/>
                <w:sz w:val="24"/>
                <w:szCs w:val="24"/>
                <w:lang w:val="en-US" w:eastAsia="zh-CN"/>
              </w:rPr>
              <w:t>安徽爱乐新材料科技有限公司，曾用名安徽淮宿建材有限公司</w:t>
            </w:r>
            <w:r>
              <w:rPr>
                <w:rFonts w:hint="eastAsia" w:ascii="宋体" w:hAnsi="宋体" w:cs="宋体"/>
                <w:sz w:val="24"/>
                <w:szCs w:val="24"/>
                <w:lang w:eastAsia="zh-CN"/>
              </w:rPr>
              <w:t>，</w:t>
            </w:r>
            <w:r>
              <w:rPr>
                <w:rFonts w:hint="eastAsia"/>
                <w:color w:val="auto"/>
                <w:spacing w:val="-7"/>
                <w:sz w:val="24"/>
              </w:rPr>
              <w:t>始建于20</w:t>
            </w:r>
            <w:r>
              <w:rPr>
                <w:rFonts w:hint="eastAsia"/>
                <w:color w:val="auto"/>
                <w:spacing w:val="-7"/>
                <w:sz w:val="24"/>
                <w:lang w:val="en-US" w:eastAsia="zh-CN"/>
              </w:rPr>
              <w:t>13</w:t>
            </w:r>
            <w:r>
              <w:rPr>
                <w:rFonts w:hint="eastAsia"/>
                <w:color w:val="auto"/>
                <w:spacing w:val="-7"/>
                <w:sz w:val="24"/>
              </w:rPr>
              <w:t>年</w:t>
            </w:r>
            <w:r>
              <w:rPr>
                <w:rFonts w:hint="eastAsia"/>
                <w:color w:val="auto"/>
                <w:spacing w:val="-7"/>
                <w:sz w:val="24"/>
                <w:lang w:val="en-US" w:eastAsia="zh-CN"/>
              </w:rPr>
              <w:t>4月</w:t>
            </w:r>
            <w:r>
              <w:rPr>
                <w:rFonts w:hint="eastAsia"/>
                <w:color w:val="auto"/>
                <w:spacing w:val="-7"/>
                <w:sz w:val="24"/>
              </w:rPr>
              <w:t>，</w:t>
            </w:r>
            <w:r>
              <w:rPr>
                <w:rFonts w:hint="eastAsia"/>
                <w:color w:val="auto"/>
                <w:spacing w:val="-7"/>
                <w:sz w:val="24"/>
                <w:lang w:eastAsia="zh-CN"/>
              </w:rPr>
              <w:t>原有工程位于</w:t>
            </w:r>
            <w:r>
              <w:rPr>
                <w:rFonts w:ascii="宋体" w:hAnsi="宋体" w:eastAsia="宋体" w:cs="宋体"/>
                <w:sz w:val="24"/>
                <w:szCs w:val="24"/>
              </w:rPr>
              <w:t>安徽省宿州市埇桥区循环经济示范园仁和路西侧</w:t>
            </w:r>
            <w:r>
              <w:rPr>
                <w:rFonts w:hint="eastAsia" w:ascii="宋体" w:hAnsi="宋体" w:cs="宋体"/>
                <w:color w:val="auto"/>
                <w:sz w:val="24"/>
                <w:szCs w:val="24"/>
                <w:u w:val="none"/>
                <w:lang w:eastAsia="zh-CN"/>
              </w:rPr>
              <w:t>（</w:t>
            </w:r>
            <w:r>
              <w:rPr>
                <w:rFonts w:hint="eastAsia" w:ascii="宋体" w:hAnsi="宋体" w:cs="宋体"/>
                <w:color w:val="auto"/>
                <w:sz w:val="24"/>
                <w:szCs w:val="24"/>
                <w:u w:val="none"/>
                <w:lang w:val="en-US" w:eastAsia="zh-CN"/>
              </w:rPr>
              <w:t>厂区一</w:t>
            </w:r>
            <w:r>
              <w:rPr>
                <w:rFonts w:hint="eastAsia" w:ascii="宋体" w:hAnsi="宋体" w:cs="宋体"/>
                <w:color w:val="auto"/>
                <w:sz w:val="24"/>
                <w:szCs w:val="24"/>
                <w:u w:val="none"/>
                <w:lang w:eastAsia="zh-CN"/>
              </w:rPr>
              <w:t>），本次新建项目位于</w:t>
            </w:r>
            <w:r>
              <w:rPr>
                <w:rFonts w:ascii="宋体" w:hAnsi="宋体" w:eastAsia="宋体" w:cs="宋体"/>
                <w:sz w:val="24"/>
                <w:szCs w:val="24"/>
              </w:rPr>
              <w:t>宿州</w:t>
            </w:r>
            <w:r>
              <w:rPr>
                <w:rFonts w:hint="eastAsia" w:ascii="宋体" w:hAnsi="宋体" w:cs="宋体"/>
                <w:sz w:val="24"/>
                <w:szCs w:val="24"/>
                <w:lang w:eastAsia="zh-CN"/>
              </w:rPr>
              <w:t>市</w:t>
            </w:r>
            <w:r>
              <w:rPr>
                <w:rFonts w:ascii="宋体" w:hAnsi="宋体" w:eastAsia="宋体" w:cs="宋体"/>
                <w:sz w:val="24"/>
                <w:szCs w:val="24"/>
              </w:rPr>
              <w:t>埇桥</w:t>
            </w:r>
            <w:r>
              <w:rPr>
                <w:rFonts w:hint="eastAsia" w:ascii="宋体" w:hAnsi="宋体" w:cs="宋体"/>
                <w:sz w:val="24"/>
                <w:szCs w:val="24"/>
                <w:lang w:eastAsia="zh-CN"/>
              </w:rPr>
              <w:t>区</w:t>
            </w:r>
            <w:r>
              <w:rPr>
                <w:rFonts w:ascii="宋体" w:hAnsi="宋体" w:eastAsia="宋体" w:cs="宋体"/>
                <w:sz w:val="24"/>
                <w:szCs w:val="24"/>
              </w:rPr>
              <w:t>循环经济示范园东二环西侧</w:t>
            </w:r>
            <w:r>
              <w:rPr>
                <w:rFonts w:hint="eastAsia" w:ascii="宋体" w:hAnsi="宋体" w:cs="宋体"/>
                <w:color w:val="000000" w:themeColor="text1"/>
                <w:sz w:val="24"/>
                <w:szCs w:val="24"/>
                <w:u w:val="none"/>
                <w:lang w:val="en-US" w:eastAsia="zh-CN"/>
                <w14:textFill>
                  <w14:solidFill>
                    <w14:schemeClr w14:val="tx1"/>
                  </w14:solidFill>
                </w14:textFill>
              </w:rPr>
              <w:t>（厂区二），</w:t>
            </w:r>
            <w:r>
              <w:rPr>
                <w:rFonts w:hint="eastAsia" w:ascii="Times New Roman" w:hAnsi="Times New Roman" w:eastAsia="宋体" w:cs="Times New Roman"/>
                <w:b w:val="0"/>
                <w:bCs w:val="0"/>
                <w:color w:val="auto"/>
                <w:sz w:val="24"/>
                <w:szCs w:val="24"/>
                <w:highlight w:val="none"/>
                <w:lang w:val="en-US" w:eastAsia="zh-CN"/>
              </w:rPr>
              <w:t>现有工程环保手续履行情况见下表</w:t>
            </w:r>
            <w:r>
              <w:rPr>
                <w:rFonts w:hint="eastAsia" w:cs="Times New Roman"/>
                <w:b w:val="0"/>
                <w:bCs w:val="0"/>
                <w:color w:val="auto"/>
                <w:sz w:val="24"/>
                <w:szCs w:val="24"/>
                <w:highlight w:val="none"/>
                <w:lang w:val="en-US" w:eastAsia="zh-CN"/>
              </w:rPr>
              <w:t>：</w:t>
            </w:r>
          </w:p>
          <w:p w14:paraId="6473C206">
            <w:pPr>
              <w:pStyle w:val="31"/>
              <w:snapToGrid w:val="0"/>
              <w:spacing w:line="360" w:lineRule="auto"/>
              <w:jc w:val="center"/>
              <w:rPr>
                <w:b/>
                <w:bCs/>
                <w:color w:val="auto"/>
              </w:rPr>
            </w:pPr>
            <w:r>
              <w:rPr>
                <w:b/>
                <w:bCs/>
                <w:color w:val="auto"/>
              </w:rPr>
              <w:t>表</w:t>
            </w:r>
            <w:r>
              <w:rPr>
                <w:rFonts w:hint="eastAsia"/>
                <w:b/>
                <w:bCs/>
                <w:color w:val="auto"/>
              </w:rPr>
              <w:t>2.</w:t>
            </w:r>
            <w:r>
              <w:rPr>
                <w:rFonts w:hint="eastAsia"/>
                <w:b/>
                <w:bCs/>
                <w:color w:val="auto"/>
                <w:lang w:val="en-US" w:eastAsia="zh-CN"/>
              </w:rPr>
              <w:t>8</w:t>
            </w:r>
            <w:r>
              <w:rPr>
                <w:rFonts w:hint="eastAsia"/>
                <w:b/>
                <w:bCs/>
                <w:color w:val="auto"/>
              </w:rPr>
              <w:t xml:space="preserve"> </w:t>
            </w:r>
            <w:r>
              <w:rPr>
                <w:b/>
                <w:bCs/>
                <w:color w:val="auto"/>
              </w:rPr>
              <w:t>现有项目环评及验收情况</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1016"/>
              <w:gridCol w:w="1549"/>
              <w:gridCol w:w="2560"/>
              <w:gridCol w:w="2866"/>
            </w:tblGrid>
            <w:tr w14:paraId="032F8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tcBorders>
                    <w:tl2br w:val="nil"/>
                    <w:tr2bl w:val="nil"/>
                  </w:tcBorders>
                  <w:vAlign w:val="center"/>
                </w:tcPr>
                <w:p w14:paraId="67AE3069">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color w:val="auto"/>
                      <w:sz w:val="21"/>
                      <w:szCs w:val="21"/>
                      <w:highlight w:val="none"/>
                    </w:rPr>
                    <w:t>序号</w:t>
                  </w:r>
                </w:p>
              </w:tc>
              <w:tc>
                <w:tcPr>
                  <w:tcW w:w="602" w:type="pct"/>
                  <w:tcBorders>
                    <w:tl2br w:val="nil"/>
                    <w:tr2bl w:val="nil"/>
                  </w:tcBorders>
                  <w:vAlign w:val="center"/>
                </w:tcPr>
                <w:p w14:paraId="0BF5AEED">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color w:val="auto"/>
                      <w:sz w:val="21"/>
                      <w:szCs w:val="21"/>
                      <w:highlight w:val="none"/>
                    </w:rPr>
                    <w:t>项目名称</w:t>
                  </w:r>
                </w:p>
              </w:tc>
              <w:tc>
                <w:tcPr>
                  <w:tcW w:w="917" w:type="pct"/>
                  <w:tcBorders>
                    <w:tl2br w:val="nil"/>
                    <w:tr2bl w:val="nil"/>
                  </w:tcBorders>
                  <w:vAlign w:val="center"/>
                </w:tcPr>
                <w:p w14:paraId="05993B8D">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color w:val="auto"/>
                      <w:sz w:val="21"/>
                      <w:szCs w:val="21"/>
                      <w:highlight w:val="none"/>
                    </w:rPr>
                    <w:t>环评批复</w:t>
                  </w:r>
                </w:p>
              </w:tc>
              <w:tc>
                <w:tcPr>
                  <w:tcW w:w="1514" w:type="pct"/>
                  <w:tcBorders>
                    <w:tl2br w:val="nil"/>
                    <w:tr2bl w:val="nil"/>
                  </w:tcBorders>
                  <w:vAlign w:val="center"/>
                </w:tcPr>
                <w:p w14:paraId="1C6D0A9A">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rFonts w:hint="eastAsia"/>
                      <w:color w:val="auto"/>
                      <w:sz w:val="21"/>
                      <w:szCs w:val="21"/>
                      <w:highlight w:val="none"/>
                      <w:lang w:eastAsia="zh-CN"/>
                    </w:rPr>
                  </w:pPr>
                  <w:r>
                    <w:rPr>
                      <w:rFonts w:hint="eastAsia"/>
                      <w:color w:val="auto"/>
                      <w:sz w:val="21"/>
                      <w:szCs w:val="21"/>
                      <w:highlight w:val="none"/>
                      <w:lang w:eastAsia="zh-CN"/>
                    </w:rPr>
                    <w:t>阶段验收意见</w:t>
                  </w:r>
                </w:p>
                <w:p w14:paraId="48BDF72E">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rFonts w:hint="eastAsia"/>
                      <w:color w:val="auto"/>
                      <w:sz w:val="21"/>
                      <w:szCs w:val="21"/>
                      <w:highlight w:val="none"/>
                      <w:lang w:eastAsia="zh-CN"/>
                    </w:rPr>
                    <w:t>或备案</w:t>
                  </w:r>
                </w:p>
              </w:tc>
              <w:tc>
                <w:tcPr>
                  <w:tcW w:w="1690" w:type="pct"/>
                  <w:tcBorders>
                    <w:tl2br w:val="nil"/>
                    <w:tr2bl w:val="nil"/>
                  </w:tcBorders>
                  <w:vAlign w:val="center"/>
                </w:tcPr>
                <w:p w14:paraId="3F4E08EC">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排污许可手续</w:t>
                  </w:r>
                </w:p>
              </w:tc>
            </w:tr>
            <w:tr w14:paraId="291E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tcBorders>
                    <w:tl2br w:val="nil"/>
                    <w:tr2bl w:val="nil"/>
                  </w:tcBorders>
                  <w:vAlign w:val="center"/>
                </w:tcPr>
                <w:p w14:paraId="2B04DE4D">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color w:val="auto"/>
                      <w:sz w:val="21"/>
                      <w:szCs w:val="21"/>
                      <w:highlight w:val="none"/>
                    </w:rPr>
                    <w:t>1</w:t>
                  </w:r>
                </w:p>
              </w:tc>
              <w:tc>
                <w:tcPr>
                  <w:tcW w:w="602" w:type="pct"/>
                  <w:tcBorders>
                    <w:tl2br w:val="nil"/>
                    <w:tr2bl w:val="nil"/>
                  </w:tcBorders>
                  <w:vAlign w:val="center"/>
                </w:tcPr>
                <w:p w14:paraId="22DFBB0C">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rFonts w:hint="eastAsia"/>
                      <w:color w:val="auto"/>
                      <w:sz w:val="21"/>
                      <w:szCs w:val="21"/>
                      <w:highlight w:val="none"/>
                    </w:rPr>
                    <w:t>《安徽淮宿建材有限公司</w:t>
                  </w:r>
                  <w:r>
                    <w:rPr>
                      <w:rFonts w:hint="eastAsia"/>
                      <w:color w:val="auto"/>
                      <w:sz w:val="21"/>
                      <w:szCs w:val="21"/>
                      <w:highlight w:val="none"/>
                      <w:lang w:eastAsia="zh-CN"/>
                    </w:rPr>
                    <w:t>年产</w:t>
                  </w:r>
                  <w:r>
                    <w:rPr>
                      <w:rFonts w:hint="eastAsia"/>
                      <w:color w:val="auto"/>
                      <w:sz w:val="21"/>
                      <w:szCs w:val="21"/>
                      <w:highlight w:val="none"/>
                      <w:lang w:val="en-US" w:eastAsia="zh-CN"/>
                    </w:rPr>
                    <w:t>1万吨木塑型材及深加工项目</w:t>
                  </w:r>
                  <w:r>
                    <w:rPr>
                      <w:rFonts w:hint="eastAsia"/>
                      <w:color w:val="auto"/>
                      <w:sz w:val="21"/>
                      <w:szCs w:val="21"/>
                      <w:highlight w:val="none"/>
                    </w:rPr>
                    <w:t>》</w:t>
                  </w:r>
                </w:p>
              </w:tc>
              <w:tc>
                <w:tcPr>
                  <w:tcW w:w="917" w:type="pct"/>
                  <w:tcBorders>
                    <w:tl2br w:val="nil"/>
                    <w:tr2bl w:val="nil"/>
                  </w:tcBorders>
                  <w:vAlign w:val="center"/>
                </w:tcPr>
                <w:p w14:paraId="15FB7146">
                  <w:pPr>
                    <w:pStyle w:val="31"/>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240" w:lineRule="auto"/>
                    <w:ind w:left="0" w:right="0" w:firstLine="0" w:firstLineChars="0"/>
                    <w:jc w:val="center"/>
                    <w:textAlignment w:val="auto"/>
                    <w:rPr>
                      <w:rFonts w:hint="eastAsia"/>
                      <w:color w:val="auto"/>
                      <w:sz w:val="21"/>
                      <w:szCs w:val="21"/>
                      <w:highlight w:val="none"/>
                    </w:rPr>
                  </w:pPr>
                  <w:r>
                    <w:rPr>
                      <w:rFonts w:hint="eastAsia"/>
                      <w:color w:val="auto"/>
                      <w:sz w:val="21"/>
                      <w:szCs w:val="21"/>
                      <w:highlight w:val="none"/>
                    </w:rPr>
                    <w:t>《关于安徽淮宿建材有限公司年产1万吨木塑</w:t>
                  </w:r>
                </w:p>
                <w:p w14:paraId="6943FC3D">
                  <w:pPr>
                    <w:pStyle w:val="31"/>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240" w:lineRule="auto"/>
                    <w:ind w:left="0" w:right="0" w:firstLine="0" w:firstLineChars="0"/>
                    <w:jc w:val="center"/>
                    <w:textAlignment w:val="auto"/>
                    <w:rPr>
                      <w:color w:val="auto"/>
                      <w:sz w:val="21"/>
                      <w:szCs w:val="21"/>
                      <w:highlight w:val="none"/>
                    </w:rPr>
                  </w:pPr>
                  <w:r>
                    <w:rPr>
                      <w:rFonts w:hint="eastAsia"/>
                      <w:color w:val="auto"/>
                      <w:sz w:val="21"/>
                      <w:szCs w:val="21"/>
                      <w:highlight w:val="none"/>
                    </w:rPr>
                    <w:t>型材及深加工项目环境影响报告表的批复》（</w:t>
                  </w:r>
                  <w:r>
                    <w:rPr>
                      <w:rFonts w:hint="eastAsia" w:cs="Times New Roman"/>
                      <w:color w:val="auto"/>
                      <w:kern w:val="2"/>
                      <w:sz w:val="21"/>
                      <w:szCs w:val="21"/>
                      <w:lang w:val="en-US" w:eastAsia="zh-CN" w:bidi="ar-SA"/>
                    </w:rPr>
                    <w:t>埇环建字</w:t>
                  </w:r>
                  <w:r>
                    <w:rPr>
                      <w:rFonts w:hint="eastAsia" w:ascii="Times New Roman" w:hAnsi="Times New Roman" w:eastAsia="宋体" w:cs="Times New Roman"/>
                      <w:color w:val="auto"/>
                      <w:kern w:val="2"/>
                      <w:sz w:val="21"/>
                      <w:szCs w:val="21"/>
                      <w:lang w:val="en-US" w:eastAsia="zh-CN" w:bidi="ar-SA"/>
                    </w:rPr>
                    <w:t>【201</w:t>
                  </w:r>
                  <w:r>
                    <w:rPr>
                      <w:rFonts w:hint="eastAsia" w:cs="Times New Roman"/>
                      <w:color w:val="auto"/>
                      <w:kern w:val="2"/>
                      <w:sz w:val="21"/>
                      <w:szCs w:val="21"/>
                      <w:lang w:val="en-US" w:eastAsia="zh-CN" w:bidi="ar-SA"/>
                    </w:rPr>
                    <w:t>5</w:t>
                  </w:r>
                  <w:r>
                    <w:rPr>
                      <w:rFonts w:hint="eastAsia" w:ascii="Times New Roman" w:hAnsi="Times New Roman" w:eastAsia="宋体" w:cs="Times New Roman"/>
                      <w:color w:val="auto"/>
                      <w:kern w:val="2"/>
                      <w:sz w:val="21"/>
                      <w:szCs w:val="21"/>
                      <w:lang w:val="en-US" w:eastAsia="zh-CN" w:bidi="ar-SA"/>
                    </w:rPr>
                    <w:t>】</w:t>
                  </w:r>
                  <w:r>
                    <w:rPr>
                      <w:rFonts w:hint="eastAsia" w:cs="Times New Roman"/>
                      <w:color w:val="auto"/>
                      <w:kern w:val="2"/>
                      <w:sz w:val="21"/>
                      <w:szCs w:val="21"/>
                      <w:lang w:val="en-US" w:eastAsia="zh-CN" w:bidi="ar-SA"/>
                    </w:rPr>
                    <w:t>10</w:t>
                  </w:r>
                  <w:r>
                    <w:rPr>
                      <w:rFonts w:hint="eastAsia" w:ascii="Times New Roman" w:hAnsi="Times New Roman" w:eastAsia="宋体" w:cs="Times New Roman"/>
                      <w:color w:val="auto"/>
                      <w:kern w:val="2"/>
                      <w:sz w:val="21"/>
                      <w:szCs w:val="21"/>
                      <w:lang w:val="en-US" w:eastAsia="zh-CN" w:bidi="ar-SA"/>
                    </w:rPr>
                    <w:t>号）</w:t>
                  </w:r>
                </w:p>
              </w:tc>
              <w:tc>
                <w:tcPr>
                  <w:tcW w:w="1514" w:type="pct"/>
                  <w:tcBorders>
                    <w:tl2br w:val="nil"/>
                    <w:tr2bl w:val="nil"/>
                  </w:tcBorders>
                  <w:vAlign w:val="center"/>
                </w:tcPr>
                <w:p w14:paraId="2ACD67A1">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color w:val="auto"/>
                      <w:sz w:val="21"/>
                      <w:szCs w:val="21"/>
                      <w:highlight w:val="none"/>
                    </w:rPr>
                    <w:t>《</w:t>
                  </w:r>
                  <w:r>
                    <w:rPr>
                      <w:rFonts w:hint="eastAsia" w:ascii="Times New Roman" w:hAnsi="Times New Roman" w:eastAsia="宋体" w:cs="Times New Roman"/>
                      <w:color w:val="auto"/>
                      <w:kern w:val="2"/>
                      <w:sz w:val="21"/>
                      <w:szCs w:val="21"/>
                      <w:lang w:val="en-US" w:eastAsia="zh-CN" w:bidi="ar-SA"/>
                    </w:rPr>
                    <w:t>关于安徽淮宿建材有限公司年产1万吨木塑</w:t>
                  </w:r>
                </w:p>
                <w:p w14:paraId="406FBB69">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rFonts w:hint="eastAsia" w:ascii="Times New Roman" w:hAnsi="Times New Roman" w:eastAsia="宋体" w:cs="Times New Roman"/>
                      <w:color w:val="auto"/>
                      <w:kern w:val="2"/>
                      <w:sz w:val="21"/>
                      <w:szCs w:val="21"/>
                      <w:lang w:val="en-US" w:eastAsia="zh-CN" w:bidi="ar-SA"/>
                    </w:rPr>
                    <w:t>型材及深加工项目竣工环保验收意见</w:t>
                  </w:r>
                  <w:r>
                    <w:rPr>
                      <w:color w:val="auto"/>
                      <w:sz w:val="21"/>
                      <w:szCs w:val="21"/>
                      <w:highlight w:val="none"/>
                    </w:rPr>
                    <w:t>》</w:t>
                  </w:r>
                  <w:r>
                    <w:rPr>
                      <w:rFonts w:hint="eastAsia"/>
                      <w:color w:val="auto"/>
                      <w:sz w:val="21"/>
                      <w:szCs w:val="21"/>
                      <w:highlight w:val="none"/>
                    </w:rPr>
                    <w:t>（</w:t>
                  </w:r>
                  <w:r>
                    <w:rPr>
                      <w:rFonts w:hint="eastAsia" w:cs="Times New Roman"/>
                      <w:color w:val="auto"/>
                      <w:kern w:val="2"/>
                      <w:sz w:val="21"/>
                      <w:szCs w:val="21"/>
                      <w:lang w:val="en-US" w:eastAsia="zh-CN" w:bidi="ar-SA"/>
                    </w:rPr>
                    <w:t>埇环验字</w:t>
                  </w:r>
                  <w:r>
                    <w:rPr>
                      <w:rFonts w:hint="eastAsia" w:ascii="Times New Roman" w:hAnsi="Times New Roman" w:eastAsia="宋体" w:cs="Times New Roman"/>
                      <w:color w:val="auto"/>
                      <w:kern w:val="2"/>
                      <w:sz w:val="21"/>
                      <w:szCs w:val="21"/>
                      <w:lang w:val="en-US" w:eastAsia="zh-CN" w:bidi="ar-SA"/>
                    </w:rPr>
                    <w:t>【201</w:t>
                  </w:r>
                  <w:r>
                    <w:rPr>
                      <w:rFonts w:hint="eastAsia" w:cs="Times New Roman"/>
                      <w:color w:val="auto"/>
                      <w:kern w:val="2"/>
                      <w:sz w:val="21"/>
                      <w:szCs w:val="21"/>
                      <w:lang w:val="en-US" w:eastAsia="zh-CN" w:bidi="ar-SA"/>
                    </w:rPr>
                    <w:t>7</w:t>
                  </w:r>
                  <w:r>
                    <w:rPr>
                      <w:rFonts w:hint="eastAsia" w:ascii="Times New Roman" w:hAnsi="Times New Roman" w:eastAsia="宋体" w:cs="Times New Roman"/>
                      <w:color w:val="auto"/>
                      <w:kern w:val="2"/>
                      <w:sz w:val="21"/>
                      <w:szCs w:val="21"/>
                      <w:lang w:val="en-US" w:eastAsia="zh-CN" w:bidi="ar-SA"/>
                    </w:rPr>
                    <w:t>】</w:t>
                  </w:r>
                  <w:r>
                    <w:rPr>
                      <w:rFonts w:hint="eastAsia" w:cs="Times New Roman"/>
                      <w:color w:val="auto"/>
                      <w:kern w:val="2"/>
                      <w:sz w:val="21"/>
                      <w:szCs w:val="21"/>
                      <w:lang w:val="en-US" w:eastAsia="zh-CN" w:bidi="ar-SA"/>
                    </w:rPr>
                    <w:t>11</w:t>
                  </w:r>
                  <w:r>
                    <w:rPr>
                      <w:rFonts w:hint="eastAsia" w:ascii="Times New Roman" w:hAnsi="Times New Roman" w:eastAsia="宋体" w:cs="Times New Roman"/>
                      <w:color w:val="auto"/>
                      <w:kern w:val="2"/>
                      <w:sz w:val="21"/>
                      <w:szCs w:val="21"/>
                      <w:lang w:val="en-US" w:eastAsia="zh-CN" w:bidi="ar-SA"/>
                    </w:rPr>
                    <w:t>号）</w:t>
                  </w:r>
                </w:p>
              </w:tc>
              <w:tc>
                <w:tcPr>
                  <w:tcW w:w="1690" w:type="pct"/>
                  <w:vMerge w:val="restart"/>
                  <w:tcBorders>
                    <w:tl2br w:val="nil"/>
                    <w:tr2bl w:val="nil"/>
                  </w:tcBorders>
                  <w:vAlign w:val="center"/>
                </w:tcPr>
                <w:p w14:paraId="047F603B">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color w:val="auto"/>
                      <w:sz w:val="21"/>
                      <w:szCs w:val="21"/>
                      <w:highlight w:val="none"/>
                    </w:rPr>
                    <w:t>排污许可证</w:t>
                  </w:r>
                </w:p>
                <w:p w14:paraId="19D5065F">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rFonts w:hint="eastAsia" w:eastAsia="宋体"/>
                      <w:color w:val="000000" w:themeColor="text1"/>
                      <w:sz w:val="21"/>
                      <w:szCs w:val="21"/>
                      <w:highlight w:val="none"/>
                      <w:lang w:eastAsia="zh-CN"/>
                      <w14:textFill>
                        <w14:solidFill>
                          <w14:schemeClr w14:val="tx1"/>
                        </w14:solidFill>
                      </w14:textFill>
                    </w:rPr>
                  </w:pPr>
                  <w:r>
                    <w:rPr>
                      <w:color w:val="auto"/>
                      <w:sz w:val="21"/>
                      <w:szCs w:val="21"/>
                      <w:highlight w:val="none"/>
                    </w:rPr>
                    <w:t>（证书编号：</w:t>
                  </w:r>
                  <w:r>
                    <w:rPr>
                      <w:rFonts w:hint="eastAsia"/>
                      <w:color w:val="auto"/>
                      <w:sz w:val="21"/>
                      <w:szCs w:val="21"/>
                      <w:highlight w:val="none"/>
                    </w:rPr>
                    <w:t>91341302066516894M001X</w:t>
                  </w:r>
                  <w:r>
                    <w:rPr>
                      <w:color w:val="auto"/>
                      <w:sz w:val="21"/>
                      <w:szCs w:val="21"/>
                      <w:highlight w:val="none"/>
                    </w:rPr>
                    <w:t>）</w:t>
                  </w:r>
                </w:p>
              </w:tc>
            </w:tr>
            <w:tr w14:paraId="6CF1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273" w:type="pct"/>
                  <w:vMerge w:val="restart"/>
                  <w:tcBorders>
                    <w:tl2br w:val="nil"/>
                    <w:tr2bl w:val="nil"/>
                  </w:tcBorders>
                  <w:vAlign w:val="center"/>
                </w:tcPr>
                <w:p w14:paraId="45068FD2">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rFonts w:hint="eastAsia" w:eastAsia="宋体"/>
                      <w:color w:val="auto"/>
                      <w:sz w:val="21"/>
                      <w:szCs w:val="21"/>
                      <w:highlight w:val="none"/>
                      <w:lang w:val="en-US" w:eastAsia="zh-CN"/>
                    </w:rPr>
                  </w:pPr>
                  <w:r>
                    <w:rPr>
                      <w:rFonts w:hint="eastAsia"/>
                      <w:color w:val="auto"/>
                      <w:sz w:val="21"/>
                      <w:szCs w:val="21"/>
                      <w:highlight w:val="none"/>
                      <w:lang w:val="en-US" w:eastAsia="zh-CN"/>
                    </w:rPr>
                    <w:t>2</w:t>
                  </w:r>
                </w:p>
              </w:tc>
              <w:tc>
                <w:tcPr>
                  <w:tcW w:w="602" w:type="pct"/>
                  <w:vMerge w:val="restart"/>
                  <w:tcBorders>
                    <w:tl2br w:val="nil"/>
                    <w:tr2bl w:val="nil"/>
                  </w:tcBorders>
                  <w:vAlign w:val="center"/>
                </w:tcPr>
                <w:p w14:paraId="434FD5EF">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rFonts w:hint="eastAsia"/>
                      <w:color w:val="auto"/>
                      <w:sz w:val="21"/>
                      <w:szCs w:val="21"/>
                      <w:highlight w:val="none"/>
                    </w:rPr>
                  </w:pPr>
                  <w:r>
                    <w:rPr>
                      <w:rFonts w:hint="eastAsia"/>
                      <w:color w:val="auto"/>
                      <w:sz w:val="21"/>
                      <w:szCs w:val="21"/>
                      <w:highlight w:val="none"/>
                    </w:rPr>
                    <w:t>《安徽淮宿建材有限公司年产3万吨节能</w:t>
                  </w:r>
                </w:p>
                <w:p w14:paraId="0A70C878">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rFonts w:hint="eastAsia"/>
                      <w:color w:val="auto"/>
                      <w:sz w:val="21"/>
                      <w:szCs w:val="21"/>
                      <w:highlight w:val="none"/>
                    </w:rPr>
                  </w:pPr>
                  <w:r>
                    <w:rPr>
                      <w:rFonts w:hint="eastAsia"/>
                      <w:color w:val="auto"/>
                      <w:sz w:val="21"/>
                      <w:szCs w:val="21"/>
                      <w:highlight w:val="none"/>
                    </w:rPr>
                    <w:t>环保木塑型材及深加工扩建项目》</w:t>
                  </w:r>
                </w:p>
              </w:tc>
              <w:tc>
                <w:tcPr>
                  <w:tcW w:w="917" w:type="pct"/>
                  <w:vMerge w:val="restart"/>
                  <w:tcBorders>
                    <w:tl2br w:val="nil"/>
                    <w:tr2bl w:val="nil"/>
                  </w:tcBorders>
                  <w:vAlign w:val="center"/>
                </w:tcPr>
                <w:p w14:paraId="2EDC68D2">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rFonts w:hint="eastAsia"/>
                      <w:color w:val="000000" w:themeColor="text1"/>
                      <w:sz w:val="21"/>
                      <w:szCs w:val="21"/>
                      <w:highlight w:val="none"/>
                      <w14:textFill>
                        <w14:solidFill>
                          <w14:schemeClr w14:val="tx1"/>
                        </w14:solidFill>
                      </w14:textFill>
                    </w:rPr>
                  </w:pPr>
                  <w:r>
                    <w:rPr>
                      <w:rFonts w:hint="eastAsia"/>
                      <w:color w:val="auto"/>
                      <w:sz w:val="21"/>
                      <w:szCs w:val="21"/>
                      <w:highlight w:val="none"/>
                    </w:rPr>
                    <w:t>《</w:t>
                  </w:r>
                  <w:r>
                    <w:rPr>
                      <w:rFonts w:hint="eastAsia"/>
                      <w:color w:val="000000" w:themeColor="text1"/>
                      <w:sz w:val="21"/>
                      <w:szCs w:val="21"/>
                      <w:highlight w:val="none"/>
                      <w14:textFill>
                        <w14:solidFill>
                          <w14:schemeClr w14:val="tx1"/>
                        </w14:solidFill>
                      </w14:textFill>
                    </w:rPr>
                    <w:t>关于安徽淮宿建材有限公司年产3万吨节能</w:t>
                  </w:r>
                </w:p>
                <w:p w14:paraId="563637AF">
                  <w:pPr>
                    <w:pStyle w:val="31"/>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240" w:lineRule="auto"/>
                    <w:ind w:left="0" w:right="0" w:firstLine="0" w:firstLineChars="0"/>
                    <w:jc w:val="center"/>
                    <w:textAlignment w:val="auto"/>
                    <w:rPr>
                      <w:rFonts w:hint="eastAsia"/>
                      <w:color w:val="auto"/>
                      <w:sz w:val="21"/>
                      <w:szCs w:val="21"/>
                      <w:highlight w:val="none"/>
                    </w:rPr>
                  </w:pPr>
                  <w:r>
                    <w:rPr>
                      <w:rFonts w:hint="eastAsia"/>
                      <w:color w:val="000000" w:themeColor="text1"/>
                      <w:sz w:val="21"/>
                      <w:szCs w:val="21"/>
                      <w:highlight w:val="none"/>
                      <w14:textFill>
                        <w14:solidFill>
                          <w14:schemeClr w14:val="tx1"/>
                        </w14:solidFill>
                      </w14:textFill>
                    </w:rPr>
                    <w:t>环保木塑型材及深加工扩建项目</w:t>
                  </w:r>
                  <w:r>
                    <w:rPr>
                      <w:rFonts w:hint="eastAsia"/>
                      <w:color w:val="auto"/>
                      <w:sz w:val="21"/>
                      <w:szCs w:val="21"/>
                      <w:highlight w:val="none"/>
                    </w:rPr>
                    <w:t>环境影响报告表的批复》（</w:t>
                  </w:r>
                  <w:r>
                    <w:rPr>
                      <w:rFonts w:hint="eastAsia" w:cs="Times New Roman"/>
                      <w:color w:val="auto"/>
                      <w:kern w:val="2"/>
                      <w:sz w:val="21"/>
                      <w:szCs w:val="21"/>
                      <w:lang w:val="en-US" w:eastAsia="zh-CN" w:bidi="ar-SA"/>
                    </w:rPr>
                    <w:t>埇环建字</w:t>
                  </w:r>
                  <w:r>
                    <w:rPr>
                      <w:rFonts w:hint="eastAsia" w:ascii="Times New Roman" w:hAnsi="Times New Roman" w:eastAsia="宋体" w:cs="Times New Roman"/>
                      <w:color w:val="auto"/>
                      <w:kern w:val="2"/>
                      <w:sz w:val="21"/>
                      <w:szCs w:val="21"/>
                      <w:lang w:val="en-US" w:eastAsia="zh-CN" w:bidi="ar-SA"/>
                    </w:rPr>
                    <w:t>【20</w:t>
                  </w:r>
                  <w:r>
                    <w:rPr>
                      <w:rFonts w:hint="eastAsia" w:eastAsia="宋体" w:cs="Times New Roman"/>
                      <w:color w:val="auto"/>
                      <w:kern w:val="2"/>
                      <w:sz w:val="21"/>
                      <w:szCs w:val="21"/>
                      <w:lang w:val="en-US" w:eastAsia="zh-CN" w:bidi="ar-SA"/>
                    </w:rPr>
                    <w:t>23</w:t>
                  </w:r>
                  <w:r>
                    <w:rPr>
                      <w:rFonts w:hint="eastAsia" w:ascii="Times New Roman" w:hAnsi="Times New Roman" w:eastAsia="宋体" w:cs="Times New Roman"/>
                      <w:color w:val="auto"/>
                      <w:kern w:val="2"/>
                      <w:sz w:val="21"/>
                      <w:szCs w:val="21"/>
                      <w:lang w:val="en-US" w:eastAsia="zh-CN" w:bidi="ar-SA"/>
                    </w:rPr>
                    <w:t>】</w:t>
                  </w:r>
                  <w:r>
                    <w:rPr>
                      <w:rFonts w:hint="eastAsia" w:eastAsia="宋体" w:cs="Times New Roman"/>
                      <w:color w:val="auto"/>
                      <w:kern w:val="2"/>
                      <w:sz w:val="21"/>
                      <w:szCs w:val="21"/>
                      <w:lang w:val="en-US" w:eastAsia="zh-CN" w:bidi="ar-SA"/>
                    </w:rPr>
                    <w:t>57</w:t>
                  </w:r>
                  <w:r>
                    <w:rPr>
                      <w:rFonts w:hint="eastAsia" w:ascii="Times New Roman" w:hAnsi="Times New Roman" w:eastAsia="宋体" w:cs="Times New Roman"/>
                      <w:color w:val="auto"/>
                      <w:kern w:val="2"/>
                      <w:sz w:val="21"/>
                      <w:szCs w:val="21"/>
                      <w:lang w:val="en-US" w:eastAsia="zh-CN" w:bidi="ar-SA"/>
                    </w:rPr>
                    <w:t>号）</w:t>
                  </w:r>
                </w:p>
              </w:tc>
              <w:tc>
                <w:tcPr>
                  <w:tcW w:w="1514" w:type="pct"/>
                  <w:tcBorders>
                    <w:tl2br w:val="nil"/>
                    <w:tr2bl w:val="nil"/>
                  </w:tcBorders>
                  <w:vAlign w:val="center"/>
                </w:tcPr>
                <w:p w14:paraId="5BD41BB0">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color w:val="auto"/>
                      <w:sz w:val="21"/>
                      <w:szCs w:val="21"/>
                      <w:highlight w:val="none"/>
                    </w:rPr>
                    <w:t>《</w:t>
                  </w:r>
                  <w:r>
                    <w:rPr>
                      <w:rFonts w:hint="eastAsia"/>
                      <w:color w:val="auto"/>
                      <w:sz w:val="21"/>
                      <w:szCs w:val="21"/>
                      <w:highlight w:val="none"/>
                    </w:rPr>
                    <w:t>安徽淮宿建材有限公司年产3万吨节能环保木塑型材及深加工扩建项目</w:t>
                  </w:r>
                  <w:r>
                    <w:rPr>
                      <w:rFonts w:hint="eastAsia"/>
                      <w:color w:val="auto"/>
                      <w:sz w:val="21"/>
                      <w:szCs w:val="21"/>
                      <w:highlight w:val="none"/>
                      <w:lang w:eastAsia="zh-CN"/>
                    </w:rPr>
                    <w:t>（</w:t>
                  </w:r>
                  <w:r>
                    <w:rPr>
                      <w:rFonts w:hint="eastAsia"/>
                      <w:color w:val="auto"/>
                      <w:sz w:val="21"/>
                      <w:szCs w:val="21"/>
                      <w:highlight w:val="none"/>
                    </w:rPr>
                    <w:t>阶段性</w:t>
                  </w:r>
                  <w:r>
                    <w:rPr>
                      <w:rFonts w:hint="eastAsia"/>
                      <w:color w:val="auto"/>
                      <w:sz w:val="21"/>
                      <w:szCs w:val="21"/>
                      <w:highlight w:val="none"/>
                      <w:lang w:eastAsia="zh-CN"/>
                    </w:rPr>
                    <w:t>）</w:t>
                  </w:r>
                  <w:r>
                    <w:rPr>
                      <w:rFonts w:hint="eastAsia" w:ascii="Times New Roman" w:hAnsi="Times New Roman" w:eastAsia="宋体" w:cs="Times New Roman"/>
                      <w:color w:val="auto"/>
                      <w:kern w:val="2"/>
                      <w:sz w:val="21"/>
                      <w:szCs w:val="21"/>
                      <w:lang w:val="en-US" w:eastAsia="zh-CN" w:bidi="ar-SA"/>
                    </w:rPr>
                    <w:t>竣工环境保护验收报告表</w:t>
                  </w:r>
                  <w:r>
                    <w:rPr>
                      <w:color w:val="auto"/>
                      <w:sz w:val="21"/>
                      <w:szCs w:val="21"/>
                      <w:highlight w:val="none"/>
                    </w:rPr>
                    <w:t>》</w:t>
                  </w:r>
                </w:p>
              </w:tc>
              <w:tc>
                <w:tcPr>
                  <w:tcW w:w="1690" w:type="pct"/>
                  <w:vMerge w:val="continue"/>
                  <w:tcBorders>
                    <w:tl2br w:val="nil"/>
                    <w:tr2bl w:val="nil"/>
                  </w:tcBorders>
                  <w:vAlign w:val="center"/>
                </w:tcPr>
                <w:p w14:paraId="22242458">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000000" w:themeColor="text1"/>
                      <w:sz w:val="21"/>
                      <w:szCs w:val="21"/>
                      <w:highlight w:val="none"/>
                      <w14:textFill>
                        <w14:solidFill>
                          <w14:schemeClr w14:val="tx1"/>
                        </w14:solidFill>
                      </w14:textFill>
                    </w:rPr>
                  </w:pPr>
                </w:p>
              </w:tc>
            </w:tr>
            <w:tr w14:paraId="5419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3" w:type="pct"/>
                  <w:vMerge w:val="continue"/>
                  <w:tcBorders>
                    <w:tl2br w:val="nil"/>
                    <w:tr2bl w:val="nil"/>
                  </w:tcBorders>
                  <w:vAlign w:val="center"/>
                </w:tcPr>
                <w:p w14:paraId="12DA5C98">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p>
              </w:tc>
              <w:tc>
                <w:tcPr>
                  <w:tcW w:w="602" w:type="pct"/>
                  <w:vMerge w:val="continue"/>
                  <w:tcBorders>
                    <w:tl2br w:val="nil"/>
                    <w:tr2bl w:val="nil"/>
                  </w:tcBorders>
                  <w:vAlign w:val="center"/>
                </w:tcPr>
                <w:p w14:paraId="1FBA8B47">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rFonts w:hint="eastAsia"/>
                      <w:color w:val="auto"/>
                      <w:sz w:val="21"/>
                      <w:szCs w:val="21"/>
                      <w:highlight w:val="none"/>
                    </w:rPr>
                  </w:pPr>
                </w:p>
              </w:tc>
              <w:tc>
                <w:tcPr>
                  <w:tcW w:w="917" w:type="pct"/>
                  <w:vMerge w:val="continue"/>
                  <w:tcBorders>
                    <w:tl2br w:val="nil"/>
                    <w:tr2bl w:val="nil"/>
                  </w:tcBorders>
                  <w:vAlign w:val="center"/>
                </w:tcPr>
                <w:p w14:paraId="6564C3B6">
                  <w:pPr>
                    <w:pStyle w:val="31"/>
                    <w:keepNext w:val="0"/>
                    <w:keepLines w:val="0"/>
                    <w:pageBreakBefore w:val="0"/>
                    <w:widowControl w:val="0"/>
                    <w:suppressLineNumbers w:val="0"/>
                    <w:kinsoku/>
                    <w:wordWrap/>
                    <w:overflowPunct/>
                    <w:topLinePunct w:val="0"/>
                    <w:autoSpaceDE w:val="0"/>
                    <w:autoSpaceDN w:val="0"/>
                    <w:bidi w:val="0"/>
                    <w:snapToGrid w:val="0"/>
                    <w:spacing w:before="0" w:beforeAutospacing="0" w:after="0" w:afterAutospacing="0" w:line="240" w:lineRule="auto"/>
                    <w:ind w:left="0" w:right="0" w:firstLine="0" w:firstLineChars="0"/>
                    <w:jc w:val="center"/>
                    <w:textAlignment w:val="auto"/>
                    <w:rPr>
                      <w:rFonts w:hint="eastAsia"/>
                      <w:color w:val="auto"/>
                      <w:sz w:val="21"/>
                      <w:szCs w:val="21"/>
                      <w:highlight w:val="none"/>
                    </w:rPr>
                  </w:pPr>
                </w:p>
              </w:tc>
              <w:tc>
                <w:tcPr>
                  <w:tcW w:w="1514" w:type="pct"/>
                  <w:tcBorders>
                    <w:tl2br w:val="nil"/>
                    <w:tr2bl w:val="nil"/>
                  </w:tcBorders>
                  <w:vAlign w:val="center"/>
                </w:tcPr>
                <w:p w14:paraId="78B1E69D">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auto"/>
                      <w:sz w:val="21"/>
                      <w:szCs w:val="21"/>
                      <w:highlight w:val="none"/>
                    </w:rPr>
                  </w:pPr>
                  <w:r>
                    <w:rPr>
                      <w:color w:val="auto"/>
                      <w:sz w:val="21"/>
                      <w:szCs w:val="21"/>
                      <w:highlight w:val="none"/>
                    </w:rPr>
                    <w:t>《</w:t>
                  </w:r>
                  <w:r>
                    <w:rPr>
                      <w:rFonts w:hint="eastAsia"/>
                      <w:color w:val="auto"/>
                      <w:sz w:val="21"/>
                      <w:szCs w:val="21"/>
                      <w:highlight w:val="none"/>
                    </w:rPr>
                    <w:t>安徽淮宿建材有限公司年产3万吨节能环保木塑型材及深加工扩建项目</w:t>
                  </w:r>
                  <w:r>
                    <w:rPr>
                      <w:rFonts w:hint="eastAsia" w:ascii="Times New Roman" w:hAnsi="Times New Roman" w:eastAsia="宋体" w:cs="Times New Roman"/>
                      <w:color w:val="auto"/>
                      <w:kern w:val="2"/>
                      <w:sz w:val="21"/>
                      <w:szCs w:val="21"/>
                      <w:lang w:val="en-US" w:eastAsia="zh-CN" w:bidi="ar-SA"/>
                    </w:rPr>
                    <w:t>竣工环境保护验收报告表</w:t>
                  </w:r>
                  <w:r>
                    <w:rPr>
                      <w:color w:val="auto"/>
                      <w:sz w:val="21"/>
                      <w:szCs w:val="21"/>
                      <w:highlight w:val="none"/>
                    </w:rPr>
                    <w:t>》</w:t>
                  </w:r>
                  <w:r>
                    <w:rPr>
                      <w:rFonts w:hint="eastAsia"/>
                      <w:color w:val="auto"/>
                      <w:sz w:val="21"/>
                      <w:szCs w:val="21"/>
                      <w:highlight w:val="none"/>
                      <w:lang w:eastAsia="zh-CN"/>
                    </w:rPr>
                    <w:t>（</w:t>
                  </w:r>
                  <w:r>
                    <w:rPr>
                      <w:rFonts w:hint="eastAsia"/>
                      <w:color w:val="auto"/>
                      <w:sz w:val="21"/>
                      <w:szCs w:val="21"/>
                      <w:highlight w:val="none"/>
                    </w:rPr>
                    <w:t>阶段性</w:t>
                  </w:r>
                  <w:r>
                    <w:rPr>
                      <w:rFonts w:hint="eastAsia"/>
                      <w:color w:val="auto"/>
                      <w:sz w:val="21"/>
                      <w:szCs w:val="21"/>
                      <w:highlight w:val="none"/>
                      <w:lang w:eastAsia="zh-CN"/>
                    </w:rPr>
                    <w:t>）</w:t>
                  </w:r>
                </w:p>
              </w:tc>
              <w:tc>
                <w:tcPr>
                  <w:tcW w:w="1690" w:type="pct"/>
                  <w:vMerge w:val="continue"/>
                  <w:tcBorders>
                    <w:tl2br w:val="nil"/>
                    <w:tr2bl w:val="nil"/>
                  </w:tcBorders>
                  <w:vAlign w:val="center"/>
                </w:tcPr>
                <w:p w14:paraId="6B4E0901">
                  <w:pPr>
                    <w:pStyle w:val="31"/>
                    <w:keepNext/>
                    <w:keepLines w:val="0"/>
                    <w:pageBreakBefore w:val="0"/>
                    <w:widowControl w:val="0"/>
                    <w:numPr>
                      <w:ilvl w:val="1"/>
                      <w:numId w:val="0"/>
                    </w:numPr>
                    <w:kinsoku/>
                    <w:wordWrap/>
                    <w:overflowPunct/>
                    <w:topLinePunct w:val="0"/>
                    <w:autoSpaceDE w:val="0"/>
                    <w:autoSpaceDN w:val="0"/>
                    <w:bidi w:val="0"/>
                    <w:adjustRightInd/>
                    <w:snapToGrid w:val="0"/>
                    <w:spacing w:line="240" w:lineRule="auto"/>
                    <w:ind w:leftChars="0" w:firstLine="0" w:firstLineChars="0"/>
                    <w:jc w:val="center"/>
                    <w:textAlignment w:val="auto"/>
                    <w:rPr>
                      <w:color w:val="000000" w:themeColor="text1"/>
                      <w:sz w:val="21"/>
                      <w:szCs w:val="21"/>
                      <w:highlight w:val="none"/>
                      <w14:textFill>
                        <w14:solidFill>
                          <w14:schemeClr w14:val="tx1"/>
                        </w14:solidFill>
                      </w14:textFill>
                    </w:rPr>
                  </w:pPr>
                </w:p>
              </w:tc>
            </w:tr>
          </w:tbl>
          <w:p w14:paraId="0D3002A5">
            <w:pPr>
              <w:adjustRightInd w:val="0"/>
              <w:snapToGrid w:val="0"/>
              <w:spacing w:before="120" w:beforeLines="50" w:line="360" w:lineRule="auto"/>
              <w:jc w:val="left"/>
              <w:rPr>
                <w:b/>
                <w:bCs/>
                <w:color w:val="auto"/>
                <w:sz w:val="24"/>
              </w:rPr>
            </w:pPr>
            <w:r>
              <w:rPr>
                <w:rFonts w:hint="eastAsia"/>
                <w:b/>
                <w:bCs/>
                <w:color w:val="auto"/>
                <w:sz w:val="24"/>
                <w:lang w:eastAsia="zh-CN"/>
              </w:rPr>
              <w:t>2.</w:t>
            </w:r>
            <w:r>
              <w:rPr>
                <w:rFonts w:hint="eastAsia"/>
                <w:b/>
                <w:bCs/>
                <w:color w:val="auto"/>
                <w:sz w:val="24"/>
              </w:rPr>
              <w:t>现有工程污染物实际排放总量</w:t>
            </w:r>
          </w:p>
          <w:p w14:paraId="5E1F296A">
            <w:pPr>
              <w:pStyle w:val="14"/>
              <w:spacing w:after="0" w:line="360" w:lineRule="auto"/>
              <w:ind w:left="0" w:leftChars="0" w:firstLine="480" w:firstLineChars="200"/>
              <w:jc w:val="left"/>
              <w:rPr>
                <w:b/>
                <w:bCs/>
                <w:color w:val="FF0000"/>
                <w:sz w:val="24"/>
                <w:szCs w:val="24"/>
              </w:rPr>
            </w:pPr>
            <w:r>
              <w:rPr>
                <w:b w:val="0"/>
                <w:bCs w:val="0"/>
                <w:color w:val="auto"/>
                <w:sz w:val="24"/>
                <w:szCs w:val="24"/>
              </w:rPr>
              <w:t>现有工程</w:t>
            </w:r>
            <w:r>
              <w:rPr>
                <w:rFonts w:hint="eastAsia"/>
                <w:b w:val="0"/>
                <w:bCs w:val="0"/>
                <w:color w:val="auto"/>
                <w:sz w:val="24"/>
                <w:szCs w:val="24"/>
                <w:lang w:eastAsia="zh-CN"/>
              </w:rPr>
              <w:t>废气</w:t>
            </w:r>
            <w:r>
              <w:rPr>
                <w:rFonts w:hint="eastAsia"/>
                <w:b w:val="0"/>
                <w:bCs w:val="0"/>
                <w:color w:val="auto"/>
                <w:sz w:val="24"/>
                <w:szCs w:val="24"/>
              </w:rPr>
              <w:t>污染物实际排放总量根据《安徽淮宿建材有限公司年产3万吨节能环保木塑型材及深加工扩建项目</w:t>
            </w:r>
            <w:r>
              <w:rPr>
                <w:rFonts w:hint="eastAsia"/>
                <w:b w:val="0"/>
                <w:bCs w:val="0"/>
                <w:color w:val="auto"/>
                <w:sz w:val="24"/>
                <w:szCs w:val="24"/>
                <w:lang w:eastAsia="zh-CN"/>
              </w:rPr>
              <w:t>（</w:t>
            </w:r>
            <w:r>
              <w:rPr>
                <w:rFonts w:hint="eastAsia"/>
                <w:b w:val="0"/>
                <w:bCs w:val="0"/>
                <w:color w:val="auto"/>
                <w:sz w:val="24"/>
                <w:szCs w:val="24"/>
              </w:rPr>
              <w:t>阶段性</w:t>
            </w:r>
            <w:r>
              <w:rPr>
                <w:rFonts w:hint="eastAsia"/>
                <w:b w:val="0"/>
                <w:bCs w:val="0"/>
                <w:color w:val="auto"/>
                <w:sz w:val="24"/>
                <w:szCs w:val="24"/>
                <w:lang w:eastAsia="zh-CN"/>
              </w:rPr>
              <w:t>）</w:t>
            </w:r>
            <w:r>
              <w:rPr>
                <w:rFonts w:hint="eastAsia"/>
                <w:b w:val="0"/>
                <w:bCs w:val="0"/>
                <w:color w:val="auto"/>
                <w:sz w:val="24"/>
                <w:szCs w:val="24"/>
              </w:rPr>
              <w:t>竣工环境保护验收监测报告表》</w:t>
            </w:r>
            <w:r>
              <w:rPr>
                <w:rFonts w:hint="eastAsia"/>
                <w:b w:val="0"/>
                <w:bCs w:val="0"/>
                <w:color w:val="auto"/>
                <w:sz w:val="24"/>
                <w:szCs w:val="24"/>
                <w:lang w:val="en-US" w:eastAsia="zh-CN"/>
              </w:rPr>
              <w:t>和《安徽淮宿建材有限公司年产3万吨节能环保木塑型材及深加工扩建项目竣工环境保护验收报告表》</w:t>
            </w:r>
            <w:r>
              <w:rPr>
                <w:rFonts w:hint="eastAsia"/>
                <w:b w:val="0"/>
                <w:bCs w:val="0"/>
                <w:color w:val="auto"/>
                <w:sz w:val="24"/>
                <w:szCs w:val="24"/>
                <w:lang w:eastAsia="zh-CN"/>
              </w:rPr>
              <w:t>验收检测</w:t>
            </w:r>
            <w:r>
              <w:rPr>
                <w:rFonts w:hint="eastAsia"/>
                <w:b w:val="0"/>
                <w:bCs w:val="0"/>
                <w:color w:val="auto"/>
                <w:sz w:val="24"/>
                <w:szCs w:val="24"/>
              </w:rPr>
              <w:t>中的检测结果进行核算。</w:t>
            </w:r>
            <w:r>
              <w:rPr>
                <w:rFonts w:hint="eastAsia" w:ascii="宋体" w:hAnsi="宋体" w:cs="宋体"/>
                <w:b w:val="0"/>
                <w:bCs w:val="0"/>
                <w:color w:val="auto"/>
                <w:sz w:val="24"/>
                <w:szCs w:val="24"/>
              </w:rPr>
              <w:t>检测</w:t>
            </w:r>
            <w:r>
              <w:rPr>
                <w:b w:val="0"/>
                <w:bCs w:val="0"/>
                <w:color w:val="auto"/>
                <w:sz w:val="24"/>
                <w:szCs w:val="24"/>
              </w:rPr>
              <w:t>结果如下：</w:t>
            </w:r>
          </w:p>
          <w:p w14:paraId="0E984DF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宋体"/>
                <w:b/>
                <w:bCs/>
                <w:color w:val="auto"/>
                <w:sz w:val="24"/>
                <w:szCs w:val="24"/>
                <w:vertAlign w:val="baseline"/>
                <w:lang w:eastAsia="zh-CN"/>
              </w:rPr>
            </w:pPr>
            <w:r>
              <w:rPr>
                <w:rFonts w:hint="eastAsia"/>
                <w:b/>
                <w:bCs/>
                <w:color w:val="auto"/>
                <w:sz w:val="24"/>
                <w:szCs w:val="24"/>
                <w:lang w:eastAsia="zh-CN"/>
              </w:rPr>
              <w:t>表</w:t>
            </w:r>
            <w:r>
              <w:rPr>
                <w:rFonts w:hint="eastAsia"/>
                <w:b/>
                <w:bCs/>
                <w:color w:val="auto"/>
                <w:sz w:val="24"/>
                <w:szCs w:val="24"/>
                <w:lang w:val="en-US" w:eastAsia="zh-CN"/>
              </w:rPr>
              <w:t>2.9  有组织废气排放情况一览表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9"/>
              <w:gridCol w:w="1407"/>
              <w:gridCol w:w="1407"/>
              <w:gridCol w:w="1407"/>
              <w:gridCol w:w="1409"/>
              <w:gridCol w:w="1412"/>
            </w:tblGrid>
            <w:tr w14:paraId="48297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Align w:val="center"/>
                </w:tcPr>
                <w:p w14:paraId="66F04A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检测位置</w:t>
                  </w:r>
                </w:p>
              </w:tc>
              <w:tc>
                <w:tcPr>
                  <w:tcW w:w="832" w:type="pct"/>
                  <w:vAlign w:val="center"/>
                </w:tcPr>
                <w:p w14:paraId="493E81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检测项目</w:t>
                  </w:r>
                </w:p>
              </w:tc>
              <w:tc>
                <w:tcPr>
                  <w:tcW w:w="832" w:type="pct"/>
                  <w:vAlign w:val="center"/>
                </w:tcPr>
                <w:p w14:paraId="3C0A1B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频次</w:t>
                  </w:r>
                </w:p>
              </w:tc>
              <w:tc>
                <w:tcPr>
                  <w:tcW w:w="832" w:type="pct"/>
                  <w:vAlign w:val="center"/>
                </w:tcPr>
                <w:p w14:paraId="23BBC6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排放浓度（</w:t>
                  </w:r>
                  <w:r>
                    <w:rPr>
                      <w:rFonts w:hint="eastAsia"/>
                      <w:b w:val="0"/>
                      <w:bCs w:val="0"/>
                      <w:color w:val="auto"/>
                      <w:sz w:val="21"/>
                      <w:szCs w:val="21"/>
                      <w:vertAlign w:val="baseline"/>
                      <w:lang w:val="en-US" w:eastAsia="zh-CN"/>
                    </w:rPr>
                    <w:t>mg/m</w:t>
                  </w:r>
                  <w:r>
                    <w:rPr>
                      <w:rFonts w:hint="eastAsia"/>
                      <w:b w:val="0"/>
                      <w:bCs w:val="0"/>
                      <w:color w:val="auto"/>
                      <w:sz w:val="21"/>
                      <w:szCs w:val="21"/>
                      <w:vertAlign w:val="superscript"/>
                      <w:lang w:val="en-US" w:eastAsia="zh-CN"/>
                    </w:rPr>
                    <w:t>3</w:t>
                  </w:r>
                  <w:r>
                    <w:rPr>
                      <w:rFonts w:hint="eastAsia"/>
                      <w:b w:val="0"/>
                      <w:bCs w:val="0"/>
                      <w:color w:val="auto"/>
                      <w:sz w:val="21"/>
                      <w:szCs w:val="21"/>
                      <w:vertAlign w:val="baseline"/>
                      <w:lang w:eastAsia="zh-CN"/>
                    </w:rPr>
                    <w:t>）</w:t>
                  </w:r>
                </w:p>
              </w:tc>
              <w:tc>
                <w:tcPr>
                  <w:tcW w:w="833" w:type="pct"/>
                  <w:vAlign w:val="center"/>
                </w:tcPr>
                <w:p w14:paraId="0FFDC0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标杆流量（</w:t>
                  </w:r>
                  <w:r>
                    <w:rPr>
                      <w:rFonts w:hint="eastAsia"/>
                      <w:b w:val="0"/>
                      <w:bCs w:val="0"/>
                      <w:color w:val="auto"/>
                      <w:sz w:val="21"/>
                      <w:szCs w:val="21"/>
                      <w:vertAlign w:val="baseline"/>
                      <w:lang w:val="en-US" w:eastAsia="zh-CN"/>
                    </w:rPr>
                    <w:t>m</w:t>
                  </w:r>
                  <w:r>
                    <w:rPr>
                      <w:rFonts w:hint="eastAsia"/>
                      <w:b w:val="0"/>
                      <w:bCs w:val="0"/>
                      <w:color w:val="auto"/>
                      <w:sz w:val="21"/>
                      <w:szCs w:val="21"/>
                      <w:vertAlign w:val="superscript"/>
                      <w:lang w:val="en-US" w:eastAsia="zh-CN"/>
                    </w:rPr>
                    <w:t>3</w:t>
                  </w:r>
                  <w:r>
                    <w:rPr>
                      <w:rFonts w:hint="eastAsia"/>
                      <w:b w:val="0"/>
                      <w:bCs w:val="0"/>
                      <w:color w:val="auto"/>
                      <w:sz w:val="21"/>
                      <w:szCs w:val="21"/>
                      <w:vertAlign w:val="baseline"/>
                      <w:lang w:val="en-US" w:eastAsia="zh-CN"/>
                    </w:rPr>
                    <w:t>/h</w:t>
                  </w:r>
                  <w:r>
                    <w:rPr>
                      <w:rFonts w:hint="eastAsia"/>
                      <w:b w:val="0"/>
                      <w:bCs w:val="0"/>
                      <w:color w:val="auto"/>
                      <w:sz w:val="21"/>
                      <w:szCs w:val="21"/>
                      <w:vertAlign w:val="baseline"/>
                      <w:lang w:eastAsia="zh-CN"/>
                    </w:rPr>
                    <w:t>）</w:t>
                  </w:r>
                </w:p>
              </w:tc>
              <w:tc>
                <w:tcPr>
                  <w:tcW w:w="834" w:type="pct"/>
                  <w:vAlign w:val="center"/>
                </w:tcPr>
                <w:p w14:paraId="63F7B98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排放速率（</w:t>
                  </w:r>
                  <w:r>
                    <w:rPr>
                      <w:rFonts w:hint="eastAsia"/>
                      <w:b w:val="0"/>
                      <w:bCs w:val="0"/>
                      <w:color w:val="auto"/>
                      <w:sz w:val="21"/>
                      <w:szCs w:val="21"/>
                      <w:vertAlign w:val="baseline"/>
                      <w:lang w:val="en-US" w:eastAsia="zh-CN"/>
                    </w:rPr>
                    <w:t>kg/h</w:t>
                  </w:r>
                  <w:r>
                    <w:rPr>
                      <w:rFonts w:hint="eastAsia"/>
                      <w:b w:val="0"/>
                      <w:bCs w:val="0"/>
                      <w:color w:val="auto"/>
                      <w:sz w:val="21"/>
                      <w:szCs w:val="21"/>
                      <w:vertAlign w:val="baseline"/>
                      <w:lang w:eastAsia="zh-CN"/>
                    </w:rPr>
                    <w:t>）</w:t>
                  </w:r>
                </w:p>
              </w:tc>
            </w:tr>
            <w:tr w14:paraId="23258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restart"/>
                  <w:vAlign w:val="center"/>
                </w:tcPr>
                <w:p w14:paraId="07A6C8B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后处理（砂</w:t>
                  </w:r>
                </w:p>
                <w:p w14:paraId="1D53F7B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光）、切割</w:t>
                  </w:r>
                </w:p>
                <w:p w14:paraId="7A79F46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粉尘DA001</w:t>
                  </w:r>
                </w:p>
                <w:p w14:paraId="6A9FBF5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出口</w:t>
                  </w:r>
                </w:p>
              </w:tc>
              <w:tc>
                <w:tcPr>
                  <w:tcW w:w="832" w:type="pct"/>
                  <w:vMerge w:val="restart"/>
                  <w:vAlign w:val="center"/>
                </w:tcPr>
                <w:p w14:paraId="1489ABD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颗粒物</w:t>
                  </w:r>
                </w:p>
              </w:tc>
              <w:tc>
                <w:tcPr>
                  <w:tcW w:w="832" w:type="pct"/>
                  <w:vAlign w:val="center"/>
                </w:tcPr>
                <w:p w14:paraId="73AB147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第一次</w:t>
                  </w:r>
                </w:p>
              </w:tc>
              <w:tc>
                <w:tcPr>
                  <w:tcW w:w="832" w:type="pct"/>
                  <w:vAlign w:val="center"/>
                </w:tcPr>
                <w:p w14:paraId="204A8BD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11.9</w:t>
                  </w:r>
                </w:p>
              </w:tc>
              <w:tc>
                <w:tcPr>
                  <w:tcW w:w="833" w:type="pct"/>
                  <w:vAlign w:val="center"/>
                </w:tcPr>
                <w:p w14:paraId="0DEC6F1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9836</w:t>
                  </w:r>
                </w:p>
              </w:tc>
              <w:tc>
                <w:tcPr>
                  <w:tcW w:w="834" w:type="pct"/>
                  <w:vAlign w:val="center"/>
                </w:tcPr>
                <w:p w14:paraId="5D260C6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0.1170</w:t>
                  </w:r>
                </w:p>
              </w:tc>
            </w:tr>
            <w:tr w14:paraId="7CDE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59B3B16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1AEEC5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6B38380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第二次</w:t>
                  </w:r>
                </w:p>
              </w:tc>
              <w:tc>
                <w:tcPr>
                  <w:tcW w:w="832" w:type="pct"/>
                  <w:vAlign w:val="center"/>
                </w:tcPr>
                <w:p w14:paraId="24A6FC4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14.2</w:t>
                  </w:r>
                </w:p>
              </w:tc>
              <w:tc>
                <w:tcPr>
                  <w:tcW w:w="833" w:type="pct"/>
                  <w:vAlign w:val="center"/>
                </w:tcPr>
                <w:p w14:paraId="2C8BDB6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9836</w:t>
                  </w:r>
                </w:p>
              </w:tc>
              <w:tc>
                <w:tcPr>
                  <w:tcW w:w="834" w:type="pct"/>
                  <w:vAlign w:val="center"/>
                </w:tcPr>
                <w:p w14:paraId="4A39EA1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0.1397</w:t>
                  </w:r>
                </w:p>
              </w:tc>
            </w:tr>
            <w:tr w14:paraId="75B8A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2A620CA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7F31381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49CDC02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第三次</w:t>
                  </w:r>
                </w:p>
              </w:tc>
              <w:tc>
                <w:tcPr>
                  <w:tcW w:w="832" w:type="pct"/>
                  <w:vAlign w:val="center"/>
                </w:tcPr>
                <w:p w14:paraId="5981CF2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13.6</w:t>
                  </w:r>
                </w:p>
              </w:tc>
              <w:tc>
                <w:tcPr>
                  <w:tcW w:w="833" w:type="pct"/>
                  <w:vAlign w:val="center"/>
                </w:tcPr>
                <w:p w14:paraId="2F4D0B5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9945</w:t>
                  </w:r>
                </w:p>
              </w:tc>
              <w:tc>
                <w:tcPr>
                  <w:tcW w:w="834" w:type="pct"/>
                  <w:vAlign w:val="center"/>
                </w:tcPr>
                <w:p w14:paraId="38795F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0.1353</w:t>
                  </w:r>
                </w:p>
              </w:tc>
            </w:tr>
            <w:tr w14:paraId="50170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restart"/>
                  <w:vAlign w:val="center"/>
                </w:tcPr>
                <w:p w14:paraId="26B4A59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生产车间1挤出废气</w:t>
                  </w:r>
                </w:p>
                <w:p w14:paraId="3EF13E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DA002出口</w:t>
                  </w:r>
                </w:p>
              </w:tc>
              <w:tc>
                <w:tcPr>
                  <w:tcW w:w="832" w:type="pct"/>
                  <w:vMerge w:val="restart"/>
                  <w:vAlign w:val="center"/>
                </w:tcPr>
                <w:p w14:paraId="6E9BB9C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非甲烷总烃</w:t>
                  </w:r>
                </w:p>
              </w:tc>
              <w:tc>
                <w:tcPr>
                  <w:tcW w:w="832" w:type="pct"/>
                  <w:vAlign w:val="center"/>
                </w:tcPr>
                <w:p w14:paraId="303A81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第一次</w:t>
                  </w:r>
                </w:p>
              </w:tc>
              <w:tc>
                <w:tcPr>
                  <w:tcW w:w="832" w:type="pct"/>
                  <w:vAlign w:val="center"/>
                </w:tcPr>
                <w:p w14:paraId="3352F2B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1.80</w:t>
                  </w:r>
                </w:p>
              </w:tc>
              <w:tc>
                <w:tcPr>
                  <w:tcW w:w="833" w:type="pct"/>
                  <w:vAlign w:val="center"/>
                </w:tcPr>
                <w:p w14:paraId="5DC1FD1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7907</w:t>
                  </w:r>
                </w:p>
              </w:tc>
              <w:tc>
                <w:tcPr>
                  <w:tcW w:w="834" w:type="pct"/>
                  <w:vAlign w:val="center"/>
                </w:tcPr>
                <w:p w14:paraId="51F1F5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0.0142</w:t>
                  </w:r>
                </w:p>
              </w:tc>
            </w:tr>
            <w:tr w14:paraId="0808A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544C434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32C7EAD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5870F9F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第二次</w:t>
                  </w:r>
                </w:p>
              </w:tc>
              <w:tc>
                <w:tcPr>
                  <w:tcW w:w="832" w:type="pct"/>
                  <w:vAlign w:val="center"/>
                </w:tcPr>
                <w:p w14:paraId="033D604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1.59</w:t>
                  </w:r>
                </w:p>
              </w:tc>
              <w:tc>
                <w:tcPr>
                  <w:tcW w:w="833" w:type="pct"/>
                  <w:vAlign w:val="center"/>
                </w:tcPr>
                <w:p w14:paraId="7E9BF0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7818</w:t>
                  </w:r>
                </w:p>
              </w:tc>
              <w:tc>
                <w:tcPr>
                  <w:tcW w:w="834" w:type="pct"/>
                  <w:vAlign w:val="center"/>
                </w:tcPr>
                <w:p w14:paraId="5C6FCA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0.0124</w:t>
                  </w:r>
                </w:p>
              </w:tc>
            </w:tr>
            <w:tr w14:paraId="74807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004414B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0969FDF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64D9BA9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第三次</w:t>
                  </w:r>
                </w:p>
              </w:tc>
              <w:tc>
                <w:tcPr>
                  <w:tcW w:w="832" w:type="pct"/>
                  <w:vAlign w:val="center"/>
                </w:tcPr>
                <w:p w14:paraId="1AC32D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1.62</w:t>
                  </w:r>
                </w:p>
              </w:tc>
              <w:tc>
                <w:tcPr>
                  <w:tcW w:w="833" w:type="pct"/>
                  <w:vAlign w:val="center"/>
                </w:tcPr>
                <w:p w14:paraId="080EB4F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7678</w:t>
                  </w:r>
                </w:p>
              </w:tc>
              <w:tc>
                <w:tcPr>
                  <w:tcW w:w="834" w:type="pct"/>
                  <w:vAlign w:val="center"/>
                </w:tcPr>
                <w:p w14:paraId="3A7FA5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0.0124</w:t>
                  </w:r>
                </w:p>
              </w:tc>
            </w:tr>
            <w:tr w14:paraId="3CB11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restart"/>
                  <w:vAlign w:val="center"/>
                </w:tcPr>
                <w:p w14:paraId="6E27B9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生产车间2挤出废气</w:t>
                  </w:r>
                </w:p>
                <w:p w14:paraId="29D42D5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DA003出口</w:t>
                  </w:r>
                </w:p>
              </w:tc>
              <w:tc>
                <w:tcPr>
                  <w:tcW w:w="832" w:type="pct"/>
                  <w:vMerge w:val="restart"/>
                  <w:vAlign w:val="center"/>
                </w:tcPr>
                <w:p w14:paraId="737F0E4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非甲烷总烃</w:t>
                  </w:r>
                </w:p>
              </w:tc>
              <w:tc>
                <w:tcPr>
                  <w:tcW w:w="832" w:type="pct"/>
                  <w:vAlign w:val="center"/>
                </w:tcPr>
                <w:p w14:paraId="4D46B26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第一次</w:t>
                  </w:r>
                </w:p>
              </w:tc>
              <w:tc>
                <w:tcPr>
                  <w:tcW w:w="832" w:type="pct"/>
                  <w:vAlign w:val="center"/>
                </w:tcPr>
                <w:p w14:paraId="2F4C8A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1.78</w:t>
                  </w:r>
                </w:p>
              </w:tc>
              <w:tc>
                <w:tcPr>
                  <w:tcW w:w="833" w:type="pct"/>
                  <w:vAlign w:val="center"/>
                </w:tcPr>
                <w:p w14:paraId="7CF77A9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6829</w:t>
                  </w:r>
                </w:p>
              </w:tc>
              <w:tc>
                <w:tcPr>
                  <w:tcW w:w="834" w:type="pct"/>
                  <w:vAlign w:val="center"/>
                </w:tcPr>
                <w:p w14:paraId="694B57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0.0122</w:t>
                  </w:r>
                </w:p>
              </w:tc>
            </w:tr>
            <w:tr w14:paraId="1C91B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6AB4B27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5429AF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232C7D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第二次</w:t>
                  </w:r>
                </w:p>
              </w:tc>
              <w:tc>
                <w:tcPr>
                  <w:tcW w:w="832" w:type="pct"/>
                  <w:vAlign w:val="center"/>
                </w:tcPr>
                <w:p w14:paraId="0ACAE5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1.51</w:t>
                  </w:r>
                </w:p>
              </w:tc>
              <w:tc>
                <w:tcPr>
                  <w:tcW w:w="833" w:type="pct"/>
                  <w:vAlign w:val="center"/>
                </w:tcPr>
                <w:p w14:paraId="67E01F5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6941</w:t>
                  </w:r>
                </w:p>
              </w:tc>
              <w:tc>
                <w:tcPr>
                  <w:tcW w:w="834" w:type="pct"/>
                  <w:vAlign w:val="center"/>
                </w:tcPr>
                <w:p w14:paraId="0CA007A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0.0105</w:t>
                  </w:r>
                </w:p>
              </w:tc>
            </w:tr>
            <w:tr w14:paraId="5D19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1101420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6FC69D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54461B8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第三次</w:t>
                  </w:r>
                </w:p>
              </w:tc>
              <w:tc>
                <w:tcPr>
                  <w:tcW w:w="832" w:type="pct"/>
                  <w:vAlign w:val="center"/>
                </w:tcPr>
                <w:p w14:paraId="3CD7B13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1.91</w:t>
                  </w:r>
                </w:p>
              </w:tc>
              <w:tc>
                <w:tcPr>
                  <w:tcW w:w="833" w:type="pct"/>
                  <w:vAlign w:val="center"/>
                </w:tcPr>
                <w:p w14:paraId="4A21474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6568</w:t>
                  </w:r>
                </w:p>
              </w:tc>
              <w:tc>
                <w:tcPr>
                  <w:tcW w:w="834" w:type="pct"/>
                  <w:vAlign w:val="center"/>
                </w:tcPr>
                <w:p w14:paraId="1FADF07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0.0125</w:t>
                  </w:r>
                </w:p>
              </w:tc>
            </w:tr>
            <w:tr w14:paraId="12122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restart"/>
                  <w:vAlign w:val="center"/>
                </w:tcPr>
                <w:p w14:paraId="2B8149C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val="en-US" w:eastAsia="zh-CN"/>
                    </w:rPr>
                    <w:t>后处理（砂</w:t>
                  </w:r>
                </w:p>
                <w:p w14:paraId="46908C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val="en-US" w:eastAsia="zh-CN"/>
                    </w:rPr>
                    <w:t>光）、切割</w:t>
                  </w:r>
                </w:p>
                <w:p w14:paraId="58F7F59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val="en-US" w:eastAsia="zh-CN"/>
                    </w:rPr>
                    <w:t>粉尘DA001</w:t>
                  </w:r>
                </w:p>
                <w:p w14:paraId="6246AE2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val="en-US" w:eastAsia="zh-CN"/>
                    </w:rPr>
                    <w:t>出口</w:t>
                  </w:r>
                </w:p>
              </w:tc>
              <w:tc>
                <w:tcPr>
                  <w:tcW w:w="832" w:type="pct"/>
                  <w:vMerge w:val="restart"/>
                  <w:vAlign w:val="center"/>
                </w:tcPr>
                <w:p w14:paraId="5A86DEE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颗粒物</w:t>
                  </w:r>
                </w:p>
              </w:tc>
              <w:tc>
                <w:tcPr>
                  <w:tcW w:w="832" w:type="pct"/>
                  <w:vAlign w:val="center"/>
                </w:tcPr>
                <w:p w14:paraId="0E7F739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第一次</w:t>
                  </w:r>
                </w:p>
              </w:tc>
              <w:tc>
                <w:tcPr>
                  <w:tcW w:w="832" w:type="pct"/>
                  <w:vAlign w:val="center"/>
                </w:tcPr>
                <w:p w14:paraId="19624C1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15.1</w:t>
                  </w:r>
                </w:p>
              </w:tc>
              <w:tc>
                <w:tcPr>
                  <w:tcW w:w="833" w:type="pct"/>
                  <w:vAlign w:val="center"/>
                </w:tcPr>
                <w:p w14:paraId="4446A0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8863</w:t>
                  </w:r>
                </w:p>
              </w:tc>
              <w:tc>
                <w:tcPr>
                  <w:tcW w:w="834" w:type="pct"/>
                  <w:vAlign w:val="center"/>
                </w:tcPr>
                <w:p w14:paraId="1745EA5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0.1338</w:t>
                  </w:r>
                </w:p>
              </w:tc>
            </w:tr>
            <w:tr w14:paraId="6B3E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64288EB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val="en-US" w:eastAsia="zh-CN"/>
                    </w:rPr>
                  </w:pPr>
                </w:p>
              </w:tc>
              <w:tc>
                <w:tcPr>
                  <w:tcW w:w="832" w:type="pct"/>
                  <w:vMerge w:val="continue"/>
                  <w:vAlign w:val="center"/>
                </w:tcPr>
                <w:p w14:paraId="11979D4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3D1648B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第二次</w:t>
                  </w:r>
                </w:p>
              </w:tc>
              <w:tc>
                <w:tcPr>
                  <w:tcW w:w="832" w:type="pct"/>
                  <w:vAlign w:val="center"/>
                </w:tcPr>
                <w:p w14:paraId="73A3BC7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11.7</w:t>
                  </w:r>
                </w:p>
              </w:tc>
              <w:tc>
                <w:tcPr>
                  <w:tcW w:w="833" w:type="pct"/>
                  <w:vAlign w:val="center"/>
                </w:tcPr>
                <w:p w14:paraId="1E1DAC6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9743</w:t>
                  </w:r>
                </w:p>
              </w:tc>
              <w:tc>
                <w:tcPr>
                  <w:tcW w:w="834" w:type="pct"/>
                  <w:vAlign w:val="center"/>
                </w:tcPr>
                <w:p w14:paraId="50569A1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0.1140</w:t>
                  </w:r>
                </w:p>
              </w:tc>
            </w:tr>
            <w:tr w14:paraId="51BF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0A2B11B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val="en-US" w:eastAsia="zh-CN"/>
                    </w:rPr>
                  </w:pPr>
                </w:p>
              </w:tc>
              <w:tc>
                <w:tcPr>
                  <w:tcW w:w="832" w:type="pct"/>
                  <w:vMerge w:val="continue"/>
                  <w:vAlign w:val="center"/>
                </w:tcPr>
                <w:p w14:paraId="1E14C05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37ACFE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第三次</w:t>
                  </w:r>
                </w:p>
              </w:tc>
              <w:tc>
                <w:tcPr>
                  <w:tcW w:w="832" w:type="pct"/>
                  <w:vAlign w:val="center"/>
                </w:tcPr>
                <w:p w14:paraId="0E53C4E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12.2</w:t>
                  </w:r>
                </w:p>
              </w:tc>
              <w:tc>
                <w:tcPr>
                  <w:tcW w:w="833" w:type="pct"/>
                  <w:vAlign w:val="center"/>
                </w:tcPr>
                <w:p w14:paraId="2F6FED7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8745</w:t>
                  </w:r>
                </w:p>
              </w:tc>
              <w:tc>
                <w:tcPr>
                  <w:tcW w:w="834" w:type="pct"/>
                  <w:vAlign w:val="center"/>
                </w:tcPr>
                <w:p w14:paraId="4A3BB9E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lang w:val="en-US" w:eastAsia="zh-CN"/>
                    </w:rPr>
                  </w:pPr>
                  <w:r>
                    <w:rPr>
                      <w:rFonts w:hint="eastAsia"/>
                      <w:lang w:val="en-US" w:eastAsia="zh-CN"/>
                    </w:rPr>
                    <w:t>0.1067</w:t>
                  </w:r>
                </w:p>
              </w:tc>
            </w:tr>
            <w:tr w14:paraId="44AE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restart"/>
                  <w:vAlign w:val="center"/>
                </w:tcPr>
                <w:p w14:paraId="51048D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生产车间1挤出废气</w:t>
                  </w:r>
                </w:p>
                <w:p w14:paraId="7BD9011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DA002出口</w:t>
                  </w:r>
                </w:p>
              </w:tc>
              <w:tc>
                <w:tcPr>
                  <w:tcW w:w="832" w:type="pct"/>
                  <w:vMerge w:val="restart"/>
                  <w:vAlign w:val="center"/>
                </w:tcPr>
                <w:p w14:paraId="225FDD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非甲烷总烃</w:t>
                  </w:r>
                </w:p>
              </w:tc>
              <w:tc>
                <w:tcPr>
                  <w:tcW w:w="832" w:type="pct"/>
                  <w:vAlign w:val="center"/>
                </w:tcPr>
                <w:p w14:paraId="2FF896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第一次</w:t>
                  </w:r>
                </w:p>
              </w:tc>
              <w:tc>
                <w:tcPr>
                  <w:tcW w:w="832" w:type="pct"/>
                  <w:vAlign w:val="center"/>
                </w:tcPr>
                <w:p w14:paraId="3F41544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1.38</w:t>
                  </w:r>
                </w:p>
              </w:tc>
              <w:tc>
                <w:tcPr>
                  <w:tcW w:w="833" w:type="pct"/>
                  <w:vAlign w:val="center"/>
                </w:tcPr>
                <w:p w14:paraId="730B56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8277</w:t>
                  </w:r>
                </w:p>
              </w:tc>
              <w:tc>
                <w:tcPr>
                  <w:tcW w:w="834" w:type="pct"/>
                  <w:vAlign w:val="center"/>
                </w:tcPr>
                <w:p w14:paraId="47AE85D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0.0114</w:t>
                  </w:r>
                </w:p>
              </w:tc>
            </w:tr>
            <w:tr w14:paraId="72F68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7EEE2D4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04FD0C4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7BE62D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第二次</w:t>
                  </w:r>
                </w:p>
              </w:tc>
              <w:tc>
                <w:tcPr>
                  <w:tcW w:w="832" w:type="pct"/>
                  <w:vAlign w:val="center"/>
                </w:tcPr>
                <w:p w14:paraId="25F3C0A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1.65</w:t>
                  </w:r>
                </w:p>
              </w:tc>
              <w:tc>
                <w:tcPr>
                  <w:tcW w:w="833" w:type="pct"/>
                  <w:vAlign w:val="center"/>
                </w:tcPr>
                <w:p w14:paraId="3CB095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8106</w:t>
                  </w:r>
                </w:p>
              </w:tc>
              <w:tc>
                <w:tcPr>
                  <w:tcW w:w="834" w:type="pct"/>
                  <w:vAlign w:val="center"/>
                </w:tcPr>
                <w:p w14:paraId="5215386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0.0134</w:t>
                  </w:r>
                </w:p>
              </w:tc>
            </w:tr>
            <w:tr w14:paraId="3E8BF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69BBCF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4DBC093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1F9ED28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第三次</w:t>
                  </w:r>
                </w:p>
              </w:tc>
              <w:tc>
                <w:tcPr>
                  <w:tcW w:w="832" w:type="pct"/>
                  <w:vAlign w:val="center"/>
                </w:tcPr>
                <w:p w14:paraId="43578A5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1.65</w:t>
                  </w:r>
                </w:p>
              </w:tc>
              <w:tc>
                <w:tcPr>
                  <w:tcW w:w="833" w:type="pct"/>
                  <w:vAlign w:val="center"/>
                </w:tcPr>
                <w:p w14:paraId="0088DDD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8034</w:t>
                  </w:r>
                </w:p>
              </w:tc>
              <w:tc>
                <w:tcPr>
                  <w:tcW w:w="834" w:type="pct"/>
                  <w:vAlign w:val="center"/>
                </w:tcPr>
                <w:p w14:paraId="78C8C1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0.0133</w:t>
                  </w:r>
                </w:p>
              </w:tc>
            </w:tr>
            <w:tr w14:paraId="27C3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restart"/>
                  <w:vAlign w:val="center"/>
                </w:tcPr>
                <w:p w14:paraId="057C405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生产车间2挤出废气</w:t>
                  </w:r>
                </w:p>
                <w:p w14:paraId="1BA291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DA003出口</w:t>
                  </w:r>
                </w:p>
              </w:tc>
              <w:tc>
                <w:tcPr>
                  <w:tcW w:w="832" w:type="pct"/>
                  <w:vMerge w:val="restart"/>
                  <w:vAlign w:val="center"/>
                </w:tcPr>
                <w:p w14:paraId="5149CF7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非甲烷总烃</w:t>
                  </w:r>
                </w:p>
              </w:tc>
              <w:tc>
                <w:tcPr>
                  <w:tcW w:w="832" w:type="pct"/>
                  <w:vAlign w:val="center"/>
                </w:tcPr>
                <w:p w14:paraId="31D223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第一次</w:t>
                  </w:r>
                </w:p>
              </w:tc>
              <w:tc>
                <w:tcPr>
                  <w:tcW w:w="832" w:type="pct"/>
                  <w:vAlign w:val="center"/>
                </w:tcPr>
                <w:p w14:paraId="208804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1.72</w:t>
                  </w:r>
                </w:p>
              </w:tc>
              <w:tc>
                <w:tcPr>
                  <w:tcW w:w="833" w:type="pct"/>
                  <w:vAlign w:val="center"/>
                </w:tcPr>
                <w:p w14:paraId="3825E41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7423</w:t>
                  </w:r>
                </w:p>
              </w:tc>
              <w:tc>
                <w:tcPr>
                  <w:tcW w:w="834" w:type="pct"/>
                  <w:vAlign w:val="center"/>
                </w:tcPr>
                <w:p w14:paraId="4A112E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0.0128</w:t>
                  </w:r>
                </w:p>
              </w:tc>
            </w:tr>
            <w:tr w14:paraId="0AD35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4703CB2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5BAA158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4C77D6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第二次</w:t>
                  </w:r>
                </w:p>
              </w:tc>
              <w:tc>
                <w:tcPr>
                  <w:tcW w:w="832" w:type="pct"/>
                  <w:vAlign w:val="center"/>
                </w:tcPr>
                <w:p w14:paraId="2DB2AA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1.55</w:t>
                  </w:r>
                </w:p>
              </w:tc>
              <w:tc>
                <w:tcPr>
                  <w:tcW w:w="833" w:type="pct"/>
                  <w:vAlign w:val="center"/>
                </w:tcPr>
                <w:p w14:paraId="4ADD08D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7324</w:t>
                  </w:r>
                </w:p>
              </w:tc>
              <w:tc>
                <w:tcPr>
                  <w:tcW w:w="834" w:type="pct"/>
                  <w:vAlign w:val="center"/>
                </w:tcPr>
                <w:p w14:paraId="4813C15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0.0114</w:t>
                  </w:r>
                </w:p>
              </w:tc>
            </w:tr>
            <w:tr w14:paraId="63601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3" w:type="pct"/>
                  <w:vMerge w:val="continue"/>
                  <w:vAlign w:val="center"/>
                </w:tcPr>
                <w:p w14:paraId="37E9DF8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Merge w:val="continue"/>
                  <w:vAlign w:val="center"/>
                </w:tcPr>
                <w:p w14:paraId="20F14E2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832" w:type="pct"/>
                  <w:vAlign w:val="center"/>
                </w:tcPr>
                <w:p w14:paraId="3DAC697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第三次</w:t>
                  </w:r>
                </w:p>
              </w:tc>
              <w:tc>
                <w:tcPr>
                  <w:tcW w:w="832" w:type="pct"/>
                  <w:vAlign w:val="center"/>
                </w:tcPr>
                <w:p w14:paraId="14F1C5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1.69</w:t>
                  </w:r>
                </w:p>
              </w:tc>
              <w:tc>
                <w:tcPr>
                  <w:tcW w:w="833" w:type="pct"/>
                  <w:vAlign w:val="center"/>
                </w:tcPr>
                <w:p w14:paraId="28CFA00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7041</w:t>
                  </w:r>
                </w:p>
              </w:tc>
              <w:tc>
                <w:tcPr>
                  <w:tcW w:w="834" w:type="pct"/>
                  <w:vAlign w:val="center"/>
                </w:tcPr>
                <w:p w14:paraId="33CC16A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0.0112</w:t>
                  </w:r>
                </w:p>
              </w:tc>
            </w:tr>
          </w:tbl>
          <w:p w14:paraId="68C4B6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eastAsia="宋体"/>
                <w:b/>
                <w:bCs/>
                <w:color w:val="auto"/>
                <w:sz w:val="24"/>
                <w:szCs w:val="24"/>
                <w:vertAlign w:val="baseline"/>
                <w:lang w:eastAsia="zh-CN"/>
              </w:rPr>
            </w:pPr>
            <w:r>
              <w:rPr>
                <w:rFonts w:hint="eastAsia"/>
                <w:b/>
                <w:bCs/>
                <w:color w:val="auto"/>
                <w:sz w:val="24"/>
                <w:szCs w:val="24"/>
                <w:lang w:eastAsia="zh-CN"/>
              </w:rPr>
              <w:t>表</w:t>
            </w:r>
            <w:r>
              <w:rPr>
                <w:rFonts w:hint="eastAsia"/>
                <w:b/>
                <w:bCs/>
                <w:color w:val="auto"/>
                <w:sz w:val="24"/>
                <w:szCs w:val="24"/>
                <w:lang w:val="en-US" w:eastAsia="zh-CN"/>
              </w:rPr>
              <w:t>2.10  有组织废气排放情况一览表</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3"/>
              <w:gridCol w:w="1299"/>
              <w:gridCol w:w="1067"/>
              <w:gridCol w:w="1239"/>
              <w:gridCol w:w="1165"/>
              <w:gridCol w:w="1165"/>
              <w:gridCol w:w="1171"/>
            </w:tblGrid>
            <w:tr w14:paraId="1CC3D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Align w:val="center"/>
                </w:tcPr>
                <w:p w14:paraId="65F3A32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采样日期</w:t>
                  </w:r>
                </w:p>
              </w:tc>
              <w:tc>
                <w:tcPr>
                  <w:tcW w:w="769" w:type="pct"/>
                  <w:vAlign w:val="center"/>
                </w:tcPr>
                <w:p w14:paraId="7B239E7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采样点位</w:t>
                  </w:r>
                </w:p>
              </w:tc>
              <w:tc>
                <w:tcPr>
                  <w:tcW w:w="1364" w:type="pct"/>
                  <w:gridSpan w:val="2"/>
                  <w:vAlign w:val="center"/>
                </w:tcPr>
                <w:p w14:paraId="2A12F75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检测项目</w:t>
                  </w:r>
                </w:p>
              </w:tc>
              <w:tc>
                <w:tcPr>
                  <w:tcW w:w="689" w:type="pct"/>
                  <w:vAlign w:val="center"/>
                </w:tcPr>
                <w:p w14:paraId="5E73DA7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第一次</w:t>
                  </w:r>
                </w:p>
              </w:tc>
              <w:tc>
                <w:tcPr>
                  <w:tcW w:w="689" w:type="pct"/>
                  <w:vAlign w:val="center"/>
                </w:tcPr>
                <w:p w14:paraId="677164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第二次</w:t>
                  </w:r>
                </w:p>
              </w:tc>
              <w:tc>
                <w:tcPr>
                  <w:tcW w:w="691" w:type="pct"/>
                  <w:vAlign w:val="center"/>
                </w:tcPr>
                <w:p w14:paraId="3B91AC1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第三次</w:t>
                  </w:r>
                </w:p>
              </w:tc>
            </w:tr>
            <w:tr w14:paraId="2A91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restart"/>
                  <w:vAlign w:val="center"/>
                </w:tcPr>
                <w:p w14:paraId="353E2E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2024.12.9</w:t>
                  </w:r>
                </w:p>
              </w:tc>
              <w:tc>
                <w:tcPr>
                  <w:tcW w:w="769" w:type="pct"/>
                  <w:vMerge w:val="restart"/>
                  <w:vAlign w:val="center"/>
                </w:tcPr>
                <w:p w14:paraId="08CD6EE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二级活性炭吸附装置出气（</w:t>
                  </w:r>
                  <w:r>
                    <w:rPr>
                      <w:rFonts w:hint="eastAsia"/>
                      <w:b w:val="0"/>
                      <w:bCs w:val="0"/>
                      <w:color w:val="auto"/>
                      <w:sz w:val="21"/>
                      <w:szCs w:val="21"/>
                      <w:vertAlign w:val="baseline"/>
                      <w:lang w:val="en-US" w:eastAsia="zh-CN"/>
                    </w:rPr>
                    <w:t>DA004</w:t>
                  </w:r>
                  <w:r>
                    <w:rPr>
                      <w:rFonts w:hint="eastAsia"/>
                      <w:b w:val="0"/>
                      <w:bCs w:val="0"/>
                      <w:color w:val="auto"/>
                      <w:sz w:val="21"/>
                      <w:szCs w:val="21"/>
                      <w:vertAlign w:val="baseline"/>
                      <w:lang w:eastAsia="zh-CN"/>
                    </w:rPr>
                    <w:t>）</w:t>
                  </w:r>
                </w:p>
              </w:tc>
              <w:tc>
                <w:tcPr>
                  <w:tcW w:w="1364" w:type="pct"/>
                  <w:gridSpan w:val="2"/>
                  <w:vAlign w:val="center"/>
                </w:tcPr>
                <w:p w14:paraId="6A0733B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val="en-US" w:eastAsia="zh-CN"/>
                    </w:rPr>
                  </w:pPr>
                  <w:r>
                    <w:rPr>
                      <w:rFonts w:hint="eastAsia" w:eastAsia="宋体"/>
                      <w:b w:val="0"/>
                      <w:bCs w:val="0"/>
                      <w:color w:val="auto"/>
                      <w:sz w:val="21"/>
                      <w:szCs w:val="21"/>
                      <w:vertAlign w:val="baseline"/>
                      <w:lang w:val="en-US" w:eastAsia="zh-CN"/>
                    </w:rPr>
                    <w:t>排气筒高度（m）</w:t>
                  </w:r>
                </w:p>
              </w:tc>
              <w:tc>
                <w:tcPr>
                  <w:tcW w:w="2071" w:type="pct"/>
                  <w:gridSpan w:val="3"/>
                  <w:vAlign w:val="center"/>
                </w:tcPr>
                <w:p w14:paraId="35ABB68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15</w:t>
                  </w:r>
                </w:p>
              </w:tc>
            </w:tr>
            <w:tr w14:paraId="321E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14FF9B2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1CC107E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0E75143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截面积（m</w:t>
                  </w:r>
                  <w:r>
                    <w:rPr>
                      <w:rFonts w:hint="eastAsia" w:eastAsia="宋体"/>
                      <w:b w:val="0"/>
                      <w:bCs w:val="0"/>
                      <w:color w:val="auto"/>
                      <w:sz w:val="21"/>
                      <w:szCs w:val="21"/>
                      <w:vertAlign w:val="superscript"/>
                      <w:lang w:eastAsia="zh-CN"/>
                    </w:rPr>
                    <w:t>2</w:t>
                  </w:r>
                  <w:r>
                    <w:rPr>
                      <w:rFonts w:hint="eastAsia" w:eastAsia="宋体"/>
                      <w:b w:val="0"/>
                      <w:bCs w:val="0"/>
                      <w:color w:val="auto"/>
                      <w:sz w:val="21"/>
                      <w:szCs w:val="21"/>
                      <w:vertAlign w:val="baseline"/>
                      <w:lang w:eastAsia="zh-CN"/>
                    </w:rPr>
                    <w:t>）</w:t>
                  </w:r>
                </w:p>
              </w:tc>
              <w:tc>
                <w:tcPr>
                  <w:tcW w:w="2071" w:type="pct"/>
                  <w:gridSpan w:val="3"/>
                  <w:vAlign w:val="center"/>
                </w:tcPr>
                <w:p w14:paraId="70E319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0.1257</w:t>
                  </w:r>
                </w:p>
              </w:tc>
            </w:tr>
            <w:tr w14:paraId="38B23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2BCF09E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08E9137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1D5649E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烟温</w:t>
                  </w:r>
                  <w:r>
                    <w:rPr>
                      <w:rFonts w:hint="eastAsia"/>
                      <w:b w:val="0"/>
                      <w:bCs w:val="0"/>
                      <w:color w:val="auto"/>
                      <w:sz w:val="21"/>
                      <w:szCs w:val="21"/>
                      <w:vertAlign w:val="baseline"/>
                      <w:lang w:eastAsia="zh-CN"/>
                    </w:rPr>
                    <w:t>（</w:t>
                  </w:r>
                  <w:r>
                    <w:rPr>
                      <w:rFonts w:hint="default" w:ascii="Times New Roman" w:hAnsi="Times New Roman" w:eastAsia="宋体" w:cs="Times New Roman"/>
                      <w:b w:val="0"/>
                      <w:bCs w:val="0"/>
                      <w:color w:val="auto"/>
                      <w:sz w:val="21"/>
                      <w:szCs w:val="21"/>
                      <w:vertAlign w:val="baseline"/>
                      <w:lang w:eastAsia="zh-CN"/>
                    </w:rPr>
                    <w:t>℃</w:t>
                  </w:r>
                  <w:r>
                    <w:rPr>
                      <w:rFonts w:hint="eastAsia" w:cs="Times New Roman"/>
                      <w:b w:val="0"/>
                      <w:bCs w:val="0"/>
                      <w:color w:val="auto"/>
                      <w:sz w:val="21"/>
                      <w:szCs w:val="21"/>
                      <w:vertAlign w:val="baseline"/>
                      <w:lang w:eastAsia="zh-CN"/>
                    </w:rPr>
                    <w:t>）</w:t>
                  </w:r>
                </w:p>
              </w:tc>
              <w:tc>
                <w:tcPr>
                  <w:tcW w:w="689" w:type="pct"/>
                  <w:vAlign w:val="center"/>
                </w:tcPr>
                <w:p w14:paraId="248D3A8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17.1</w:t>
                  </w:r>
                </w:p>
              </w:tc>
              <w:tc>
                <w:tcPr>
                  <w:tcW w:w="689" w:type="pct"/>
                  <w:vAlign w:val="center"/>
                </w:tcPr>
                <w:p w14:paraId="78D877F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16.8</w:t>
                  </w:r>
                </w:p>
              </w:tc>
              <w:tc>
                <w:tcPr>
                  <w:tcW w:w="691" w:type="pct"/>
                  <w:vAlign w:val="center"/>
                </w:tcPr>
                <w:p w14:paraId="7FC38FD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17.0</w:t>
                  </w:r>
                </w:p>
              </w:tc>
            </w:tr>
            <w:tr w14:paraId="5749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42E3783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19B95E9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4E76F23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流速（m/s）</w:t>
                  </w:r>
                </w:p>
              </w:tc>
              <w:tc>
                <w:tcPr>
                  <w:tcW w:w="689" w:type="pct"/>
                  <w:vAlign w:val="center"/>
                </w:tcPr>
                <w:p w14:paraId="3606BA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13.7</w:t>
                  </w:r>
                </w:p>
              </w:tc>
              <w:tc>
                <w:tcPr>
                  <w:tcW w:w="689" w:type="pct"/>
                  <w:vAlign w:val="center"/>
                </w:tcPr>
                <w:p w14:paraId="226058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13.9</w:t>
                  </w:r>
                </w:p>
              </w:tc>
              <w:tc>
                <w:tcPr>
                  <w:tcW w:w="691" w:type="pct"/>
                  <w:vAlign w:val="center"/>
                </w:tcPr>
                <w:p w14:paraId="5C60AE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13.9</w:t>
                  </w:r>
                </w:p>
              </w:tc>
            </w:tr>
            <w:tr w14:paraId="36D4E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1B63A32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60CF11F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1E3730C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标干流量（m</w:t>
                  </w:r>
                  <w:r>
                    <w:rPr>
                      <w:rFonts w:hint="eastAsia" w:eastAsia="宋体"/>
                      <w:b w:val="0"/>
                      <w:bCs w:val="0"/>
                      <w:color w:val="auto"/>
                      <w:sz w:val="21"/>
                      <w:szCs w:val="21"/>
                      <w:vertAlign w:val="superscript"/>
                      <w:lang w:eastAsia="zh-CN"/>
                    </w:rPr>
                    <w:t>3</w:t>
                  </w:r>
                  <w:r>
                    <w:rPr>
                      <w:rFonts w:hint="eastAsia" w:eastAsia="宋体"/>
                      <w:b w:val="0"/>
                      <w:bCs w:val="0"/>
                      <w:color w:val="auto"/>
                      <w:sz w:val="21"/>
                      <w:szCs w:val="21"/>
                      <w:vertAlign w:val="baseline"/>
                      <w:lang w:eastAsia="zh-CN"/>
                    </w:rPr>
                    <w:t>/h）</w:t>
                  </w:r>
                </w:p>
              </w:tc>
              <w:tc>
                <w:tcPr>
                  <w:tcW w:w="689" w:type="pct"/>
                  <w:vAlign w:val="center"/>
                </w:tcPr>
                <w:p w14:paraId="03EC826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5828</w:t>
                  </w:r>
                </w:p>
              </w:tc>
              <w:tc>
                <w:tcPr>
                  <w:tcW w:w="689" w:type="pct"/>
                  <w:vAlign w:val="center"/>
                </w:tcPr>
                <w:p w14:paraId="318E40F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5917</w:t>
                  </w:r>
                </w:p>
              </w:tc>
              <w:tc>
                <w:tcPr>
                  <w:tcW w:w="691" w:type="pct"/>
                  <w:vAlign w:val="center"/>
                </w:tcPr>
                <w:p w14:paraId="564BA4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5918</w:t>
                  </w:r>
                </w:p>
              </w:tc>
            </w:tr>
            <w:tr w14:paraId="06064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795" w:type="pct"/>
                  <w:vMerge w:val="continue"/>
                  <w:vAlign w:val="center"/>
                </w:tcPr>
                <w:p w14:paraId="49039ED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33066F1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631" w:type="pct"/>
                  <w:vMerge w:val="restart"/>
                  <w:vAlign w:val="center"/>
                </w:tcPr>
                <w:p w14:paraId="6ABA0E9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非甲烷总烃</w:t>
                  </w:r>
                </w:p>
              </w:tc>
              <w:tc>
                <w:tcPr>
                  <w:tcW w:w="732" w:type="pct"/>
                  <w:vAlign w:val="center"/>
                </w:tcPr>
                <w:p w14:paraId="0C7612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检测浓度（mg/m</w:t>
                  </w:r>
                  <w:r>
                    <w:rPr>
                      <w:rFonts w:hint="eastAsia" w:eastAsia="宋体"/>
                      <w:b w:val="0"/>
                      <w:bCs w:val="0"/>
                      <w:color w:val="auto"/>
                      <w:sz w:val="21"/>
                      <w:szCs w:val="21"/>
                      <w:vertAlign w:val="superscript"/>
                      <w:lang w:eastAsia="zh-CN"/>
                    </w:rPr>
                    <w:t>3</w:t>
                  </w:r>
                  <w:r>
                    <w:rPr>
                      <w:rFonts w:hint="eastAsia" w:eastAsia="宋体"/>
                      <w:b w:val="0"/>
                      <w:bCs w:val="0"/>
                      <w:color w:val="auto"/>
                      <w:sz w:val="21"/>
                      <w:szCs w:val="21"/>
                      <w:vertAlign w:val="baseline"/>
                      <w:lang w:eastAsia="zh-CN"/>
                    </w:rPr>
                    <w:t>）</w:t>
                  </w:r>
                </w:p>
              </w:tc>
              <w:tc>
                <w:tcPr>
                  <w:tcW w:w="689" w:type="pct"/>
                  <w:vAlign w:val="center"/>
                </w:tcPr>
                <w:p w14:paraId="598D4C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2.04</w:t>
                  </w:r>
                </w:p>
              </w:tc>
              <w:tc>
                <w:tcPr>
                  <w:tcW w:w="689" w:type="pct"/>
                  <w:vAlign w:val="center"/>
                </w:tcPr>
                <w:p w14:paraId="59750DF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2.67</w:t>
                  </w:r>
                </w:p>
              </w:tc>
              <w:tc>
                <w:tcPr>
                  <w:tcW w:w="691" w:type="pct"/>
                  <w:vAlign w:val="center"/>
                </w:tcPr>
                <w:p w14:paraId="10840F0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3.40</w:t>
                  </w:r>
                </w:p>
              </w:tc>
            </w:tr>
            <w:tr w14:paraId="5E76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5204BA7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32B0EE1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631" w:type="pct"/>
                  <w:vMerge w:val="continue"/>
                  <w:vAlign w:val="center"/>
                </w:tcPr>
                <w:p w14:paraId="63F63C8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32" w:type="pct"/>
                  <w:vAlign w:val="center"/>
                </w:tcPr>
                <w:p w14:paraId="597DF5A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排放速率（kg/h）</w:t>
                  </w:r>
                </w:p>
              </w:tc>
              <w:tc>
                <w:tcPr>
                  <w:tcW w:w="689" w:type="pct"/>
                  <w:vAlign w:val="center"/>
                </w:tcPr>
                <w:p w14:paraId="4ECEC7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1.19</w:t>
                  </w:r>
                  <w:r>
                    <w:rPr>
                      <w:rFonts w:hint="default" w:ascii="Arial" w:hAnsi="Arial" w:cs="Arial"/>
                      <w:b w:val="0"/>
                      <w:bCs w:val="0"/>
                      <w:color w:val="auto"/>
                      <w:sz w:val="21"/>
                      <w:szCs w:val="21"/>
                      <w:vertAlign w:val="baseline"/>
                      <w:lang w:val="en-US" w:eastAsia="zh-CN"/>
                    </w:rPr>
                    <w:t>×</w:t>
                  </w:r>
                  <w:r>
                    <w:rPr>
                      <w:rFonts w:hint="eastAsia"/>
                      <w:b w:val="0"/>
                      <w:bCs w:val="0"/>
                      <w:color w:val="auto"/>
                      <w:sz w:val="21"/>
                      <w:szCs w:val="21"/>
                      <w:vertAlign w:val="baseline"/>
                      <w:lang w:val="en-US" w:eastAsia="zh-CN"/>
                    </w:rPr>
                    <w:t>10</w:t>
                  </w:r>
                  <w:r>
                    <w:rPr>
                      <w:rFonts w:hint="eastAsia"/>
                      <w:b w:val="0"/>
                      <w:bCs w:val="0"/>
                      <w:color w:val="auto"/>
                      <w:sz w:val="21"/>
                      <w:szCs w:val="21"/>
                      <w:vertAlign w:val="superscript"/>
                      <w:lang w:val="en-US" w:eastAsia="zh-CN"/>
                    </w:rPr>
                    <w:t>-2</w:t>
                  </w:r>
                </w:p>
              </w:tc>
              <w:tc>
                <w:tcPr>
                  <w:tcW w:w="689" w:type="pct"/>
                  <w:vAlign w:val="center"/>
                </w:tcPr>
                <w:p w14:paraId="67908D1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1.58</w:t>
                  </w:r>
                  <w:r>
                    <w:rPr>
                      <w:rFonts w:hint="default" w:ascii="Arial" w:hAnsi="Arial" w:cs="Arial"/>
                      <w:b w:val="0"/>
                      <w:bCs w:val="0"/>
                      <w:color w:val="auto"/>
                      <w:sz w:val="21"/>
                      <w:szCs w:val="21"/>
                      <w:vertAlign w:val="baseline"/>
                      <w:lang w:val="en-US" w:eastAsia="zh-CN"/>
                    </w:rPr>
                    <w:t>×</w:t>
                  </w:r>
                  <w:r>
                    <w:rPr>
                      <w:rFonts w:hint="eastAsia"/>
                      <w:b w:val="0"/>
                      <w:bCs w:val="0"/>
                      <w:color w:val="auto"/>
                      <w:sz w:val="21"/>
                      <w:szCs w:val="21"/>
                      <w:vertAlign w:val="baseline"/>
                      <w:lang w:val="en-US" w:eastAsia="zh-CN"/>
                    </w:rPr>
                    <w:t>10</w:t>
                  </w:r>
                  <w:r>
                    <w:rPr>
                      <w:rFonts w:hint="eastAsia"/>
                      <w:b w:val="0"/>
                      <w:bCs w:val="0"/>
                      <w:color w:val="auto"/>
                      <w:sz w:val="21"/>
                      <w:szCs w:val="21"/>
                      <w:vertAlign w:val="superscript"/>
                      <w:lang w:val="en-US" w:eastAsia="zh-CN"/>
                    </w:rPr>
                    <w:t>-2</w:t>
                  </w:r>
                </w:p>
              </w:tc>
              <w:tc>
                <w:tcPr>
                  <w:tcW w:w="691" w:type="pct"/>
                  <w:vAlign w:val="center"/>
                </w:tcPr>
                <w:p w14:paraId="3308B0A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2.01</w:t>
                  </w:r>
                  <w:r>
                    <w:rPr>
                      <w:rFonts w:hint="default" w:ascii="Arial" w:hAnsi="Arial" w:cs="Arial"/>
                      <w:b w:val="0"/>
                      <w:bCs w:val="0"/>
                      <w:color w:val="auto"/>
                      <w:sz w:val="21"/>
                      <w:szCs w:val="21"/>
                      <w:vertAlign w:val="baseline"/>
                      <w:lang w:val="en-US" w:eastAsia="zh-CN"/>
                    </w:rPr>
                    <w:t>×</w:t>
                  </w:r>
                  <w:r>
                    <w:rPr>
                      <w:rFonts w:hint="eastAsia"/>
                      <w:b w:val="0"/>
                      <w:bCs w:val="0"/>
                      <w:color w:val="auto"/>
                      <w:sz w:val="21"/>
                      <w:szCs w:val="21"/>
                      <w:vertAlign w:val="baseline"/>
                      <w:lang w:val="en-US" w:eastAsia="zh-CN"/>
                    </w:rPr>
                    <w:t>10</w:t>
                  </w:r>
                  <w:r>
                    <w:rPr>
                      <w:rFonts w:hint="eastAsia"/>
                      <w:b w:val="0"/>
                      <w:bCs w:val="0"/>
                      <w:color w:val="auto"/>
                      <w:sz w:val="21"/>
                      <w:szCs w:val="21"/>
                      <w:vertAlign w:val="superscript"/>
                      <w:lang w:val="en-US" w:eastAsia="zh-CN"/>
                    </w:rPr>
                    <w:t>-2</w:t>
                  </w:r>
                </w:p>
              </w:tc>
            </w:tr>
            <w:tr w14:paraId="7C955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restart"/>
                  <w:vAlign w:val="center"/>
                </w:tcPr>
                <w:p w14:paraId="26415BB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2024.12.9</w:t>
                  </w:r>
                </w:p>
              </w:tc>
              <w:tc>
                <w:tcPr>
                  <w:tcW w:w="769" w:type="pct"/>
                  <w:vMerge w:val="restart"/>
                  <w:vAlign w:val="center"/>
                </w:tcPr>
                <w:p w14:paraId="54151F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袋式除尘</w:t>
                  </w:r>
                </w:p>
                <w:p w14:paraId="1B4B9C1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器出气口</w:t>
                  </w:r>
                </w:p>
                <w:p w14:paraId="3BED41E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(DA005)</w:t>
                  </w:r>
                </w:p>
              </w:tc>
              <w:tc>
                <w:tcPr>
                  <w:tcW w:w="1364" w:type="pct"/>
                  <w:gridSpan w:val="2"/>
                  <w:vAlign w:val="center"/>
                </w:tcPr>
                <w:p w14:paraId="57257E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val="en-US" w:eastAsia="zh-CN"/>
                    </w:rPr>
                    <w:t>排气筒高度（m）</w:t>
                  </w:r>
                </w:p>
              </w:tc>
              <w:tc>
                <w:tcPr>
                  <w:tcW w:w="2071" w:type="pct"/>
                  <w:gridSpan w:val="3"/>
                  <w:vAlign w:val="center"/>
                </w:tcPr>
                <w:p w14:paraId="660976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15</w:t>
                  </w:r>
                </w:p>
              </w:tc>
            </w:tr>
            <w:tr w14:paraId="290F7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7D53A83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73307EE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6D54AA4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截面积（m</w:t>
                  </w:r>
                  <w:r>
                    <w:rPr>
                      <w:rFonts w:hint="eastAsia" w:eastAsia="宋体"/>
                      <w:b w:val="0"/>
                      <w:bCs w:val="0"/>
                      <w:color w:val="auto"/>
                      <w:sz w:val="21"/>
                      <w:szCs w:val="21"/>
                      <w:vertAlign w:val="superscript"/>
                      <w:lang w:eastAsia="zh-CN"/>
                    </w:rPr>
                    <w:t>2</w:t>
                  </w:r>
                  <w:r>
                    <w:rPr>
                      <w:rFonts w:hint="eastAsia" w:eastAsia="宋体"/>
                      <w:b w:val="0"/>
                      <w:bCs w:val="0"/>
                      <w:color w:val="auto"/>
                      <w:sz w:val="21"/>
                      <w:szCs w:val="21"/>
                      <w:vertAlign w:val="baseline"/>
                      <w:lang w:eastAsia="zh-CN"/>
                    </w:rPr>
                    <w:t>）</w:t>
                  </w:r>
                </w:p>
              </w:tc>
              <w:tc>
                <w:tcPr>
                  <w:tcW w:w="2071" w:type="pct"/>
                  <w:gridSpan w:val="3"/>
                  <w:vAlign w:val="center"/>
                </w:tcPr>
                <w:p w14:paraId="34F5B64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0.2827</w:t>
                  </w:r>
                </w:p>
              </w:tc>
            </w:tr>
            <w:tr w14:paraId="54708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00A925A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4BFDDAC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536C6A0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烟温</w:t>
                  </w:r>
                  <w:r>
                    <w:rPr>
                      <w:rFonts w:hint="eastAsia"/>
                      <w:b w:val="0"/>
                      <w:bCs w:val="0"/>
                      <w:color w:val="auto"/>
                      <w:sz w:val="21"/>
                      <w:szCs w:val="21"/>
                      <w:vertAlign w:val="baseline"/>
                      <w:lang w:eastAsia="zh-CN"/>
                    </w:rPr>
                    <w:t>（</w:t>
                  </w:r>
                  <w:r>
                    <w:rPr>
                      <w:rFonts w:hint="default" w:ascii="Times New Roman" w:hAnsi="Times New Roman" w:eastAsia="宋体" w:cs="Times New Roman"/>
                      <w:b w:val="0"/>
                      <w:bCs w:val="0"/>
                      <w:color w:val="auto"/>
                      <w:sz w:val="21"/>
                      <w:szCs w:val="21"/>
                      <w:vertAlign w:val="baseline"/>
                      <w:lang w:eastAsia="zh-CN"/>
                    </w:rPr>
                    <w:t>℃</w:t>
                  </w:r>
                  <w:r>
                    <w:rPr>
                      <w:rFonts w:hint="eastAsia" w:cs="Times New Roman"/>
                      <w:b w:val="0"/>
                      <w:bCs w:val="0"/>
                      <w:color w:val="auto"/>
                      <w:sz w:val="21"/>
                      <w:szCs w:val="21"/>
                      <w:vertAlign w:val="baseline"/>
                      <w:lang w:eastAsia="zh-CN"/>
                    </w:rPr>
                    <w:t>）</w:t>
                  </w:r>
                </w:p>
              </w:tc>
              <w:tc>
                <w:tcPr>
                  <w:tcW w:w="689" w:type="pct"/>
                  <w:vAlign w:val="center"/>
                </w:tcPr>
                <w:p w14:paraId="65BD4E8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14.6</w:t>
                  </w:r>
                </w:p>
              </w:tc>
              <w:tc>
                <w:tcPr>
                  <w:tcW w:w="689" w:type="pct"/>
                  <w:vAlign w:val="center"/>
                </w:tcPr>
                <w:p w14:paraId="3F6768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13.7</w:t>
                  </w:r>
                </w:p>
              </w:tc>
              <w:tc>
                <w:tcPr>
                  <w:tcW w:w="691" w:type="pct"/>
                  <w:vAlign w:val="center"/>
                </w:tcPr>
                <w:p w14:paraId="50A5305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13.2</w:t>
                  </w:r>
                </w:p>
              </w:tc>
            </w:tr>
            <w:tr w14:paraId="4D425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467D86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0CE8B3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3096BE2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含湿量（%）</w:t>
                  </w:r>
                </w:p>
              </w:tc>
              <w:tc>
                <w:tcPr>
                  <w:tcW w:w="689" w:type="pct"/>
                  <w:vAlign w:val="center"/>
                </w:tcPr>
                <w:p w14:paraId="7166AC9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auto"/>
                      <w:sz w:val="21"/>
                      <w:szCs w:val="21"/>
                      <w:vertAlign w:val="baseline"/>
                      <w:lang w:val="en-US" w:eastAsia="zh-CN"/>
                    </w:rPr>
                  </w:pPr>
                  <w:r>
                    <w:rPr>
                      <w:rFonts w:hint="eastAsia"/>
                      <w:b w:val="0"/>
                      <w:bCs w:val="0"/>
                      <w:color w:val="auto"/>
                      <w:sz w:val="21"/>
                      <w:szCs w:val="21"/>
                      <w:vertAlign w:val="baseline"/>
                      <w:lang w:val="en-US" w:eastAsia="zh-CN"/>
                    </w:rPr>
                    <w:t>1.79</w:t>
                  </w:r>
                </w:p>
              </w:tc>
              <w:tc>
                <w:tcPr>
                  <w:tcW w:w="689" w:type="pct"/>
                  <w:vAlign w:val="center"/>
                </w:tcPr>
                <w:p w14:paraId="33193BF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1.79</w:t>
                  </w:r>
                </w:p>
              </w:tc>
              <w:tc>
                <w:tcPr>
                  <w:tcW w:w="691" w:type="pct"/>
                  <w:vAlign w:val="center"/>
                </w:tcPr>
                <w:p w14:paraId="796C341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1.80</w:t>
                  </w:r>
                </w:p>
              </w:tc>
            </w:tr>
            <w:tr w14:paraId="2EA8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123964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342CB19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2950923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流速（m/s）</w:t>
                  </w:r>
                </w:p>
              </w:tc>
              <w:tc>
                <w:tcPr>
                  <w:tcW w:w="689" w:type="pct"/>
                  <w:vAlign w:val="center"/>
                </w:tcPr>
                <w:p w14:paraId="4BFA979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4.3</w:t>
                  </w:r>
                </w:p>
              </w:tc>
              <w:tc>
                <w:tcPr>
                  <w:tcW w:w="689" w:type="pct"/>
                  <w:vAlign w:val="center"/>
                </w:tcPr>
                <w:p w14:paraId="27EC2D2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4.1</w:t>
                  </w:r>
                </w:p>
              </w:tc>
              <w:tc>
                <w:tcPr>
                  <w:tcW w:w="691" w:type="pct"/>
                  <w:vAlign w:val="center"/>
                </w:tcPr>
                <w:p w14:paraId="1833DB1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4.3</w:t>
                  </w:r>
                </w:p>
              </w:tc>
            </w:tr>
            <w:tr w14:paraId="5AA4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0918EF1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7325A55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5716559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标干流量（m</w:t>
                  </w:r>
                  <w:r>
                    <w:rPr>
                      <w:rFonts w:hint="eastAsia" w:eastAsia="宋体"/>
                      <w:b w:val="0"/>
                      <w:bCs w:val="0"/>
                      <w:color w:val="auto"/>
                      <w:sz w:val="21"/>
                      <w:szCs w:val="21"/>
                      <w:vertAlign w:val="superscript"/>
                      <w:lang w:eastAsia="zh-CN"/>
                    </w:rPr>
                    <w:t>3</w:t>
                  </w:r>
                  <w:r>
                    <w:rPr>
                      <w:rFonts w:hint="eastAsia" w:eastAsia="宋体"/>
                      <w:b w:val="0"/>
                      <w:bCs w:val="0"/>
                      <w:color w:val="auto"/>
                      <w:sz w:val="21"/>
                      <w:szCs w:val="21"/>
                      <w:vertAlign w:val="baseline"/>
                      <w:lang w:eastAsia="zh-CN"/>
                    </w:rPr>
                    <w:t>/h）</w:t>
                  </w:r>
                </w:p>
              </w:tc>
              <w:tc>
                <w:tcPr>
                  <w:tcW w:w="689" w:type="pct"/>
                  <w:vAlign w:val="center"/>
                </w:tcPr>
                <w:p w14:paraId="5F7F8F6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4157</w:t>
                  </w:r>
                </w:p>
              </w:tc>
              <w:tc>
                <w:tcPr>
                  <w:tcW w:w="689" w:type="pct"/>
                  <w:vAlign w:val="center"/>
                </w:tcPr>
                <w:p w14:paraId="3449C8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3976</w:t>
                  </w:r>
                </w:p>
              </w:tc>
              <w:tc>
                <w:tcPr>
                  <w:tcW w:w="691" w:type="pct"/>
                  <w:vAlign w:val="center"/>
                </w:tcPr>
                <w:p w14:paraId="71E0A6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41</w:t>
                  </w:r>
                </w:p>
              </w:tc>
            </w:tr>
            <w:tr w14:paraId="40C4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62F0BA6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01DF113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631" w:type="pct"/>
                  <w:vMerge w:val="restart"/>
                  <w:vAlign w:val="center"/>
                </w:tcPr>
                <w:p w14:paraId="533E6DE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颗粒物</w:t>
                  </w:r>
                </w:p>
              </w:tc>
              <w:tc>
                <w:tcPr>
                  <w:tcW w:w="732" w:type="pct"/>
                  <w:vAlign w:val="center"/>
                </w:tcPr>
                <w:p w14:paraId="1044687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检测浓度（mg/m</w:t>
                  </w:r>
                  <w:r>
                    <w:rPr>
                      <w:rFonts w:hint="eastAsia" w:eastAsia="宋体"/>
                      <w:b w:val="0"/>
                      <w:bCs w:val="0"/>
                      <w:color w:val="auto"/>
                      <w:sz w:val="21"/>
                      <w:szCs w:val="21"/>
                      <w:vertAlign w:val="superscript"/>
                      <w:lang w:eastAsia="zh-CN"/>
                    </w:rPr>
                    <w:t>3</w:t>
                  </w:r>
                  <w:r>
                    <w:rPr>
                      <w:rFonts w:hint="eastAsia" w:eastAsia="宋体"/>
                      <w:b w:val="0"/>
                      <w:bCs w:val="0"/>
                      <w:color w:val="auto"/>
                      <w:sz w:val="21"/>
                      <w:szCs w:val="21"/>
                      <w:vertAlign w:val="baseline"/>
                      <w:lang w:eastAsia="zh-CN"/>
                    </w:rPr>
                    <w:t>）</w:t>
                  </w:r>
                </w:p>
              </w:tc>
              <w:tc>
                <w:tcPr>
                  <w:tcW w:w="689" w:type="pct"/>
                  <w:vAlign w:val="center"/>
                </w:tcPr>
                <w:p w14:paraId="348CB76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2.1</w:t>
                  </w:r>
                </w:p>
              </w:tc>
              <w:tc>
                <w:tcPr>
                  <w:tcW w:w="689" w:type="pct"/>
                  <w:vAlign w:val="center"/>
                </w:tcPr>
                <w:p w14:paraId="7F23643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1.5</w:t>
                  </w:r>
                </w:p>
              </w:tc>
              <w:tc>
                <w:tcPr>
                  <w:tcW w:w="691" w:type="pct"/>
                  <w:vAlign w:val="center"/>
                </w:tcPr>
                <w:p w14:paraId="5D0C3DF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1.8</w:t>
                  </w:r>
                </w:p>
              </w:tc>
            </w:tr>
            <w:tr w14:paraId="61BB5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2D4EA8D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1B2DBF2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631" w:type="pct"/>
                  <w:vMerge w:val="continue"/>
                  <w:vAlign w:val="center"/>
                </w:tcPr>
                <w:p w14:paraId="244FE47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32" w:type="pct"/>
                  <w:vAlign w:val="center"/>
                </w:tcPr>
                <w:p w14:paraId="181C775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排放速率（kg/h）</w:t>
                  </w:r>
                </w:p>
              </w:tc>
              <w:tc>
                <w:tcPr>
                  <w:tcW w:w="689" w:type="pct"/>
                  <w:vAlign w:val="center"/>
                </w:tcPr>
                <w:p w14:paraId="0B421A2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8.73</w:t>
                  </w:r>
                  <w:r>
                    <w:rPr>
                      <w:rFonts w:hint="default" w:ascii="Arial" w:hAnsi="Arial" w:cs="Arial"/>
                      <w:b w:val="0"/>
                      <w:bCs w:val="0"/>
                      <w:color w:val="auto"/>
                      <w:sz w:val="21"/>
                      <w:szCs w:val="21"/>
                      <w:vertAlign w:val="baseline"/>
                      <w:lang w:val="en-US" w:eastAsia="zh-CN"/>
                    </w:rPr>
                    <w:t>×</w:t>
                  </w:r>
                  <w:r>
                    <w:rPr>
                      <w:rFonts w:hint="eastAsia"/>
                      <w:b w:val="0"/>
                      <w:bCs w:val="0"/>
                      <w:color w:val="auto"/>
                      <w:sz w:val="21"/>
                      <w:szCs w:val="21"/>
                      <w:vertAlign w:val="baseline"/>
                      <w:lang w:val="en-US" w:eastAsia="zh-CN"/>
                    </w:rPr>
                    <w:t>10</w:t>
                  </w:r>
                  <w:r>
                    <w:rPr>
                      <w:rFonts w:hint="eastAsia"/>
                      <w:b w:val="0"/>
                      <w:bCs w:val="0"/>
                      <w:color w:val="auto"/>
                      <w:sz w:val="21"/>
                      <w:szCs w:val="21"/>
                      <w:vertAlign w:val="superscript"/>
                      <w:lang w:val="en-US" w:eastAsia="zh-CN"/>
                    </w:rPr>
                    <w:t>-3</w:t>
                  </w:r>
                </w:p>
              </w:tc>
              <w:tc>
                <w:tcPr>
                  <w:tcW w:w="689" w:type="pct"/>
                  <w:vAlign w:val="center"/>
                </w:tcPr>
                <w:p w14:paraId="3DB7F9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sz w:val="21"/>
                      <w:szCs w:val="21"/>
                      <w:vertAlign w:val="baseline"/>
                      <w:lang w:eastAsia="zh-CN"/>
                    </w:rPr>
                  </w:pPr>
                  <w:r>
                    <w:rPr>
                      <w:rFonts w:hint="default" w:ascii="Times New Roman" w:hAnsi="Times New Roman" w:cs="Times New Roman"/>
                      <w:b w:val="0"/>
                      <w:bCs w:val="0"/>
                      <w:color w:val="auto"/>
                      <w:sz w:val="21"/>
                      <w:szCs w:val="21"/>
                      <w:vertAlign w:val="baseline"/>
                      <w:lang w:val="en-US" w:eastAsia="zh-CN"/>
                    </w:rPr>
                    <w:t>5.96×10</w:t>
                  </w:r>
                  <w:r>
                    <w:rPr>
                      <w:rFonts w:hint="default" w:ascii="Times New Roman" w:hAnsi="Times New Roman" w:cs="Times New Roman"/>
                      <w:b w:val="0"/>
                      <w:bCs w:val="0"/>
                      <w:color w:val="auto"/>
                      <w:sz w:val="21"/>
                      <w:szCs w:val="21"/>
                      <w:vertAlign w:val="superscript"/>
                      <w:lang w:val="en-US" w:eastAsia="zh-CN"/>
                    </w:rPr>
                    <w:t>-3</w:t>
                  </w:r>
                </w:p>
              </w:tc>
              <w:tc>
                <w:tcPr>
                  <w:tcW w:w="691" w:type="pct"/>
                  <w:vAlign w:val="center"/>
                </w:tcPr>
                <w:p w14:paraId="6612A5A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color w:val="auto"/>
                      <w:sz w:val="21"/>
                      <w:szCs w:val="21"/>
                      <w:vertAlign w:val="baseline"/>
                      <w:lang w:eastAsia="zh-CN"/>
                    </w:rPr>
                  </w:pPr>
                  <w:r>
                    <w:rPr>
                      <w:rFonts w:hint="default" w:ascii="Times New Roman" w:hAnsi="Times New Roman" w:cs="Times New Roman"/>
                      <w:b w:val="0"/>
                      <w:bCs w:val="0"/>
                      <w:color w:val="auto"/>
                      <w:sz w:val="21"/>
                      <w:szCs w:val="21"/>
                      <w:vertAlign w:val="baseline"/>
                      <w:lang w:val="en-US" w:eastAsia="zh-CN"/>
                    </w:rPr>
                    <w:t>7.52×10</w:t>
                  </w:r>
                  <w:r>
                    <w:rPr>
                      <w:rFonts w:hint="default" w:ascii="Times New Roman" w:hAnsi="Times New Roman" w:cs="Times New Roman"/>
                      <w:b w:val="0"/>
                      <w:bCs w:val="0"/>
                      <w:color w:val="auto"/>
                      <w:sz w:val="21"/>
                      <w:szCs w:val="21"/>
                      <w:vertAlign w:val="superscript"/>
                      <w:lang w:val="en-US" w:eastAsia="zh-CN"/>
                    </w:rPr>
                    <w:t>-3</w:t>
                  </w:r>
                </w:p>
              </w:tc>
            </w:tr>
            <w:tr w14:paraId="568B6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restart"/>
                  <w:vAlign w:val="center"/>
                </w:tcPr>
                <w:p w14:paraId="7B9117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2024.12.10</w:t>
                  </w:r>
                </w:p>
              </w:tc>
              <w:tc>
                <w:tcPr>
                  <w:tcW w:w="769" w:type="pct"/>
                  <w:vMerge w:val="restart"/>
                  <w:vAlign w:val="center"/>
                </w:tcPr>
                <w:p w14:paraId="73A2B2F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二级活性</w:t>
                  </w:r>
                </w:p>
                <w:p w14:paraId="53105C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炭吸附装</w:t>
                  </w:r>
                </w:p>
                <w:p w14:paraId="0F98E55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置出气口</w:t>
                  </w:r>
                </w:p>
                <w:p w14:paraId="7BCA6F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(DA004)</w:t>
                  </w:r>
                </w:p>
              </w:tc>
              <w:tc>
                <w:tcPr>
                  <w:tcW w:w="1364" w:type="pct"/>
                  <w:gridSpan w:val="2"/>
                  <w:vAlign w:val="center"/>
                </w:tcPr>
                <w:p w14:paraId="48E4223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val="en-US" w:eastAsia="zh-CN"/>
                    </w:rPr>
                    <w:t>排气筒高度（m）</w:t>
                  </w:r>
                </w:p>
              </w:tc>
              <w:tc>
                <w:tcPr>
                  <w:tcW w:w="2071" w:type="pct"/>
                  <w:gridSpan w:val="3"/>
                  <w:vAlign w:val="center"/>
                </w:tcPr>
                <w:p w14:paraId="42BCE6F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15</w:t>
                  </w:r>
                </w:p>
              </w:tc>
            </w:tr>
            <w:tr w14:paraId="67AC7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29FE4FC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74BC048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767A6C1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截面积（m</w:t>
                  </w:r>
                  <w:r>
                    <w:rPr>
                      <w:rFonts w:hint="eastAsia" w:eastAsia="宋体"/>
                      <w:b w:val="0"/>
                      <w:bCs w:val="0"/>
                      <w:color w:val="auto"/>
                      <w:sz w:val="21"/>
                      <w:szCs w:val="21"/>
                      <w:vertAlign w:val="superscript"/>
                      <w:lang w:eastAsia="zh-CN"/>
                    </w:rPr>
                    <w:t>2</w:t>
                  </w:r>
                  <w:r>
                    <w:rPr>
                      <w:rFonts w:hint="eastAsia" w:eastAsia="宋体"/>
                      <w:b w:val="0"/>
                      <w:bCs w:val="0"/>
                      <w:color w:val="auto"/>
                      <w:sz w:val="21"/>
                      <w:szCs w:val="21"/>
                      <w:vertAlign w:val="baseline"/>
                      <w:lang w:eastAsia="zh-CN"/>
                    </w:rPr>
                    <w:t>）</w:t>
                  </w:r>
                </w:p>
              </w:tc>
              <w:tc>
                <w:tcPr>
                  <w:tcW w:w="2071" w:type="pct"/>
                  <w:gridSpan w:val="3"/>
                  <w:vAlign w:val="center"/>
                </w:tcPr>
                <w:p w14:paraId="4BD78A7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0.1257</w:t>
                  </w:r>
                </w:p>
              </w:tc>
            </w:tr>
            <w:tr w14:paraId="3541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4953E79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4124114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45E1C1E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烟温</w:t>
                  </w:r>
                  <w:r>
                    <w:rPr>
                      <w:rFonts w:hint="eastAsia"/>
                      <w:b w:val="0"/>
                      <w:bCs w:val="0"/>
                      <w:color w:val="auto"/>
                      <w:sz w:val="21"/>
                      <w:szCs w:val="21"/>
                      <w:vertAlign w:val="baseline"/>
                      <w:lang w:eastAsia="zh-CN"/>
                    </w:rPr>
                    <w:t>（</w:t>
                  </w:r>
                  <w:r>
                    <w:rPr>
                      <w:rFonts w:hint="default" w:ascii="Times New Roman" w:hAnsi="Times New Roman" w:eastAsia="宋体" w:cs="Times New Roman"/>
                      <w:b w:val="0"/>
                      <w:bCs w:val="0"/>
                      <w:color w:val="auto"/>
                      <w:sz w:val="21"/>
                      <w:szCs w:val="21"/>
                      <w:vertAlign w:val="baseline"/>
                      <w:lang w:eastAsia="zh-CN"/>
                    </w:rPr>
                    <w:t>℃</w:t>
                  </w:r>
                  <w:r>
                    <w:rPr>
                      <w:rFonts w:hint="eastAsia" w:cs="Times New Roman"/>
                      <w:b w:val="0"/>
                      <w:bCs w:val="0"/>
                      <w:color w:val="auto"/>
                      <w:sz w:val="21"/>
                      <w:szCs w:val="21"/>
                      <w:vertAlign w:val="baseline"/>
                      <w:lang w:eastAsia="zh-CN"/>
                    </w:rPr>
                    <w:t>）</w:t>
                  </w:r>
                </w:p>
              </w:tc>
              <w:tc>
                <w:tcPr>
                  <w:tcW w:w="689" w:type="pct"/>
                  <w:vAlign w:val="center"/>
                </w:tcPr>
                <w:p w14:paraId="4892E38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16.5</w:t>
                  </w:r>
                </w:p>
              </w:tc>
              <w:tc>
                <w:tcPr>
                  <w:tcW w:w="689" w:type="pct"/>
                  <w:vAlign w:val="center"/>
                </w:tcPr>
                <w:p w14:paraId="074DB52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16.7</w:t>
                  </w:r>
                </w:p>
              </w:tc>
              <w:tc>
                <w:tcPr>
                  <w:tcW w:w="691" w:type="pct"/>
                  <w:vAlign w:val="center"/>
                </w:tcPr>
                <w:p w14:paraId="2893D2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16.8</w:t>
                  </w:r>
                </w:p>
              </w:tc>
            </w:tr>
            <w:tr w14:paraId="79C2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36AB4D4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101130B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22D2855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流速（m/s）</w:t>
                  </w:r>
                </w:p>
              </w:tc>
              <w:tc>
                <w:tcPr>
                  <w:tcW w:w="689" w:type="pct"/>
                  <w:vAlign w:val="center"/>
                </w:tcPr>
                <w:p w14:paraId="60CF5DB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12.6</w:t>
                  </w:r>
                </w:p>
              </w:tc>
              <w:tc>
                <w:tcPr>
                  <w:tcW w:w="689" w:type="pct"/>
                  <w:vAlign w:val="center"/>
                </w:tcPr>
                <w:p w14:paraId="37DDD45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12.6</w:t>
                  </w:r>
                </w:p>
              </w:tc>
              <w:tc>
                <w:tcPr>
                  <w:tcW w:w="691" w:type="pct"/>
                  <w:vAlign w:val="center"/>
                </w:tcPr>
                <w:p w14:paraId="3FFACB7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12.5</w:t>
                  </w:r>
                </w:p>
              </w:tc>
            </w:tr>
            <w:tr w14:paraId="6D127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2059A68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5AA037E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32E288A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标干流量（m</w:t>
                  </w:r>
                  <w:r>
                    <w:rPr>
                      <w:rFonts w:hint="eastAsia" w:eastAsia="宋体"/>
                      <w:b w:val="0"/>
                      <w:bCs w:val="0"/>
                      <w:color w:val="auto"/>
                      <w:sz w:val="21"/>
                      <w:szCs w:val="21"/>
                      <w:vertAlign w:val="superscript"/>
                      <w:lang w:eastAsia="zh-CN"/>
                    </w:rPr>
                    <w:t>3</w:t>
                  </w:r>
                  <w:r>
                    <w:rPr>
                      <w:rFonts w:hint="eastAsia" w:eastAsia="宋体"/>
                      <w:b w:val="0"/>
                      <w:bCs w:val="0"/>
                      <w:color w:val="auto"/>
                      <w:sz w:val="21"/>
                      <w:szCs w:val="21"/>
                      <w:vertAlign w:val="baseline"/>
                      <w:lang w:eastAsia="zh-CN"/>
                    </w:rPr>
                    <w:t>/h）</w:t>
                  </w:r>
                </w:p>
              </w:tc>
              <w:tc>
                <w:tcPr>
                  <w:tcW w:w="689" w:type="pct"/>
                  <w:vAlign w:val="center"/>
                </w:tcPr>
                <w:p w14:paraId="78748D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5368</w:t>
                  </w:r>
                </w:p>
              </w:tc>
              <w:tc>
                <w:tcPr>
                  <w:tcW w:w="689" w:type="pct"/>
                  <w:vAlign w:val="center"/>
                </w:tcPr>
                <w:p w14:paraId="03A934F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5364</w:t>
                  </w:r>
                </w:p>
              </w:tc>
              <w:tc>
                <w:tcPr>
                  <w:tcW w:w="691" w:type="pct"/>
                  <w:vAlign w:val="center"/>
                </w:tcPr>
                <w:p w14:paraId="481A21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5321</w:t>
                  </w:r>
                </w:p>
              </w:tc>
            </w:tr>
            <w:tr w14:paraId="5C5DB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63C0E08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4BCE180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631" w:type="pct"/>
                  <w:vMerge w:val="restart"/>
                  <w:vAlign w:val="center"/>
                </w:tcPr>
                <w:p w14:paraId="3EA288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非甲烷总烃</w:t>
                  </w:r>
                </w:p>
              </w:tc>
              <w:tc>
                <w:tcPr>
                  <w:tcW w:w="732" w:type="pct"/>
                  <w:vAlign w:val="center"/>
                </w:tcPr>
                <w:p w14:paraId="4DDD0A8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检测浓度（mg/m</w:t>
                  </w:r>
                  <w:r>
                    <w:rPr>
                      <w:rFonts w:hint="eastAsia" w:eastAsia="宋体"/>
                      <w:b w:val="0"/>
                      <w:bCs w:val="0"/>
                      <w:color w:val="auto"/>
                      <w:sz w:val="21"/>
                      <w:szCs w:val="21"/>
                      <w:vertAlign w:val="superscript"/>
                      <w:lang w:eastAsia="zh-CN"/>
                    </w:rPr>
                    <w:t>3</w:t>
                  </w:r>
                  <w:r>
                    <w:rPr>
                      <w:rFonts w:hint="eastAsia" w:eastAsia="宋体"/>
                      <w:b w:val="0"/>
                      <w:bCs w:val="0"/>
                      <w:color w:val="auto"/>
                      <w:sz w:val="21"/>
                      <w:szCs w:val="21"/>
                      <w:vertAlign w:val="baseline"/>
                      <w:lang w:eastAsia="zh-CN"/>
                    </w:rPr>
                    <w:t>）</w:t>
                  </w:r>
                </w:p>
              </w:tc>
              <w:tc>
                <w:tcPr>
                  <w:tcW w:w="689" w:type="pct"/>
                  <w:vAlign w:val="center"/>
                </w:tcPr>
                <w:p w14:paraId="54CE0B7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19.2</w:t>
                  </w:r>
                </w:p>
              </w:tc>
              <w:tc>
                <w:tcPr>
                  <w:tcW w:w="689" w:type="pct"/>
                  <w:vAlign w:val="center"/>
                </w:tcPr>
                <w:p w14:paraId="422A59C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23.3</w:t>
                  </w:r>
                </w:p>
              </w:tc>
              <w:tc>
                <w:tcPr>
                  <w:tcW w:w="691" w:type="pct"/>
                  <w:vAlign w:val="center"/>
                </w:tcPr>
                <w:p w14:paraId="68BA59E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23.1</w:t>
                  </w:r>
                </w:p>
              </w:tc>
            </w:tr>
            <w:tr w14:paraId="2146E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3ADE9ED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352772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631" w:type="pct"/>
                  <w:vMerge w:val="continue"/>
                  <w:vAlign w:val="center"/>
                </w:tcPr>
                <w:p w14:paraId="30A3032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32" w:type="pct"/>
                  <w:vAlign w:val="center"/>
                </w:tcPr>
                <w:p w14:paraId="43214B6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排放速率（kg/h）</w:t>
                  </w:r>
                </w:p>
              </w:tc>
              <w:tc>
                <w:tcPr>
                  <w:tcW w:w="689" w:type="pct"/>
                  <w:vAlign w:val="center"/>
                </w:tcPr>
                <w:p w14:paraId="66DECF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0.103</w:t>
                  </w:r>
                </w:p>
              </w:tc>
              <w:tc>
                <w:tcPr>
                  <w:tcW w:w="689" w:type="pct"/>
                  <w:vAlign w:val="center"/>
                </w:tcPr>
                <w:p w14:paraId="422E3A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0.125</w:t>
                  </w:r>
                </w:p>
              </w:tc>
              <w:tc>
                <w:tcPr>
                  <w:tcW w:w="691" w:type="pct"/>
                  <w:vAlign w:val="center"/>
                </w:tcPr>
                <w:p w14:paraId="67FDF0C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0.123</w:t>
                  </w:r>
                </w:p>
              </w:tc>
            </w:tr>
            <w:tr w14:paraId="4AF6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restart"/>
                  <w:vAlign w:val="center"/>
                </w:tcPr>
                <w:p w14:paraId="154F26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2024.12.10</w:t>
                  </w:r>
                </w:p>
              </w:tc>
              <w:tc>
                <w:tcPr>
                  <w:tcW w:w="769" w:type="pct"/>
                  <w:vMerge w:val="restart"/>
                  <w:vAlign w:val="center"/>
                </w:tcPr>
                <w:p w14:paraId="797A509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袋式除尘</w:t>
                  </w:r>
                </w:p>
                <w:p w14:paraId="65DC3DA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器出气口</w:t>
                  </w:r>
                </w:p>
                <w:p w14:paraId="4DB6FC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(DA005)</w:t>
                  </w:r>
                </w:p>
              </w:tc>
              <w:tc>
                <w:tcPr>
                  <w:tcW w:w="1364" w:type="pct"/>
                  <w:gridSpan w:val="2"/>
                  <w:vAlign w:val="center"/>
                </w:tcPr>
                <w:p w14:paraId="7A659E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val="en-US" w:eastAsia="zh-CN"/>
                    </w:rPr>
                    <w:t>排气筒高度（m）</w:t>
                  </w:r>
                </w:p>
              </w:tc>
              <w:tc>
                <w:tcPr>
                  <w:tcW w:w="2071" w:type="pct"/>
                  <w:gridSpan w:val="3"/>
                  <w:vAlign w:val="center"/>
                </w:tcPr>
                <w:p w14:paraId="536F89B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15</w:t>
                  </w:r>
                </w:p>
              </w:tc>
            </w:tr>
            <w:tr w14:paraId="55041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306A694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7F4052E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628ACDA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截面积（m</w:t>
                  </w:r>
                  <w:r>
                    <w:rPr>
                      <w:rFonts w:hint="eastAsia" w:eastAsia="宋体"/>
                      <w:b w:val="0"/>
                      <w:bCs w:val="0"/>
                      <w:color w:val="auto"/>
                      <w:sz w:val="21"/>
                      <w:szCs w:val="21"/>
                      <w:vertAlign w:val="superscript"/>
                      <w:lang w:eastAsia="zh-CN"/>
                    </w:rPr>
                    <w:t>2</w:t>
                  </w:r>
                  <w:r>
                    <w:rPr>
                      <w:rFonts w:hint="eastAsia" w:eastAsia="宋体"/>
                      <w:b w:val="0"/>
                      <w:bCs w:val="0"/>
                      <w:color w:val="auto"/>
                      <w:sz w:val="21"/>
                      <w:szCs w:val="21"/>
                      <w:vertAlign w:val="baseline"/>
                      <w:lang w:eastAsia="zh-CN"/>
                    </w:rPr>
                    <w:t>）</w:t>
                  </w:r>
                </w:p>
              </w:tc>
              <w:tc>
                <w:tcPr>
                  <w:tcW w:w="2071" w:type="pct"/>
                  <w:gridSpan w:val="3"/>
                  <w:vAlign w:val="center"/>
                </w:tcPr>
                <w:p w14:paraId="70376E9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0.2827</w:t>
                  </w:r>
                </w:p>
              </w:tc>
            </w:tr>
            <w:tr w14:paraId="153DD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07C1909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61F1446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5354BA8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烟温</w:t>
                  </w:r>
                  <w:r>
                    <w:rPr>
                      <w:rFonts w:hint="eastAsia"/>
                      <w:b w:val="0"/>
                      <w:bCs w:val="0"/>
                      <w:color w:val="auto"/>
                      <w:sz w:val="21"/>
                      <w:szCs w:val="21"/>
                      <w:vertAlign w:val="baseline"/>
                      <w:lang w:eastAsia="zh-CN"/>
                    </w:rPr>
                    <w:t>（</w:t>
                  </w:r>
                  <w:r>
                    <w:rPr>
                      <w:rFonts w:hint="default" w:ascii="Times New Roman" w:hAnsi="Times New Roman" w:eastAsia="宋体" w:cs="Times New Roman"/>
                      <w:b w:val="0"/>
                      <w:bCs w:val="0"/>
                      <w:color w:val="auto"/>
                      <w:sz w:val="21"/>
                      <w:szCs w:val="21"/>
                      <w:vertAlign w:val="baseline"/>
                      <w:lang w:eastAsia="zh-CN"/>
                    </w:rPr>
                    <w:t>℃</w:t>
                  </w:r>
                  <w:r>
                    <w:rPr>
                      <w:rFonts w:hint="eastAsia" w:cs="Times New Roman"/>
                      <w:b w:val="0"/>
                      <w:bCs w:val="0"/>
                      <w:color w:val="auto"/>
                      <w:sz w:val="21"/>
                      <w:szCs w:val="21"/>
                      <w:vertAlign w:val="baseline"/>
                      <w:lang w:eastAsia="zh-CN"/>
                    </w:rPr>
                    <w:t>）</w:t>
                  </w:r>
                </w:p>
              </w:tc>
              <w:tc>
                <w:tcPr>
                  <w:tcW w:w="689" w:type="pct"/>
                  <w:vAlign w:val="center"/>
                </w:tcPr>
                <w:p w14:paraId="577EB9D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13.1</w:t>
                  </w:r>
                </w:p>
              </w:tc>
              <w:tc>
                <w:tcPr>
                  <w:tcW w:w="689" w:type="pct"/>
                  <w:vAlign w:val="center"/>
                </w:tcPr>
                <w:p w14:paraId="53CE54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13.1</w:t>
                  </w:r>
                </w:p>
              </w:tc>
              <w:tc>
                <w:tcPr>
                  <w:tcW w:w="691" w:type="pct"/>
                  <w:vAlign w:val="center"/>
                </w:tcPr>
                <w:p w14:paraId="4E9479C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14.3</w:t>
                  </w:r>
                </w:p>
              </w:tc>
            </w:tr>
            <w:tr w14:paraId="6EF3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0ED67F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272EB6A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107FEC8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流速（m/s）</w:t>
                  </w:r>
                </w:p>
              </w:tc>
              <w:tc>
                <w:tcPr>
                  <w:tcW w:w="689" w:type="pct"/>
                  <w:vAlign w:val="center"/>
                </w:tcPr>
                <w:p w14:paraId="2963B0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3.6</w:t>
                  </w:r>
                </w:p>
              </w:tc>
              <w:tc>
                <w:tcPr>
                  <w:tcW w:w="689" w:type="pct"/>
                  <w:vAlign w:val="center"/>
                </w:tcPr>
                <w:p w14:paraId="6B158E7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3.4</w:t>
                  </w:r>
                </w:p>
              </w:tc>
              <w:tc>
                <w:tcPr>
                  <w:tcW w:w="691" w:type="pct"/>
                  <w:vAlign w:val="center"/>
                </w:tcPr>
                <w:p w14:paraId="1AE021B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4.0</w:t>
                  </w:r>
                </w:p>
              </w:tc>
            </w:tr>
            <w:tr w14:paraId="347F2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77B1F2F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6B96B26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64A7FAC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含湿量（</w:t>
                  </w:r>
                  <w:r>
                    <w:rPr>
                      <w:rFonts w:hint="eastAsia"/>
                      <w:b w:val="0"/>
                      <w:bCs w:val="0"/>
                      <w:color w:val="auto"/>
                      <w:sz w:val="21"/>
                      <w:szCs w:val="21"/>
                      <w:vertAlign w:val="baseline"/>
                      <w:lang w:val="en-US" w:eastAsia="zh-CN"/>
                    </w:rPr>
                    <w:t>%</w:t>
                  </w:r>
                  <w:r>
                    <w:rPr>
                      <w:rFonts w:hint="eastAsia"/>
                      <w:b w:val="0"/>
                      <w:bCs w:val="0"/>
                      <w:color w:val="auto"/>
                      <w:sz w:val="21"/>
                      <w:szCs w:val="21"/>
                      <w:vertAlign w:val="baseline"/>
                      <w:lang w:eastAsia="zh-CN"/>
                    </w:rPr>
                    <w:t>）</w:t>
                  </w:r>
                </w:p>
              </w:tc>
              <w:tc>
                <w:tcPr>
                  <w:tcW w:w="689" w:type="pct"/>
                  <w:vAlign w:val="center"/>
                </w:tcPr>
                <w:p w14:paraId="55D56AC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b w:val="0"/>
                      <w:bCs w:val="0"/>
                      <w:color w:val="auto"/>
                      <w:sz w:val="21"/>
                      <w:szCs w:val="21"/>
                      <w:vertAlign w:val="baseline"/>
                      <w:lang w:val="en-US" w:eastAsia="zh-CN"/>
                    </w:rPr>
                  </w:pPr>
                  <w:r>
                    <w:rPr>
                      <w:rFonts w:hint="eastAsia"/>
                      <w:b w:val="0"/>
                      <w:bCs w:val="0"/>
                      <w:color w:val="auto"/>
                      <w:sz w:val="21"/>
                      <w:szCs w:val="21"/>
                      <w:vertAlign w:val="baseline"/>
                      <w:lang w:val="en-US" w:eastAsia="zh-CN"/>
                    </w:rPr>
                    <w:t>1.84</w:t>
                  </w:r>
                </w:p>
              </w:tc>
              <w:tc>
                <w:tcPr>
                  <w:tcW w:w="689" w:type="pct"/>
                  <w:vAlign w:val="center"/>
                </w:tcPr>
                <w:p w14:paraId="636EA58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b w:val="0"/>
                      <w:bCs w:val="0"/>
                      <w:color w:val="auto"/>
                      <w:sz w:val="21"/>
                      <w:szCs w:val="21"/>
                      <w:vertAlign w:val="baseline"/>
                      <w:lang w:val="en-US" w:eastAsia="zh-CN"/>
                    </w:rPr>
                  </w:pPr>
                  <w:r>
                    <w:rPr>
                      <w:rFonts w:hint="eastAsia"/>
                      <w:b w:val="0"/>
                      <w:bCs w:val="0"/>
                      <w:color w:val="auto"/>
                      <w:sz w:val="21"/>
                      <w:szCs w:val="21"/>
                      <w:vertAlign w:val="baseline"/>
                      <w:lang w:val="en-US" w:eastAsia="zh-CN"/>
                    </w:rPr>
                    <w:t>1.84</w:t>
                  </w:r>
                </w:p>
              </w:tc>
              <w:tc>
                <w:tcPr>
                  <w:tcW w:w="691" w:type="pct"/>
                  <w:vAlign w:val="center"/>
                </w:tcPr>
                <w:p w14:paraId="7949C96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b w:val="0"/>
                      <w:bCs w:val="0"/>
                      <w:color w:val="auto"/>
                      <w:sz w:val="21"/>
                      <w:szCs w:val="21"/>
                      <w:vertAlign w:val="baseline"/>
                      <w:lang w:val="en-US" w:eastAsia="zh-CN"/>
                    </w:rPr>
                  </w:pPr>
                  <w:r>
                    <w:rPr>
                      <w:rFonts w:hint="eastAsia"/>
                      <w:b w:val="0"/>
                      <w:bCs w:val="0"/>
                      <w:color w:val="auto"/>
                      <w:sz w:val="21"/>
                      <w:szCs w:val="21"/>
                      <w:vertAlign w:val="baseline"/>
                      <w:lang w:val="en-US" w:eastAsia="zh-CN"/>
                    </w:rPr>
                    <w:t>1.83</w:t>
                  </w:r>
                </w:p>
              </w:tc>
            </w:tr>
            <w:tr w14:paraId="76D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5D94CB1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2FC703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1364" w:type="pct"/>
                  <w:gridSpan w:val="2"/>
                  <w:vAlign w:val="center"/>
                </w:tcPr>
                <w:p w14:paraId="1C3A615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标干流量（m</w:t>
                  </w:r>
                  <w:r>
                    <w:rPr>
                      <w:rFonts w:hint="eastAsia" w:eastAsia="宋体"/>
                      <w:b w:val="0"/>
                      <w:bCs w:val="0"/>
                      <w:color w:val="auto"/>
                      <w:sz w:val="21"/>
                      <w:szCs w:val="21"/>
                      <w:vertAlign w:val="superscript"/>
                      <w:lang w:eastAsia="zh-CN"/>
                    </w:rPr>
                    <w:t>3</w:t>
                  </w:r>
                  <w:r>
                    <w:rPr>
                      <w:rFonts w:hint="eastAsia" w:eastAsia="宋体"/>
                      <w:b w:val="0"/>
                      <w:bCs w:val="0"/>
                      <w:color w:val="auto"/>
                      <w:sz w:val="21"/>
                      <w:szCs w:val="21"/>
                      <w:vertAlign w:val="baseline"/>
                      <w:lang w:eastAsia="zh-CN"/>
                    </w:rPr>
                    <w:t>/h）</w:t>
                  </w:r>
                </w:p>
              </w:tc>
              <w:tc>
                <w:tcPr>
                  <w:tcW w:w="689" w:type="pct"/>
                  <w:vAlign w:val="center"/>
                </w:tcPr>
                <w:p w14:paraId="311536C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3496</w:t>
                  </w:r>
                </w:p>
              </w:tc>
              <w:tc>
                <w:tcPr>
                  <w:tcW w:w="689" w:type="pct"/>
                  <w:vAlign w:val="center"/>
                </w:tcPr>
                <w:p w14:paraId="5459E07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3302</w:t>
                  </w:r>
                </w:p>
              </w:tc>
              <w:tc>
                <w:tcPr>
                  <w:tcW w:w="691" w:type="pct"/>
                  <w:vAlign w:val="center"/>
                </w:tcPr>
                <w:p w14:paraId="1120D5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3867</w:t>
                  </w:r>
                </w:p>
              </w:tc>
            </w:tr>
            <w:tr w14:paraId="0868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3D09208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10450C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631" w:type="pct"/>
                  <w:vMerge w:val="restart"/>
                  <w:vAlign w:val="center"/>
                </w:tcPr>
                <w:p w14:paraId="51D8762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eastAsia="zh-CN"/>
                    </w:rPr>
                    <w:t>颗粒物</w:t>
                  </w:r>
                </w:p>
              </w:tc>
              <w:tc>
                <w:tcPr>
                  <w:tcW w:w="732" w:type="pct"/>
                  <w:vAlign w:val="center"/>
                </w:tcPr>
                <w:p w14:paraId="6206F6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检测浓度（mg/m</w:t>
                  </w:r>
                  <w:r>
                    <w:rPr>
                      <w:rFonts w:hint="eastAsia" w:eastAsia="宋体"/>
                      <w:b w:val="0"/>
                      <w:bCs w:val="0"/>
                      <w:color w:val="auto"/>
                      <w:sz w:val="21"/>
                      <w:szCs w:val="21"/>
                      <w:vertAlign w:val="superscript"/>
                      <w:lang w:eastAsia="zh-CN"/>
                    </w:rPr>
                    <w:t>3</w:t>
                  </w:r>
                  <w:r>
                    <w:rPr>
                      <w:rFonts w:hint="eastAsia" w:eastAsia="宋体"/>
                      <w:b w:val="0"/>
                      <w:bCs w:val="0"/>
                      <w:color w:val="auto"/>
                      <w:sz w:val="21"/>
                      <w:szCs w:val="21"/>
                      <w:vertAlign w:val="baseline"/>
                      <w:lang w:eastAsia="zh-CN"/>
                    </w:rPr>
                    <w:t>）</w:t>
                  </w:r>
                </w:p>
              </w:tc>
              <w:tc>
                <w:tcPr>
                  <w:tcW w:w="689" w:type="pct"/>
                  <w:vAlign w:val="center"/>
                </w:tcPr>
                <w:p w14:paraId="382C6B9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2.6</w:t>
                  </w:r>
                </w:p>
              </w:tc>
              <w:tc>
                <w:tcPr>
                  <w:tcW w:w="689" w:type="pct"/>
                  <w:vAlign w:val="center"/>
                </w:tcPr>
                <w:p w14:paraId="564298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2.8</w:t>
                  </w:r>
                </w:p>
              </w:tc>
              <w:tc>
                <w:tcPr>
                  <w:tcW w:w="691" w:type="pct"/>
                  <w:vAlign w:val="center"/>
                </w:tcPr>
                <w:p w14:paraId="7FC29C9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eastAsia="宋体"/>
                      <w:b w:val="0"/>
                      <w:bCs w:val="0"/>
                      <w:color w:val="auto"/>
                      <w:sz w:val="21"/>
                      <w:szCs w:val="21"/>
                      <w:vertAlign w:val="baseline"/>
                      <w:lang w:val="en-US" w:eastAsia="zh-CN"/>
                    </w:rPr>
                  </w:pPr>
                  <w:r>
                    <w:rPr>
                      <w:rFonts w:hint="eastAsia"/>
                      <w:b w:val="0"/>
                      <w:bCs w:val="0"/>
                      <w:color w:val="auto"/>
                      <w:sz w:val="21"/>
                      <w:szCs w:val="21"/>
                      <w:vertAlign w:val="baseline"/>
                      <w:lang w:val="en-US" w:eastAsia="zh-CN"/>
                    </w:rPr>
                    <w:t>2.4</w:t>
                  </w:r>
                </w:p>
              </w:tc>
            </w:tr>
            <w:tr w14:paraId="3167C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5" w:type="pct"/>
                  <w:vMerge w:val="continue"/>
                  <w:vAlign w:val="center"/>
                </w:tcPr>
                <w:p w14:paraId="60C85EF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69" w:type="pct"/>
                  <w:vMerge w:val="continue"/>
                  <w:vAlign w:val="center"/>
                </w:tcPr>
                <w:p w14:paraId="4DE2D5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631" w:type="pct"/>
                  <w:vMerge w:val="continue"/>
                  <w:vAlign w:val="center"/>
                </w:tcPr>
                <w:p w14:paraId="367B290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p>
              </w:tc>
              <w:tc>
                <w:tcPr>
                  <w:tcW w:w="732" w:type="pct"/>
                  <w:vAlign w:val="center"/>
                </w:tcPr>
                <w:p w14:paraId="4E42E42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eastAsia="宋体"/>
                      <w:b w:val="0"/>
                      <w:bCs w:val="0"/>
                      <w:color w:val="auto"/>
                      <w:sz w:val="21"/>
                      <w:szCs w:val="21"/>
                      <w:vertAlign w:val="baseline"/>
                      <w:lang w:eastAsia="zh-CN"/>
                    </w:rPr>
                    <w:t>排放速率（kg/h）</w:t>
                  </w:r>
                </w:p>
              </w:tc>
              <w:tc>
                <w:tcPr>
                  <w:tcW w:w="689" w:type="pct"/>
                  <w:vAlign w:val="center"/>
                </w:tcPr>
                <w:p w14:paraId="344BA1B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9.09</w:t>
                  </w:r>
                  <w:r>
                    <w:rPr>
                      <w:rFonts w:hint="default" w:ascii="Arial" w:hAnsi="Arial" w:cs="Arial"/>
                      <w:b w:val="0"/>
                      <w:bCs w:val="0"/>
                      <w:color w:val="auto"/>
                      <w:sz w:val="21"/>
                      <w:szCs w:val="21"/>
                      <w:vertAlign w:val="baseline"/>
                      <w:lang w:val="en-US" w:eastAsia="zh-CN"/>
                    </w:rPr>
                    <w:t>×</w:t>
                  </w:r>
                  <w:r>
                    <w:rPr>
                      <w:rFonts w:hint="eastAsia"/>
                      <w:b w:val="0"/>
                      <w:bCs w:val="0"/>
                      <w:color w:val="auto"/>
                      <w:sz w:val="21"/>
                      <w:szCs w:val="21"/>
                      <w:vertAlign w:val="baseline"/>
                      <w:lang w:val="en-US" w:eastAsia="zh-CN"/>
                    </w:rPr>
                    <w:t>10</w:t>
                  </w:r>
                  <w:r>
                    <w:rPr>
                      <w:rFonts w:hint="eastAsia"/>
                      <w:b w:val="0"/>
                      <w:bCs w:val="0"/>
                      <w:color w:val="auto"/>
                      <w:sz w:val="21"/>
                      <w:szCs w:val="21"/>
                      <w:vertAlign w:val="superscript"/>
                      <w:lang w:val="en-US" w:eastAsia="zh-CN"/>
                    </w:rPr>
                    <w:t>-3</w:t>
                  </w:r>
                </w:p>
              </w:tc>
              <w:tc>
                <w:tcPr>
                  <w:tcW w:w="689" w:type="pct"/>
                  <w:vAlign w:val="center"/>
                </w:tcPr>
                <w:p w14:paraId="57AA42B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9.25</w:t>
                  </w:r>
                  <w:r>
                    <w:rPr>
                      <w:rFonts w:hint="default" w:ascii="Arial" w:hAnsi="Arial" w:cs="Arial"/>
                      <w:b w:val="0"/>
                      <w:bCs w:val="0"/>
                      <w:color w:val="auto"/>
                      <w:sz w:val="21"/>
                      <w:szCs w:val="21"/>
                      <w:vertAlign w:val="baseline"/>
                      <w:lang w:val="en-US" w:eastAsia="zh-CN"/>
                    </w:rPr>
                    <w:t>×</w:t>
                  </w:r>
                  <w:r>
                    <w:rPr>
                      <w:rFonts w:hint="eastAsia"/>
                      <w:b w:val="0"/>
                      <w:bCs w:val="0"/>
                      <w:color w:val="auto"/>
                      <w:sz w:val="21"/>
                      <w:szCs w:val="21"/>
                      <w:vertAlign w:val="baseline"/>
                      <w:lang w:val="en-US" w:eastAsia="zh-CN"/>
                    </w:rPr>
                    <w:t>10</w:t>
                  </w:r>
                  <w:r>
                    <w:rPr>
                      <w:rFonts w:hint="eastAsia"/>
                      <w:b w:val="0"/>
                      <w:bCs w:val="0"/>
                      <w:color w:val="auto"/>
                      <w:sz w:val="21"/>
                      <w:szCs w:val="21"/>
                      <w:vertAlign w:val="superscript"/>
                      <w:lang w:val="en-US" w:eastAsia="zh-CN"/>
                    </w:rPr>
                    <w:t>-3</w:t>
                  </w:r>
                </w:p>
              </w:tc>
              <w:tc>
                <w:tcPr>
                  <w:tcW w:w="691" w:type="pct"/>
                  <w:vAlign w:val="center"/>
                </w:tcPr>
                <w:p w14:paraId="4221615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auto"/>
                      <w:sz w:val="21"/>
                      <w:szCs w:val="21"/>
                      <w:vertAlign w:val="baseline"/>
                      <w:lang w:eastAsia="zh-CN"/>
                    </w:rPr>
                  </w:pPr>
                  <w:r>
                    <w:rPr>
                      <w:rFonts w:hint="eastAsia"/>
                      <w:b w:val="0"/>
                      <w:bCs w:val="0"/>
                      <w:color w:val="auto"/>
                      <w:sz w:val="21"/>
                      <w:szCs w:val="21"/>
                      <w:vertAlign w:val="baseline"/>
                      <w:lang w:val="en-US" w:eastAsia="zh-CN"/>
                    </w:rPr>
                    <w:t>9.28</w:t>
                  </w:r>
                  <w:r>
                    <w:rPr>
                      <w:rFonts w:hint="default" w:ascii="Arial" w:hAnsi="Arial" w:cs="Arial"/>
                      <w:b w:val="0"/>
                      <w:bCs w:val="0"/>
                      <w:color w:val="auto"/>
                      <w:sz w:val="21"/>
                      <w:szCs w:val="21"/>
                      <w:vertAlign w:val="baseline"/>
                      <w:lang w:val="en-US" w:eastAsia="zh-CN"/>
                    </w:rPr>
                    <w:t>×</w:t>
                  </w:r>
                  <w:r>
                    <w:rPr>
                      <w:rFonts w:hint="eastAsia"/>
                      <w:b w:val="0"/>
                      <w:bCs w:val="0"/>
                      <w:color w:val="auto"/>
                      <w:sz w:val="21"/>
                      <w:szCs w:val="21"/>
                      <w:vertAlign w:val="baseline"/>
                      <w:lang w:val="en-US" w:eastAsia="zh-CN"/>
                    </w:rPr>
                    <w:t>10</w:t>
                  </w:r>
                  <w:r>
                    <w:rPr>
                      <w:rFonts w:hint="eastAsia"/>
                      <w:b w:val="0"/>
                      <w:bCs w:val="0"/>
                      <w:color w:val="auto"/>
                      <w:sz w:val="21"/>
                      <w:szCs w:val="21"/>
                      <w:vertAlign w:val="superscript"/>
                      <w:lang w:val="en-US" w:eastAsia="zh-CN"/>
                    </w:rPr>
                    <w:t>-3</w:t>
                  </w:r>
                </w:p>
              </w:tc>
            </w:tr>
          </w:tbl>
          <w:p w14:paraId="02F37EA1">
            <w:pPr>
              <w:adjustRightInd w:val="0"/>
              <w:snapToGrid w:val="0"/>
              <w:spacing w:before="120" w:beforeLines="50" w:line="360" w:lineRule="auto"/>
              <w:ind w:firstLine="480" w:firstLineChars="200"/>
              <w:rPr>
                <w:rFonts w:hint="default" w:eastAsia="宋体"/>
                <w:color w:val="auto"/>
                <w:sz w:val="24"/>
                <w:szCs w:val="24"/>
                <w:lang w:val="en-US" w:eastAsia="zh-CN"/>
              </w:rPr>
            </w:pPr>
            <w:r>
              <w:rPr>
                <w:rFonts w:hint="eastAsia"/>
                <w:color w:val="auto"/>
                <w:sz w:val="24"/>
                <w:lang w:eastAsia="zh-CN"/>
              </w:rPr>
              <w:t>企业年生产时间取</w:t>
            </w:r>
            <w:r>
              <w:rPr>
                <w:rFonts w:hint="eastAsia"/>
                <w:color w:val="auto"/>
                <w:sz w:val="24"/>
                <w:lang w:val="en-US" w:eastAsia="zh-CN"/>
              </w:rPr>
              <w:t>4800h，</w:t>
            </w:r>
            <w:r>
              <w:rPr>
                <w:color w:val="auto"/>
                <w:sz w:val="24"/>
              </w:rPr>
              <w:t>DA0</w:t>
            </w:r>
            <w:r>
              <w:rPr>
                <w:rFonts w:hint="eastAsia"/>
                <w:color w:val="auto"/>
                <w:sz w:val="24"/>
                <w:lang w:val="en-US" w:eastAsia="zh-CN"/>
              </w:rPr>
              <w:t>01排气筒验收检测期间生产负荷为80%，颗粒物最大排放浓度为15.1mg/m</w:t>
            </w:r>
            <w:r>
              <w:rPr>
                <w:rFonts w:hint="eastAsia"/>
                <w:color w:val="auto"/>
                <w:sz w:val="24"/>
                <w:vertAlign w:val="superscript"/>
                <w:lang w:val="en-US" w:eastAsia="zh-CN"/>
              </w:rPr>
              <w:t>3</w:t>
            </w:r>
            <w:r>
              <w:rPr>
                <w:rFonts w:hint="eastAsia"/>
                <w:color w:val="auto"/>
                <w:sz w:val="24"/>
                <w:lang w:val="en-US" w:eastAsia="zh-CN"/>
              </w:rPr>
              <w:t>；</w:t>
            </w:r>
            <w:r>
              <w:rPr>
                <w:color w:val="auto"/>
                <w:sz w:val="24"/>
              </w:rPr>
              <w:t>DA0</w:t>
            </w:r>
            <w:r>
              <w:rPr>
                <w:rFonts w:hint="eastAsia"/>
                <w:color w:val="auto"/>
                <w:sz w:val="24"/>
                <w:lang w:val="en-US" w:eastAsia="zh-CN"/>
              </w:rPr>
              <w:t>02排气筒验收检测期间生产负荷为80%，非甲烷总烃最大排放浓度为1.8mg/m</w:t>
            </w:r>
            <w:r>
              <w:rPr>
                <w:rFonts w:hint="eastAsia"/>
                <w:color w:val="auto"/>
                <w:sz w:val="24"/>
                <w:vertAlign w:val="superscript"/>
                <w:lang w:val="en-US" w:eastAsia="zh-CN"/>
              </w:rPr>
              <w:t>3</w:t>
            </w:r>
            <w:r>
              <w:rPr>
                <w:rFonts w:hint="eastAsia"/>
                <w:color w:val="auto"/>
                <w:sz w:val="24"/>
                <w:lang w:val="en-US" w:eastAsia="zh-CN"/>
              </w:rPr>
              <w:t>；</w:t>
            </w:r>
            <w:r>
              <w:rPr>
                <w:color w:val="auto"/>
                <w:sz w:val="24"/>
              </w:rPr>
              <w:t>DA0</w:t>
            </w:r>
            <w:r>
              <w:rPr>
                <w:rFonts w:hint="eastAsia"/>
                <w:color w:val="auto"/>
                <w:sz w:val="24"/>
                <w:lang w:val="en-US" w:eastAsia="zh-CN"/>
              </w:rPr>
              <w:t>03排气筒验收检测期间生产负荷为80%，非甲烷总烃最大排放浓度为1.91mg/m</w:t>
            </w:r>
            <w:r>
              <w:rPr>
                <w:rFonts w:hint="eastAsia"/>
                <w:color w:val="auto"/>
                <w:sz w:val="24"/>
                <w:vertAlign w:val="superscript"/>
                <w:lang w:val="en-US" w:eastAsia="zh-CN"/>
              </w:rPr>
              <w:t>3</w:t>
            </w:r>
            <w:r>
              <w:rPr>
                <w:rFonts w:hint="eastAsia"/>
                <w:color w:val="auto"/>
                <w:sz w:val="24"/>
                <w:lang w:val="en-US" w:eastAsia="zh-CN"/>
              </w:rPr>
              <w:t>；</w:t>
            </w:r>
            <w:r>
              <w:rPr>
                <w:color w:val="auto"/>
                <w:sz w:val="24"/>
              </w:rPr>
              <w:t>DA0</w:t>
            </w:r>
            <w:r>
              <w:rPr>
                <w:rFonts w:hint="eastAsia"/>
                <w:color w:val="auto"/>
                <w:sz w:val="24"/>
                <w:lang w:val="en-US" w:eastAsia="zh-CN"/>
              </w:rPr>
              <w:t>04排气筒12月10日验收检测期间生产负荷为100%，非甲烷总烃最大排放浓度为23.3mg/m</w:t>
            </w:r>
            <w:r>
              <w:rPr>
                <w:rFonts w:hint="eastAsia"/>
                <w:color w:val="auto"/>
                <w:sz w:val="24"/>
                <w:vertAlign w:val="superscript"/>
                <w:lang w:val="en-US" w:eastAsia="zh-CN"/>
              </w:rPr>
              <w:t>3</w:t>
            </w:r>
            <w:r>
              <w:rPr>
                <w:rFonts w:hint="eastAsia"/>
                <w:color w:val="auto"/>
                <w:sz w:val="24"/>
                <w:lang w:val="en-US" w:eastAsia="zh-CN"/>
              </w:rPr>
              <w:t>；</w:t>
            </w:r>
            <w:r>
              <w:rPr>
                <w:color w:val="auto"/>
                <w:sz w:val="24"/>
              </w:rPr>
              <w:t>DA0</w:t>
            </w:r>
            <w:r>
              <w:rPr>
                <w:rFonts w:hint="eastAsia"/>
                <w:color w:val="auto"/>
                <w:sz w:val="24"/>
                <w:lang w:val="en-US" w:eastAsia="zh-CN"/>
              </w:rPr>
              <w:t>05排气筒12月10日验收检测期间生产负荷为100%，颗粒物最大排放浓度为2.8mg/m</w:t>
            </w:r>
            <w:r>
              <w:rPr>
                <w:rFonts w:hint="eastAsia"/>
                <w:color w:val="auto"/>
                <w:sz w:val="24"/>
                <w:vertAlign w:val="superscript"/>
                <w:lang w:val="en-US" w:eastAsia="zh-CN"/>
              </w:rPr>
              <w:t>3</w:t>
            </w:r>
            <w:r>
              <w:rPr>
                <w:rFonts w:hint="eastAsia"/>
                <w:color w:val="auto"/>
                <w:sz w:val="24"/>
                <w:lang w:val="en-US" w:eastAsia="zh-CN"/>
              </w:rPr>
              <w:t>；</w:t>
            </w:r>
            <w:r>
              <w:rPr>
                <w:rFonts w:hint="eastAsia"/>
                <w:color w:val="auto"/>
                <w:sz w:val="24"/>
                <w:lang w:eastAsia="zh-CN"/>
              </w:rPr>
              <w:t>排放浓度均</w:t>
            </w:r>
            <w:r>
              <w:rPr>
                <w:color w:val="auto"/>
                <w:sz w:val="24"/>
              </w:rPr>
              <w:t>满足</w:t>
            </w:r>
            <w:r>
              <w:rPr>
                <w:rFonts w:hint="eastAsia"/>
                <w:color w:val="auto"/>
                <w:sz w:val="24"/>
              </w:rPr>
              <w:t>《合成树脂工业污染物排放标准》</w:t>
            </w:r>
            <w:r>
              <w:rPr>
                <w:rFonts w:hint="eastAsia"/>
                <w:color w:val="auto"/>
                <w:sz w:val="24"/>
                <w:lang w:eastAsia="zh-CN"/>
              </w:rPr>
              <w:t>（</w:t>
            </w:r>
            <w:r>
              <w:rPr>
                <w:rFonts w:hint="eastAsia"/>
                <w:color w:val="auto"/>
                <w:sz w:val="24"/>
              </w:rPr>
              <w:t>GB31572-2015</w:t>
            </w:r>
            <w:r>
              <w:rPr>
                <w:rFonts w:hint="eastAsia"/>
                <w:color w:val="auto"/>
                <w:sz w:val="24"/>
                <w:lang w:eastAsia="zh-CN"/>
              </w:rPr>
              <w:t>）</w:t>
            </w:r>
            <w:r>
              <w:rPr>
                <w:rFonts w:hint="eastAsia"/>
                <w:color w:val="auto"/>
                <w:sz w:val="24"/>
              </w:rPr>
              <w:t>中表5大气污染物特别排放限值要求。</w:t>
            </w:r>
          </w:p>
          <w:p w14:paraId="0BF3F4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color w:val="auto"/>
                <w:sz w:val="24"/>
              </w:rPr>
            </w:pPr>
            <w:r>
              <w:rPr>
                <w:rFonts w:hint="eastAsia"/>
                <w:color w:val="auto"/>
                <w:sz w:val="24"/>
                <w:lang w:eastAsia="zh-CN"/>
              </w:rPr>
              <w:t>企业</w:t>
            </w:r>
            <w:r>
              <w:rPr>
                <w:color w:val="auto"/>
                <w:sz w:val="24"/>
              </w:rPr>
              <w:t>按年生产300天，每天</w:t>
            </w:r>
            <w:r>
              <w:rPr>
                <w:rFonts w:hint="eastAsia"/>
                <w:color w:val="auto"/>
                <w:sz w:val="24"/>
                <w:lang w:val="en-US" w:eastAsia="zh-CN"/>
              </w:rPr>
              <w:t>8</w:t>
            </w:r>
            <w:r>
              <w:rPr>
                <w:color w:val="auto"/>
                <w:sz w:val="24"/>
              </w:rPr>
              <w:t>个小时计；年排放量：</w:t>
            </w:r>
            <w:r>
              <w:rPr>
                <w:rFonts w:hint="eastAsia"/>
                <w:color w:val="auto"/>
                <w:sz w:val="24"/>
                <w:lang w:val="en-US" w:eastAsia="zh-CN"/>
              </w:rPr>
              <w:t>颗粒物</w:t>
            </w:r>
            <w:r>
              <w:rPr>
                <w:color w:val="auto"/>
                <w:sz w:val="24"/>
              </w:rPr>
              <w:t>、</w:t>
            </w:r>
            <w:r>
              <w:rPr>
                <w:rFonts w:hint="eastAsia"/>
                <w:color w:val="auto"/>
                <w:sz w:val="24"/>
                <w:lang w:val="en-US" w:eastAsia="zh-CN"/>
              </w:rPr>
              <w:t>非甲烷总烃</w:t>
            </w:r>
            <w:r>
              <w:rPr>
                <w:color w:val="auto"/>
                <w:sz w:val="24"/>
              </w:rPr>
              <w:t>分别为（</w:t>
            </w:r>
            <w:r>
              <w:rPr>
                <w:rFonts w:hint="eastAsia"/>
                <w:color w:val="auto"/>
                <w:sz w:val="24"/>
                <w:lang w:val="en-US" w:eastAsia="zh-CN"/>
              </w:rPr>
              <w:t>0.846</w:t>
            </w:r>
            <w:r>
              <w:rPr>
                <w:color w:val="auto"/>
                <w:sz w:val="24"/>
              </w:rPr>
              <w:t>t/a、</w:t>
            </w:r>
            <w:r>
              <w:rPr>
                <w:rFonts w:hint="eastAsia"/>
                <w:color w:val="auto"/>
                <w:sz w:val="24"/>
                <w:lang w:val="en-US" w:eastAsia="zh-CN"/>
              </w:rPr>
              <w:t>0.686</w:t>
            </w:r>
            <w:r>
              <w:rPr>
                <w:color w:val="auto"/>
                <w:sz w:val="24"/>
              </w:rPr>
              <w:t>t/a）。</w:t>
            </w:r>
          </w:p>
          <w:p w14:paraId="6DB67C64">
            <w:pPr>
              <w:pStyle w:val="14"/>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b/>
                <w:bCs/>
                <w:color w:val="auto"/>
                <w:sz w:val="24"/>
                <w:lang w:eastAsia="zh-CN"/>
              </w:rPr>
            </w:pPr>
            <w:r>
              <w:rPr>
                <w:rFonts w:hint="eastAsia"/>
                <w:b/>
                <w:bCs/>
                <w:color w:val="auto"/>
                <w:sz w:val="24"/>
                <w:lang w:eastAsia="zh-CN"/>
              </w:rPr>
              <w:t>表</w:t>
            </w:r>
            <w:r>
              <w:rPr>
                <w:rFonts w:hint="eastAsia"/>
                <w:b/>
                <w:bCs/>
                <w:color w:val="auto"/>
                <w:sz w:val="24"/>
                <w:lang w:val="en-US" w:eastAsia="zh-CN"/>
              </w:rPr>
              <w:t xml:space="preserve">2.11  </w:t>
            </w:r>
            <w:r>
              <w:rPr>
                <w:rFonts w:hint="eastAsia"/>
                <w:b/>
                <w:bCs/>
                <w:color w:val="auto"/>
                <w:sz w:val="24"/>
                <w:lang w:eastAsia="zh-CN"/>
              </w:rPr>
              <w:t>无组织废气监测结果一览表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0"/>
              <w:gridCol w:w="1018"/>
              <w:gridCol w:w="1018"/>
              <w:gridCol w:w="1038"/>
              <w:gridCol w:w="1025"/>
              <w:gridCol w:w="1025"/>
              <w:gridCol w:w="1027"/>
              <w:gridCol w:w="1030"/>
            </w:tblGrid>
            <w:tr w14:paraId="5064D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restart"/>
                  <w:vAlign w:val="center"/>
                </w:tcPr>
                <w:p w14:paraId="19545046">
                  <w:pPr>
                    <w:pStyle w:val="58"/>
                    <w:keepNext w:val="0"/>
                    <w:keepLines w:val="0"/>
                    <w:pageBreakBefore w:val="0"/>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6"/>
                      <w:sz w:val="21"/>
                      <w:szCs w:val="21"/>
                      <w14:textFill>
                        <w14:solidFill>
                          <w14:schemeClr w14:val="tx1"/>
                        </w14:solidFill>
                      </w14:textFill>
                    </w:rPr>
                    <w:t>采样日期</w:t>
                  </w:r>
                </w:p>
              </w:tc>
              <w:tc>
                <w:tcPr>
                  <w:tcW w:w="602" w:type="pct"/>
                  <w:vMerge w:val="restart"/>
                  <w:vAlign w:val="center"/>
                </w:tcPr>
                <w:p w14:paraId="4F45E924">
                  <w:pPr>
                    <w:pStyle w:val="58"/>
                    <w:keepNext w:val="0"/>
                    <w:keepLines w:val="0"/>
                    <w:pageBreakBefore w:val="0"/>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检测</w:t>
                  </w: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项目</w:t>
                  </w:r>
                </w:p>
              </w:tc>
              <w:tc>
                <w:tcPr>
                  <w:tcW w:w="602" w:type="pct"/>
                  <w:vMerge w:val="restart"/>
                  <w:vAlign w:val="center"/>
                </w:tcPr>
                <w:p w14:paraId="61A4D39C">
                  <w:pPr>
                    <w:pStyle w:val="58"/>
                    <w:keepNext w:val="0"/>
                    <w:keepLines w:val="0"/>
                    <w:pageBreakBefore w:val="0"/>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频次</w:t>
                  </w:r>
                </w:p>
              </w:tc>
              <w:tc>
                <w:tcPr>
                  <w:tcW w:w="614" w:type="pct"/>
                  <w:vMerge w:val="restart"/>
                  <w:vAlign w:val="center"/>
                </w:tcPr>
                <w:p w14:paraId="33B74E32">
                  <w:pPr>
                    <w:pStyle w:val="58"/>
                    <w:keepNext w:val="0"/>
                    <w:keepLines w:val="0"/>
                    <w:pageBreakBefore w:val="0"/>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单位</w:t>
                  </w:r>
                </w:p>
              </w:tc>
              <w:tc>
                <w:tcPr>
                  <w:tcW w:w="2428" w:type="pct"/>
                  <w:gridSpan w:val="4"/>
                  <w:vAlign w:val="center"/>
                </w:tcPr>
                <w:p w14:paraId="2311CEE1">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t>采样点位</w:t>
                  </w:r>
                </w:p>
              </w:tc>
            </w:tr>
            <w:tr w14:paraId="48AB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64EA1A6B">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1E5CE854">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3AD44150">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14" w:type="pct"/>
                  <w:vMerge w:val="continue"/>
                  <w:vAlign w:val="center"/>
                </w:tcPr>
                <w:p w14:paraId="5AB2AC48">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6" w:type="pct"/>
                  <w:vAlign w:val="center"/>
                </w:tcPr>
                <w:p w14:paraId="741DBAD3">
                  <w:pPr>
                    <w:pStyle w:val="5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6"/>
                      <w:sz w:val="21"/>
                      <w:szCs w:val="21"/>
                      <w14:textFill>
                        <w14:solidFill>
                          <w14:schemeClr w14:val="tx1"/>
                        </w14:solidFill>
                      </w14:textFill>
                    </w:rPr>
                    <w:t>上风向G1</w:t>
                  </w:r>
                </w:p>
              </w:tc>
              <w:tc>
                <w:tcPr>
                  <w:tcW w:w="606" w:type="pct"/>
                  <w:vAlign w:val="center"/>
                </w:tcPr>
                <w:p w14:paraId="534483C4">
                  <w:pPr>
                    <w:pStyle w:val="5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t>下风向G2</w:t>
                  </w:r>
                </w:p>
              </w:tc>
              <w:tc>
                <w:tcPr>
                  <w:tcW w:w="607" w:type="pct"/>
                  <w:vAlign w:val="center"/>
                </w:tcPr>
                <w:p w14:paraId="6020602F">
                  <w:pPr>
                    <w:pStyle w:val="5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t>下风向G3</w:t>
                  </w:r>
                </w:p>
              </w:tc>
              <w:tc>
                <w:tcPr>
                  <w:tcW w:w="608" w:type="pct"/>
                  <w:vAlign w:val="center"/>
                </w:tcPr>
                <w:p w14:paraId="5F7E393B">
                  <w:pPr>
                    <w:pStyle w:val="58"/>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t>下风向G4</w:t>
                  </w:r>
                </w:p>
              </w:tc>
            </w:tr>
            <w:tr w14:paraId="3040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restart"/>
                  <w:vAlign w:val="center"/>
                </w:tcPr>
                <w:p w14:paraId="67063930">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t>2024.12.10</w:t>
                  </w:r>
                </w:p>
              </w:tc>
              <w:tc>
                <w:tcPr>
                  <w:tcW w:w="602" w:type="pct"/>
                  <w:vMerge w:val="restart"/>
                  <w:vAlign w:val="center"/>
                </w:tcPr>
                <w:p w14:paraId="3A0EE60A">
                  <w:pPr>
                    <w:pStyle w:val="5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t>总悬浮</w:t>
                  </w:r>
                </w:p>
                <w:p w14:paraId="01E77839">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7"/>
                      <w:sz w:val="21"/>
                      <w:szCs w:val="21"/>
                      <w14:textFill>
                        <w14:solidFill>
                          <w14:schemeClr w14:val="tx1"/>
                        </w14:solidFill>
                      </w14:textFill>
                    </w:rPr>
                    <w:t>颗粒物</w:t>
                  </w:r>
                </w:p>
              </w:tc>
              <w:tc>
                <w:tcPr>
                  <w:tcW w:w="602" w:type="pct"/>
                  <w:vAlign w:val="center"/>
                </w:tcPr>
                <w:p w14:paraId="2CF38D5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1</w:t>
                  </w:r>
                </w:p>
              </w:tc>
              <w:tc>
                <w:tcPr>
                  <w:tcW w:w="614" w:type="pct"/>
                  <w:vAlign w:val="center"/>
                </w:tcPr>
                <w:p w14:paraId="315D477B">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698A23E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236</w:t>
                  </w:r>
                </w:p>
              </w:tc>
              <w:tc>
                <w:tcPr>
                  <w:tcW w:w="606" w:type="pct"/>
                  <w:vAlign w:val="center"/>
                </w:tcPr>
                <w:p w14:paraId="0D6D0AFA">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348</w:t>
                  </w:r>
                </w:p>
              </w:tc>
              <w:tc>
                <w:tcPr>
                  <w:tcW w:w="607" w:type="pct"/>
                  <w:vAlign w:val="center"/>
                </w:tcPr>
                <w:p w14:paraId="0910F2FB">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4"/>
                      <w:sz w:val="21"/>
                      <w:szCs w:val="21"/>
                      <w14:textFill>
                        <w14:solidFill>
                          <w14:schemeClr w14:val="tx1"/>
                        </w14:solidFill>
                      </w14:textFill>
                    </w:rPr>
                    <w:t>403</w:t>
                  </w:r>
                </w:p>
              </w:tc>
              <w:tc>
                <w:tcPr>
                  <w:tcW w:w="608" w:type="pct"/>
                  <w:vAlign w:val="center"/>
                </w:tcPr>
                <w:p w14:paraId="53E529B9">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386</w:t>
                  </w:r>
                </w:p>
              </w:tc>
            </w:tr>
            <w:tr w14:paraId="40154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1AA8B6C8">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7C9BD79D">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Align w:val="center"/>
                </w:tcPr>
                <w:p w14:paraId="08DABCBF">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2</w:t>
                  </w:r>
                </w:p>
              </w:tc>
              <w:tc>
                <w:tcPr>
                  <w:tcW w:w="614" w:type="pct"/>
                  <w:vAlign w:val="center"/>
                </w:tcPr>
                <w:p w14:paraId="7E9E48A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764BA4B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269</w:t>
                  </w:r>
                </w:p>
              </w:tc>
              <w:tc>
                <w:tcPr>
                  <w:tcW w:w="606" w:type="pct"/>
                  <w:vAlign w:val="center"/>
                </w:tcPr>
                <w:p w14:paraId="125511B0">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369</w:t>
                  </w:r>
                </w:p>
              </w:tc>
              <w:tc>
                <w:tcPr>
                  <w:tcW w:w="607" w:type="pct"/>
                  <w:vAlign w:val="center"/>
                </w:tcPr>
                <w:p w14:paraId="170B7D8B">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4"/>
                      <w:sz w:val="21"/>
                      <w:szCs w:val="21"/>
                      <w14:textFill>
                        <w14:solidFill>
                          <w14:schemeClr w14:val="tx1"/>
                        </w14:solidFill>
                      </w14:textFill>
                    </w:rPr>
                    <w:t>435</w:t>
                  </w:r>
                </w:p>
              </w:tc>
              <w:tc>
                <w:tcPr>
                  <w:tcW w:w="608" w:type="pct"/>
                  <w:vAlign w:val="center"/>
                </w:tcPr>
                <w:p w14:paraId="1F66D58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4"/>
                      <w:sz w:val="21"/>
                      <w:szCs w:val="21"/>
                      <w14:textFill>
                        <w14:solidFill>
                          <w14:schemeClr w14:val="tx1"/>
                        </w14:solidFill>
                      </w14:textFill>
                    </w:rPr>
                    <w:t>445</w:t>
                  </w:r>
                </w:p>
              </w:tc>
            </w:tr>
            <w:tr w14:paraId="55B9F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7BC5CF49">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23495C1C">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Align w:val="center"/>
                </w:tcPr>
                <w:p w14:paraId="00C8F5AC">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3</w:t>
                  </w:r>
                </w:p>
              </w:tc>
              <w:tc>
                <w:tcPr>
                  <w:tcW w:w="614" w:type="pct"/>
                  <w:vAlign w:val="center"/>
                </w:tcPr>
                <w:p w14:paraId="0BED1483">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0FCCEEA3">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221</w:t>
                  </w:r>
                </w:p>
              </w:tc>
              <w:tc>
                <w:tcPr>
                  <w:tcW w:w="606" w:type="pct"/>
                  <w:vAlign w:val="center"/>
                </w:tcPr>
                <w:p w14:paraId="2CFA6BC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378</w:t>
                  </w:r>
                </w:p>
              </w:tc>
              <w:tc>
                <w:tcPr>
                  <w:tcW w:w="607" w:type="pct"/>
                  <w:vAlign w:val="center"/>
                </w:tcPr>
                <w:p w14:paraId="3F34E02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374</w:t>
                  </w:r>
                </w:p>
              </w:tc>
              <w:tc>
                <w:tcPr>
                  <w:tcW w:w="608" w:type="pct"/>
                  <w:vAlign w:val="center"/>
                </w:tcPr>
                <w:p w14:paraId="21B4B168">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jc w:val="center"/>
                    <w:textAlignment w:val="baseline"/>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357</w:t>
                  </w:r>
                </w:p>
              </w:tc>
            </w:tr>
            <w:tr w14:paraId="6500F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174662B8">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23DB8873">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Align w:val="center"/>
                </w:tcPr>
                <w:p w14:paraId="3FC6C7F4">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1"/>
                      <w:sz w:val="21"/>
                      <w:szCs w:val="21"/>
                      <w14:textFill>
                        <w14:solidFill>
                          <w14:schemeClr w14:val="tx1"/>
                        </w14:solidFill>
                      </w14:textFill>
                    </w:rPr>
                    <w:t>4</w:t>
                  </w:r>
                </w:p>
              </w:tc>
              <w:tc>
                <w:tcPr>
                  <w:tcW w:w="614" w:type="pct"/>
                  <w:vAlign w:val="center"/>
                </w:tcPr>
                <w:p w14:paraId="0388F077">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0888656D">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250</w:t>
                  </w:r>
                </w:p>
              </w:tc>
              <w:tc>
                <w:tcPr>
                  <w:tcW w:w="606" w:type="pct"/>
                  <w:vAlign w:val="center"/>
                </w:tcPr>
                <w:p w14:paraId="55B2F55E">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332</w:t>
                  </w:r>
                </w:p>
              </w:tc>
              <w:tc>
                <w:tcPr>
                  <w:tcW w:w="607" w:type="pct"/>
                  <w:vAlign w:val="center"/>
                </w:tcPr>
                <w:p w14:paraId="2B5B60BB">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4"/>
                      <w:sz w:val="21"/>
                      <w:szCs w:val="21"/>
                      <w14:textFill>
                        <w14:solidFill>
                          <w14:schemeClr w14:val="tx1"/>
                        </w14:solidFill>
                      </w14:textFill>
                    </w:rPr>
                    <w:t>421</w:t>
                  </w:r>
                </w:p>
              </w:tc>
              <w:tc>
                <w:tcPr>
                  <w:tcW w:w="608" w:type="pct"/>
                  <w:vAlign w:val="center"/>
                </w:tcPr>
                <w:p w14:paraId="71CEA5E9">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4"/>
                      <w:sz w:val="21"/>
                      <w:szCs w:val="21"/>
                      <w14:textFill>
                        <w14:solidFill>
                          <w14:schemeClr w14:val="tx1"/>
                        </w14:solidFill>
                      </w14:textFill>
                    </w:rPr>
                    <w:t>411</w:t>
                  </w:r>
                </w:p>
              </w:tc>
            </w:tr>
            <w:tr w14:paraId="29BA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3DDC86D6">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restart"/>
                  <w:vAlign w:val="center"/>
                </w:tcPr>
                <w:p w14:paraId="39D5776B">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t>非甲烷</w:t>
                  </w:r>
                  <w:r>
                    <w:rPr>
                      <w:rFonts w:hint="default" w:ascii="Times New Roman" w:hAnsi="Times New Roman" w:eastAsia="宋体" w:cs="Times New Roman"/>
                      <w:b w:val="0"/>
                      <w:bCs w:val="0"/>
                      <w:color w:val="000000" w:themeColor="text1"/>
                      <w:spacing w:val="1"/>
                      <w:sz w:val="21"/>
                      <w:szCs w:val="21"/>
                      <w14:textFill>
                        <w14:solidFill>
                          <w14:schemeClr w14:val="tx1"/>
                        </w14:solidFill>
                      </w14:textFill>
                    </w:rPr>
                    <w:t xml:space="preserve"> </w:t>
                  </w: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总烃</w:t>
                  </w:r>
                </w:p>
              </w:tc>
              <w:tc>
                <w:tcPr>
                  <w:tcW w:w="602" w:type="pct"/>
                  <w:vAlign w:val="center"/>
                </w:tcPr>
                <w:p w14:paraId="6E876385">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1</w:t>
                  </w:r>
                </w:p>
              </w:tc>
              <w:tc>
                <w:tcPr>
                  <w:tcW w:w="614" w:type="pct"/>
                  <w:vAlign w:val="center"/>
                </w:tcPr>
                <w:p w14:paraId="757123ED">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29C2788A">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0.43</w:t>
                  </w:r>
                </w:p>
              </w:tc>
              <w:tc>
                <w:tcPr>
                  <w:tcW w:w="606" w:type="pct"/>
                  <w:vAlign w:val="center"/>
                </w:tcPr>
                <w:p w14:paraId="3B240166">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1.10</w:t>
                  </w:r>
                </w:p>
              </w:tc>
              <w:tc>
                <w:tcPr>
                  <w:tcW w:w="607" w:type="pct"/>
                  <w:vAlign w:val="center"/>
                </w:tcPr>
                <w:p w14:paraId="02D117F1">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1.15</w:t>
                  </w:r>
                </w:p>
              </w:tc>
              <w:tc>
                <w:tcPr>
                  <w:tcW w:w="608" w:type="pct"/>
                  <w:vAlign w:val="center"/>
                </w:tcPr>
                <w:p w14:paraId="4DD702DC">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1.10</w:t>
                  </w:r>
                </w:p>
              </w:tc>
            </w:tr>
            <w:tr w14:paraId="252C1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34AEF4B5">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65AB7D04">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6399AEDA">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2</w:t>
                  </w:r>
                </w:p>
              </w:tc>
              <w:tc>
                <w:tcPr>
                  <w:tcW w:w="614" w:type="pct"/>
                  <w:vAlign w:val="center"/>
                </w:tcPr>
                <w:p w14:paraId="40B11006">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72A2767E">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0.56</w:t>
                  </w:r>
                </w:p>
              </w:tc>
              <w:tc>
                <w:tcPr>
                  <w:tcW w:w="606" w:type="pct"/>
                  <w:vAlign w:val="center"/>
                </w:tcPr>
                <w:p w14:paraId="45D048D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1.00</w:t>
                  </w:r>
                </w:p>
              </w:tc>
              <w:tc>
                <w:tcPr>
                  <w:tcW w:w="607" w:type="pct"/>
                  <w:vAlign w:val="center"/>
                </w:tcPr>
                <w:p w14:paraId="10A27AE1">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1.21</w:t>
                  </w:r>
                </w:p>
              </w:tc>
              <w:tc>
                <w:tcPr>
                  <w:tcW w:w="608" w:type="pct"/>
                  <w:vAlign w:val="center"/>
                </w:tcPr>
                <w:p w14:paraId="6D3F0D89">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1.25</w:t>
                  </w:r>
                </w:p>
              </w:tc>
            </w:tr>
            <w:tr w14:paraId="3FE81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1E651609">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7F6DFE26">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7F6A0928">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3</w:t>
                  </w:r>
                </w:p>
              </w:tc>
              <w:tc>
                <w:tcPr>
                  <w:tcW w:w="614" w:type="pct"/>
                  <w:vAlign w:val="center"/>
                </w:tcPr>
                <w:p w14:paraId="1C24BA24">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11DB327E">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0.54</w:t>
                  </w:r>
                </w:p>
              </w:tc>
              <w:tc>
                <w:tcPr>
                  <w:tcW w:w="606" w:type="pct"/>
                  <w:vAlign w:val="center"/>
                </w:tcPr>
                <w:p w14:paraId="065E0139">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1.10</w:t>
                  </w:r>
                </w:p>
              </w:tc>
              <w:tc>
                <w:tcPr>
                  <w:tcW w:w="607" w:type="pct"/>
                  <w:vAlign w:val="center"/>
                </w:tcPr>
                <w:p w14:paraId="50D52467">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8"/>
                      <w:sz w:val="21"/>
                      <w:szCs w:val="21"/>
                      <w14:textFill>
                        <w14:solidFill>
                          <w14:schemeClr w14:val="tx1"/>
                        </w14:solidFill>
                      </w14:textFill>
                    </w:rPr>
                    <w:t>1.</w:t>
                  </w:r>
                  <w:r>
                    <w:rPr>
                      <w:rFonts w:hint="default" w:ascii="Times New Roman" w:hAnsi="Times New Roman" w:eastAsia="宋体" w:cs="Times New Roman"/>
                      <w:b w:val="0"/>
                      <w:bCs w:val="0"/>
                      <w:color w:val="000000" w:themeColor="text1"/>
                      <w:spacing w:val="-25"/>
                      <w:sz w:val="21"/>
                      <w:szCs w:val="21"/>
                      <w14:textFill>
                        <w14:solidFill>
                          <w14:schemeClr w14:val="tx1"/>
                        </w14:solidFill>
                      </w14:textFill>
                    </w:rPr>
                    <w:t xml:space="preserve"> </w:t>
                  </w:r>
                  <w:r>
                    <w:rPr>
                      <w:rFonts w:hint="default" w:ascii="Times New Roman" w:hAnsi="Times New Roman" w:eastAsia="宋体" w:cs="Times New Roman"/>
                      <w:b w:val="0"/>
                      <w:bCs w:val="0"/>
                      <w:color w:val="000000" w:themeColor="text1"/>
                      <w:spacing w:val="-8"/>
                      <w:sz w:val="21"/>
                      <w:szCs w:val="21"/>
                      <w14:textFill>
                        <w14:solidFill>
                          <w14:schemeClr w14:val="tx1"/>
                        </w14:solidFill>
                      </w14:textFill>
                    </w:rPr>
                    <w:t>11</w:t>
                  </w:r>
                </w:p>
              </w:tc>
              <w:tc>
                <w:tcPr>
                  <w:tcW w:w="608" w:type="pct"/>
                  <w:vAlign w:val="center"/>
                </w:tcPr>
                <w:p w14:paraId="70592039">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1.31</w:t>
                  </w:r>
                </w:p>
              </w:tc>
            </w:tr>
            <w:tr w14:paraId="7F69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1F9C0B12">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26634EA6">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0D5A105F">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1"/>
                      <w:sz w:val="21"/>
                      <w:szCs w:val="21"/>
                      <w14:textFill>
                        <w14:solidFill>
                          <w14:schemeClr w14:val="tx1"/>
                        </w14:solidFill>
                      </w14:textFill>
                    </w:rPr>
                    <w:t>4</w:t>
                  </w:r>
                </w:p>
              </w:tc>
              <w:tc>
                <w:tcPr>
                  <w:tcW w:w="614" w:type="pct"/>
                  <w:vAlign w:val="center"/>
                </w:tcPr>
                <w:p w14:paraId="05310A7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16417A06">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0.64</w:t>
                  </w:r>
                </w:p>
              </w:tc>
              <w:tc>
                <w:tcPr>
                  <w:tcW w:w="606" w:type="pct"/>
                  <w:vAlign w:val="center"/>
                </w:tcPr>
                <w:p w14:paraId="08E648E8">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8"/>
                      <w:sz w:val="21"/>
                      <w:szCs w:val="21"/>
                      <w14:textFill>
                        <w14:solidFill>
                          <w14:schemeClr w14:val="tx1"/>
                        </w14:solidFill>
                      </w14:textFill>
                    </w:rPr>
                    <w:t>1.</w:t>
                  </w:r>
                  <w:r>
                    <w:rPr>
                      <w:rFonts w:hint="default" w:ascii="Times New Roman" w:hAnsi="Times New Roman" w:eastAsia="宋体" w:cs="Times New Roman"/>
                      <w:b w:val="0"/>
                      <w:bCs w:val="0"/>
                      <w:color w:val="000000" w:themeColor="text1"/>
                      <w:spacing w:val="-25"/>
                      <w:sz w:val="21"/>
                      <w:szCs w:val="21"/>
                      <w14:textFill>
                        <w14:solidFill>
                          <w14:schemeClr w14:val="tx1"/>
                        </w14:solidFill>
                      </w14:textFill>
                    </w:rPr>
                    <w:t xml:space="preserve"> </w:t>
                  </w:r>
                  <w:r>
                    <w:rPr>
                      <w:rFonts w:hint="default" w:ascii="Times New Roman" w:hAnsi="Times New Roman" w:eastAsia="宋体" w:cs="Times New Roman"/>
                      <w:b w:val="0"/>
                      <w:bCs w:val="0"/>
                      <w:color w:val="000000" w:themeColor="text1"/>
                      <w:spacing w:val="-8"/>
                      <w:sz w:val="21"/>
                      <w:szCs w:val="21"/>
                      <w14:textFill>
                        <w14:solidFill>
                          <w14:schemeClr w14:val="tx1"/>
                        </w14:solidFill>
                      </w14:textFill>
                    </w:rPr>
                    <w:t>11</w:t>
                  </w:r>
                </w:p>
              </w:tc>
              <w:tc>
                <w:tcPr>
                  <w:tcW w:w="607" w:type="pct"/>
                  <w:vAlign w:val="center"/>
                </w:tcPr>
                <w:p w14:paraId="00C29755">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1.29</w:t>
                  </w:r>
                </w:p>
              </w:tc>
              <w:tc>
                <w:tcPr>
                  <w:tcW w:w="608" w:type="pct"/>
                  <w:vAlign w:val="center"/>
                </w:tcPr>
                <w:p w14:paraId="33AAB0D2">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1.49</w:t>
                  </w:r>
                </w:p>
              </w:tc>
            </w:tr>
            <w:tr w14:paraId="60CF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restart"/>
                  <w:vAlign w:val="center"/>
                </w:tcPr>
                <w:p w14:paraId="139C87B5">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t>2024.12.11</w:t>
                  </w:r>
                </w:p>
              </w:tc>
              <w:tc>
                <w:tcPr>
                  <w:tcW w:w="602" w:type="pct"/>
                  <w:vMerge w:val="restart"/>
                  <w:vAlign w:val="center"/>
                </w:tcPr>
                <w:p w14:paraId="1DBAFB4F">
                  <w:pPr>
                    <w:pStyle w:val="58"/>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宋体" w:cs="Times New Roman"/>
                      <w:b w:val="0"/>
                      <w:bCs w:val="0"/>
                      <w:color w:val="000000" w:themeColor="text1"/>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t>总悬浮</w:t>
                  </w:r>
                </w:p>
                <w:p w14:paraId="258BA566">
                  <w:pPr>
                    <w:keepNext w:val="0"/>
                    <w:keepLines w:val="0"/>
                    <w:pageBreakBefore w:val="0"/>
                    <w:numPr>
                      <w:ilvl w:val="0"/>
                      <w:numId w:val="0"/>
                    </w:numPr>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7"/>
                      <w:sz w:val="21"/>
                      <w:szCs w:val="21"/>
                      <w14:textFill>
                        <w14:solidFill>
                          <w14:schemeClr w14:val="tx1"/>
                        </w14:solidFill>
                      </w14:textFill>
                    </w:rPr>
                    <w:t>颗粒物</w:t>
                  </w:r>
                </w:p>
              </w:tc>
              <w:tc>
                <w:tcPr>
                  <w:tcW w:w="602" w:type="pct"/>
                  <w:vAlign w:val="center"/>
                </w:tcPr>
                <w:p w14:paraId="73D8147B">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1</w:t>
                  </w:r>
                </w:p>
              </w:tc>
              <w:tc>
                <w:tcPr>
                  <w:tcW w:w="614" w:type="pct"/>
                  <w:vAlign w:val="center"/>
                </w:tcPr>
                <w:p w14:paraId="0FD4186A">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25A65A9B">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205</w:t>
                  </w:r>
                </w:p>
              </w:tc>
              <w:tc>
                <w:tcPr>
                  <w:tcW w:w="606" w:type="pct"/>
                  <w:vAlign w:val="center"/>
                </w:tcPr>
                <w:p w14:paraId="4DB6A17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336</w:t>
                  </w:r>
                </w:p>
              </w:tc>
              <w:tc>
                <w:tcPr>
                  <w:tcW w:w="607" w:type="pct"/>
                  <w:vAlign w:val="center"/>
                </w:tcPr>
                <w:p w14:paraId="53948EDF">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378</w:t>
                  </w:r>
                </w:p>
              </w:tc>
              <w:tc>
                <w:tcPr>
                  <w:tcW w:w="608" w:type="pct"/>
                  <w:vAlign w:val="center"/>
                </w:tcPr>
                <w:p w14:paraId="5359CCE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373</w:t>
                  </w:r>
                </w:p>
              </w:tc>
            </w:tr>
            <w:tr w14:paraId="74C92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12FC16BD">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5AD636A5">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4B2C5948">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2</w:t>
                  </w:r>
                </w:p>
              </w:tc>
              <w:tc>
                <w:tcPr>
                  <w:tcW w:w="614" w:type="pct"/>
                  <w:vAlign w:val="center"/>
                </w:tcPr>
                <w:p w14:paraId="12A4B2FF">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3A8BDDAD">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196</w:t>
                  </w:r>
                </w:p>
              </w:tc>
              <w:tc>
                <w:tcPr>
                  <w:tcW w:w="606" w:type="pct"/>
                  <w:vAlign w:val="center"/>
                </w:tcPr>
                <w:p w14:paraId="0E908E50">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315</w:t>
                  </w:r>
                </w:p>
              </w:tc>
              <w:tc>
                <w:tcPr>
                  <w:tcW w:w="607" w:type="pct"/>
                  <w:vAlign w:val="center"/>
                </w:tcPr>
                <w:p w14:paraId="3154C72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4"/>
                      <w:sz w:val="21"/>
                      <w:szCs w:val="21"/>
                      <w14:textFill>
                        <w14:solidFill>
                          <w14:schemeClr w14:val="tx1"/>
                        </w14:solidFill>
                      </w14:textFill>
                    </w:rPr>
                    <w:t>411</w:t>
                  </w:r>
                </w:p>
              </w:tc>
              <w:tc>
                <w:tcPr>
                  <w:tcW w:w="608" w:type="pct"/>
                  <w:vAlign w:val="center"/>
                </w:tcPr>
                <w:p w14:paraId="0FC3450D">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4"/>
                      <w:sz w:val="21"/>
                      <w:szCs w:val="21"/>
                      <w14:textFill>
                        <w14:solidFill>
                          <w14:schemeClr w14:val="tx1"/>
                        </w14:solidFill>
                      </w14:textFill>
                    </w:rPr>
                    <w:t>405</w:t>
                  </w:r>
                </w:p>
              </w:tc>
            </w:tr>
            <w:tr w14:paraId="1FB9B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02BF6735">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2811EFB0">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7C686617">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3</w:t>
                  </w:r>
                </w:p>
              </w:tc>
              <w:tc>
                <w:tcPr>
                  <w:tcW w:w="614" w:type="pct"/>
                  <w:vAlign w:val="center"/>
                </w:tcPr>
                <w:p w14:paraId="5F544512">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2EABBA0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219</w:t>
                  </w:r>
                </w:p>
              </w:tc>
              <w:tc>
                <w:tcPr>
                  <w:tcW w:w="606" w:type="pct"/>
                  <w:vAlign w:val="center"/>
                </w:tcPr>
                <w:p w14:paraId="3A9889D1">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349</w:t>
                  </w:r>
                </w:p>
              </w:tc>
              <w:tc>
                <w:tcPr>
                  <w:tcW w:w="607" w:type="pct"/>
                  <w:vAlign w:val="center"/>
                </w:tcPr>
                <w:p w14:paraId="069C5F45">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352</w:t>
                  </w:r>
                </w:p>
              </w:tc>
              <w:tc>
                <w:tcPr>
                  <w:tcW w:w="608" w:type="pct"/>
                  <w:vAlign w:val="center"/>
                </w:tcPr>
                <w:p w14:paraId="3D041E1B">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348</w:t>
                  </w:r>
                </w:p>
              </w:tc>
            </w:tr>
            <w:tr w14:paraId="1F5A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1694E1BE">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563F71F5">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2E72339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1"/>
                      <w:sz w:val="21"/>
                      <w:szCs w:val="21"/>
                      <w14:textFill>
                        <w14:solidFill>
                          <w14:schemeClr w14:val="tx1"/>
                        </w14:solidFill>
                      </w14:textFill>
                    </w:rPr>
                    <w:t>4</w:t>
                  </w:r>
                </w:p>
              </w:tc>
              <w:tc>
                <w:tcPr>
                  <w:tcW w:w="614" w:type="pct"/>
                  <w:vAlign w:val="center"/>
                </w:tcPr>
                <w:p w14:paraId="6242EFFC">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304F535E">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3"/>
                      <w:sz w:val="21"/>
                      <w:szCs w:val="21"/>
                      <w14:textFill>
                        <w14:solidFill>
                          <w14:schemeClr w14:val="tx1"/>
                        </w14:solidFill>
                      </w14:textFill>
                    </w:rPr>
                    <w:t>212</w:t>
                  </w:r>
                </w:p>
              </w:tc>
              <w:tc>
                <w:tcPr>
                  <w:tcW w:w="606" w:type="pct"/>
                  <w:vAlign w:val="center"/>
                </w:tcPr>
                <w:p w14:paraId="4F79CEEC">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302</w:t>
                  </w:r>
                </w:p>
              </w:tc>
              <w:tc>
                <w:tcPr>
                  <w:tcW w:w="607" w:type="pct"/>
                  <w:vAlign w:val="center"/>
                </w:tcPr>
                <w:p w14:paraId="7DF8C4A4">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4"/>
                      <w:sz w:val="21"/>
                      <w:szCs w:val="21"/>
                      <w14:textFill>
                        <w14:solidFill>
                          <w14:schemeClr w14:val="tx1"/>
                        </w14:solidFill>
                      </w14:textFill>
                    </w:rPr>
                    <w:t>419</w:t>
                  </w:r>
                </w:p>
              </w:tc>
              <w:tc>
                <w:tcPr>
                  <w:tcW w:w="608" w:type="pct"/>
                  <w:vAlign w:val="center"/>
                </w:tcPr>
                <w:p w14:paraId="310EFE5C">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390</w:t>
                  </w:r>
                </w:p>
              </w:tc>
            </w:tr>
            <w:tr w14:paraId="2F931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2FEABAF3">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restart"/>
                  <w:vAlign w:val="center"/>
                </w:tcPr>
                <w:p w14:paraId="2386FBD9">
                  <w:pPr>
                    <w:keepNext w:val="0"/>
                    <w:keepLines w:val="0"/>
                    <w:pageBreakBefore w:val="0"/>
                    <w:numPr>
                      <w:ilvl w:val="0"/>
                      <w:numId w:val="0"/>
                    </w:numPr>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t>非甲烷</w:t>
                  </w:r>
                  <w:r>
                    <w:rPr>
                      <w:rFonts w:hint="default" w:ascii="Times New Roman" w:hAnsi="Times New Roman" w:eastAsia="宋体" w:cs="Times New Roman"/>
                      <w:b w:val="0"/>
                      <w:bCs w:val="0"/>
                      <w:color w:val="000000" w:themeColor="text1"/>
                      <w:spacing w:val="1"/>
                      <w:sz w:val="21"/>
                      <w:szCs w:val="21"/>
                      <w14:textFill>
                        <w14:solidFill>
                          <w14:schemeClr w14:val="tx1"/>
                        </w14:solidFill>
                      </w14:textFill>
                    </w:rPr>
                    <w:t xml:space="preserve"> </w:t>
                  </w: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总烃</w:t>
                  </w:r>
                </w:p>
              </w:tc>
              <w:tc>
                <w:tcPr>
                  <w:tcW w:w="602" w:type="pct"/>
                  <w:vAlign w:val="center"/>
                </w:tcPr>
                <w:p w14:paraId="79DD4FDC">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1</w:t>
                  </w:r>
                </w:p>
              </w:tc>
              <w:tc>
                <w:tcPr>
                  <w:tcW w:w="614" w:type="pct"/>
                  <w:vAlign w:val="center"/>
                </w:tcPr>
                <w:p w14:paraId="3A83EF55">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13F09BFB">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0.54</w:t>
                  </w:r>
                </w:p>
              </w:tc>
              <w:tc>
                <w:tcPr>
                  <w:tcW w:w="606" w:type="pct"/>
                  <w:vAlign w:val="center"/>
                </w:tcPr>
                <w:p w14:paraId="148C0F7C">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1.03</w:t>
                  </w:r>
                </w:p>
              </w:tc>
              <w:tc>
                <w:tcPr>
                  <w:tcW w:w="607" w:type="pct"/>
                  <w:vAlign w:val="center"/>
                </w:tcPr>
                <w:p w14:paraId="732A474E">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1.28</w:t>
                  </w:r>
                </w:p>
              </w:tc>
              <w:tc>
                <w:tcPr>
                  <w:tcW w:w="608" w:type="pct"/>
                  <w:vAlign w:val="center"/>
                </w:tcPr>
                <w:p w14:paraId="0CC43C35">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1.38</w:t>
                  </w:r>
                </w:p>
              </w:tc>
            </w:tr>
            <w:tr w14:paraId="6C4FC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21DA9EAB">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52318B9F">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460C4234">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2</w:t>
                  </w:r>
                </w:p>
              </w:tc>
              <w:tc>
                <w:tcPr>
                  <w:tcW w:w="614" w:type="pct"/>
                  <w:vAlign w:val="center"/>
                </w:tcPr>
                <w:p w14:paraId="15AFFC60">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251ED17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0.77</w:t>
                  </w:r>
                </w:p>
              </w:tc>
              <w:tc>
                <w:tcPr>
                  <w:tcW w:w="606" w:type="pct"/>
                  <w:vAlign w:val="center"/>
                </w:tcPr>
                <w:p w14:paraId="0DB7E3DC">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1.19</w:t>
                  </w:r>
                </w:p>
              </w:tc>
              <w:tc>
                <w:tcPr>
                  <w:tcW w:w="607" w:type="pct"/>
                  <w:vAlign w:val="center"/>
                </w:tcPr>
                <w:p w14:paraId="23EDFCBD">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1.18</w:t>
                  </w:r>
                </w:p>
              </w:tc>
              <w:tc>
                <w:tcPr>
                  <w:tcW w:w="608" w:type="pct"/>
                  <w:vAlign w:val="center"/>
                </w:tcPr>
                <w:p w14:paraId="6A1E3A7B">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1.34</w:t>
                  </w:r>
                </w:p>
              </w:tc>
            </w:tr>
            <w:tr w14:paraId="1538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4F2C7530">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545C6E4C">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5CFF453A">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14:textFill>
                        <w14:solidFill>
                          <w14:schemeClr w14:val="tx1"/>
                        </w14:solidFill>
                      </w14:textFill>
                    </w:rPr>
                    <w:t>3</w:t>
                  </w:r>
                </w:p>
              </w:tc>
              <w:tc>
                <w:tcPr>
                  <w:tcW w:w="614" w:type="pct"/>
                  <w:vAlign w:val="center"/>
                </w:tcPr>
                <w:p w14:paraId="508681C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5C97588C">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0.49</w:t>
                  </w:r>
                </w:p>
              </w:tc>
              <w:tc>
                <w:tcPr>
                  <w:tcW w:w="606" w:type="pct"/>
                  <w:vAlign w:val="center"/>
                </w:tcPr>
                <w:p w14:paraId="5E6B4DB3">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1.29</w:t>
                  </w:r>
                </w:p>
              </w:tc>
              <w:tc>
                <w:tcPr>
                  <w:tcW w:w="607" w:type="pct"/>
                  <w:vAlign w:val="center"/>
                </w:tcPr>
                <w:p w14:paraId="2967E5BB">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1.30</w:t>
                  </w:r>
                </w:p>
              </w:tc>
              <w:tc>
                <w:tcPr>
                  <w:tcW w:w="608" w:type="pct"/>
                  <w:vAlign w:val="center"/>
                </w:tcPr>
                <w:p w14:paraId="6DD353F2">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1.27</w:t>
                  </w:r>
                </w:p>
              </w:tc>
            </w:tr>
            <w:tr w14:paraId="0FA2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1" w:type="pct"/>
                  <w:vMerge w:val="continue"/>
                  <w:vAlign w:val="center"/>
                </w:tcPr>
                <w:p w14:paraId="0DBE02EB">
                  <w:pPr>
                    <w:keepNext w:val="0"/>
                    <w:keepLines w:val="0"/>
                    <w:pageBreakBefore w:val="0"/>
                    <w:numPr>
                      <w:ilvl w:val="0"/>
                      <w:numId w:val="0"/>
                    </w:numPr>
                    <w:wordWrap/>
                    <w:overflowPunct/>
                    <w:topLinePunct w:val="0"/>
                    <w:bidi w:val="0"/>
                    <w:adjustRightInd w:val="0"/>
                    <w:snapToGrid w:val="0"/>
                    <w:spacing w:line="240" w:lineRule="auto"/>
                    <w:ind w:left="0"/>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p>
              </w:tc>
              <w:tc>
                <w:tcPr>
                  <w:tcW w:w="602" w:type="pct"/>
                  <w:vMerge w:val="continue"/>
                  <w:vAlign w:val="center"/>
                </w:tcPr>
                <w:p w14:paraId="002FA9A0">
                  <w:pPr>
                    <w:keepNext w:val="0"/>
                    <w:keepLines w:val="0"/>
                    <w:pageBreakBefore w:val="0"/>
                    <w:numPr>
                      <w:ilvl w:val="0"/>
                      <w:numId w:val="0"/>
                    </w:numPr>
                    <w:wordWrap/>
                    <w:overflowPunct/>
                    <w:topLinePunct w:val="0"/>
                    <w:bidi w:val="0"/>
                    <w:adjustRightInd w:val="0"/>
                    <w:snapToGrid w:val="0"/>
                    <w:spacing w:line="240" w:lineRule="auto"/>
                    <w:ind w:left="0"/>
                    <w:jc w:val="center"/>
                    <w:rPr>
                      <w:rFonts w:hint="default" w:ascii="Times New Roman" w:hAnsi="Times New Roman" w:eastAsia="宋体" w:cs="Times New Roman"/>
                      <w:b w:val="0"/>
                      <w:bCs w:val="0"/>
                      <w:color w:val="000000" w:themeColor="text1"/>
                      <w:spacing w:val="5"/>
                      <w:sz w:val="21"/>
                      <w:szCs w:val="21"/>
                      <w14:textFill>
                        <w14:solidFill>
                          <w14:schemeClr w14:val="tx1"/>
                        </w14:solidFill>
                      </w14:textFill>
                    </w:rPr>
                  </w:pPr>
                </w:p>
              </w:tc>
              <w:tc>
                <w:tcPr>
                  <w:tcW w:w="602" w:type="pct"/>
                  <w:vAlign w:val="center"/>
                </w:tcPr>
                <w:p w14:paraId="02564BF5">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1"/>
                      <w:sz w:val="21"/>
                      <w:szCs w:val="21"/>
                      <w14:textFill>
                        <w14:solidFill>
                          <w14:schemeClr w14:val="tx1"/>
                        </w14:solidFill>
                      </w14:textFill>
                    </w:rPr>
                    <w:t>4</w:t>
                  </w:r>
                </w:p>
              </w:tc>
              <w:tc>
                <w:tcPr>
                  <w:tcW w:w="614" w:type="pct"/>
                  <w:vAlign w:val="center"/>
                </w:tcPr>
                <w:p w14:paraId="1AC0BCD9">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μg/m</w:t>
                  </w:r>
                  <w:r>
                    <w:rPr>
                      <w:rFonts w:hint="default" w:ascii="Times New Roman" w:hAnsi="Times New Roman" w:eastAsia="宋体" w:cs="Times New Roman"/>
                      <w:b w:val="0"/>
                      <w:bCs w:val="0"/>
                      <w:color w:val="000000" w:themeColor="text1"/>
                      <w:spacing w:val="2"/>
                      <w:position w:val="5"/>
                      <w:sz w:val="21"/>
                      <w:szCs w:val="21"/>
                      <w:vertAlign w:val="superscript"/>
                      <w14:textFill>
                        <w14:solidFill>
                          <w14:schemeClr w14:val="tx1"/>
                        </w14:solidFill>
                      </w14:textFill>
                    </w:rPr>
                    <w:t>3</w:t>
                  </w:r>
                </w:p>
              </w:tc>
              <w:tc>
                <w:tcPr>
                  <w:tcW w:w="606" w:type="pct"/>
                  <w:vAlign w:val="center"/>
                </w:tcPr>
                <w:p w14:paraId="33FB8D5B">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0.52</w:t>
                  </w:r>
                </w:p>
              </w:tc>
              <w:tc>
                <w:tcPr>
                  <w:tcW w:w="606" w:type="pct"/>
                  <w:vAlign w:val="center"/>
                </w:tcPr>
                <w:p w14:paraId="00B31496">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1.47</w:t>
                  </w:r>
                </w:p>
              </w:tc>
              <w:tc>
                <w:tcPr>
                  <w:tcW w:w="607" w:type="pct"/>
                  <w:vAlign w:val="center"/>
                </w:tcPr>
                <w:p w14:paraId="216308BE">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1.35</w:t>
                  </w:r>
                </w:p>
              </w:tc>
              <w:tc>
                <w:tcPr>
                  <w:tcW w:w="608" w:type="pct"/>
                  <w:vAlign w:val="center"/>
                </w:tcPr>
                <w:p w14:paraId="4283B316">
                  <w:pPr>
                    <w:keepNext w:val="0"/>
                    <w:keepLines w:val="0"/>
                    <w:pageBreakBefore w:val="0"/>
                    <w:wordWrap/>
                    <w:overflowPunct/>
                    <w:topLinePunct w:val="0"/>
                    <w:bidi w:val="0"/>
                    <w:adjustRightInd w:val="0"/>
                    <w:snapToGrid w:val="0"/>
                    <w:spacing w:line="240" w:lineRule="auto"/>
                    <w:ind w:left="0" w:leftChars="0"/>
                    <w:jc w:val="center"/>
                    <w:rPr>
                      <w:rFonts w:hint="default" w:ascii="Times New Roman" w:hAnsi="Times New Roman" w:eastAsia="宋体" w:cs="Times New Roman"/>
                      <w:b w:val="0"/>
                      <w:bCs w:val="0"/>
                      <w:color w:val="000000" w:themeColor="text1"/>
                      <w:spacing w:val="-7"/>
                      <w:kern w:val="2"/>
                      <w:sz w:val="21"/>
                      <w:szCs w:val="21"/>
                      <w:vertAlign w:val="baseli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pacing w:val="-2"/>
                      <w:sz w:val="21"/>
                      <w:szCs w:val="21"/>
                      <w14:textFill>
                        <w14:solidFill>
                          <w14:schemeClr w14:val="tx1"/>
                        </w14:solidFill>
                      </w14:textFill>
                    </w:rPr>
                    <w:t>1.20</w:t>
                  </w:r>
                </w:p>
              </w:tc>
            </w:tr>
          </w:tbl>
          <w:p w14:paraId="789215AE">
            <w:pPr>
              <w:numPr>
                <w:ilvl w:val="0"/>
                <w:numId w:val="0"/>
              </w:numPr>
              <w:spacing w:line="360" w:lineRule="auto"/>
              <w:ind w:firstLine="480" w:firstLineChars="200"/>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color w:val="auto"/>
                <w:kern w:val="2"/>
                <w:sz w:val="24"/>
                <w:szCs w:val="24"/>
                <w:lang w:val="en-US" w:eastAsia="zh-CN" w:bidi="ar-SA"/>
              </w:rPr>
              <w:t>项目</w:t>
            </w:r>
            <w:r>
              <w:rPr>
                <w:rFonts w:hint="eastAsia" w:cs="Times New Roman" w:eastAsiaTheme="minorEastAsia"/>
                <w:color w:val="auto"/>
                <w:kern w:val="2"/>
                <w:sz w:val="24"/>
                <w:szCs w:val="24"/>
                <w:lang w:val="en-US" w:eastAsia="zh-CN" w:bidi="ar-SA"/>
              </w:rPr>
              <w:t>厂界无组织颗粒物最高浓度值小于标准限值，均满足</w:t>
            </w:r>
            <w:r>
              <w:rPr>
                <w:rFonts w:hint="eastAsia"/>
                <w:color w:val="auto"/>
                <w:sz w:val="24"/>
              </w:rPr>
              <w:t>《合成树脂工业污染物排放标准》</w:t>
            </w:r>
            <w:r>
              <w:rPr>
                <w:rFonts w:hint="eastAsia"/>
                <w:color w:val="auto"/>
                <w:sz w:val="24"/>
                <w:lang w:eastAsia="zh-CN"/>
              </w:rPr>
              <w:t>（</w:t>
            </w:r>
            <w:r>
              <w:rPr>
                <w:rFonts w:hint="eastAsia"/>
                <w:color w:val="auto"/>
                <w:sz w:val="24"/>
              </w:rPr>
              <w:t>GB31572-2015</w:t>
            </w:r>
            <w:r>
              <w:rPr>
                <w:rFonts w:hint="eastAsia"/>
                <w:color w:val="auto"/>
                <w:sz w:val="24"/>
                <w:lang w:eastAsia="zh-CN"/>
              </w:rPr>
              <w:t>）</w:t>
            </w:r>
            <w:r>
              <w:rPr>
                <w:rFonts w:hint="eastAsia" w:cs="Times New Roman" w:eastAsiaTheme="minorEastAsia"/>
                <w:color w:val="auto"/>
                <w:kern w:val="2"/>
                <w:sz w:val="24"/>
                <w:szCs w:val="24"/>
                <w:lang w:val="en-US" w:eastAsia="zh-CN" w:bidi="ar-SA"/>
              </w:rPr>
              <w:t>中表9企业边界污染物排放限值要求；非甲烷总烃厂界无组织排放小于《固定源挥发性有机物综合排放标准第6部分：其他行业》（DB34/4812.6-2024）限值要求；非甲烷总烃厂区内无组织排放最高浓度小于</w:t>
            </w:r>
            <w:r>
              <w:rPr>
                <w:rFonts w:hint="default" w:ascii="Times New Roman" w:hAnsi="Times New Roman" w:eastAsia="宋体" w:cs="Times New Roman"/>
                <w:b w:val="0"/>
                <w:bCs/>
                <w:color w:val="auto"/>
                <w:sz w:val="24"/>
                <w:szCs w:val="24"/>
                <w:highlight w:val="none"/>
                <w:lang w:eastAsia="zh-CN"/>
              </w:rPr>
              <w:t>《大气污染物综合排放标准》（GB16297-1996）</w:t>
            </w:r>
            <w:r>
              <w:rPr>
                <w:rFonts w:hint="eastAsia" w:ascii="Times New Roman" w:hAnsi="Times New Roman" w:eastAsia="宋体" w:cs="Times New Roman"/>
                <w:b w:val="0"/>
                <w:bCs/>
                <w:color w:val="auto"/>
                <w:sz w:val="24"/>
                <w:szCs w:val="24"/>
                <w:highlight w:val="none"/>
                <w:lang w:val="en-US" w:eastAsia="zh-CN"/>
              </w:rPr>
              <w:t>中无组织</w:t>
            </w:r>
            <w:r>
              <w:rPr>
                <w:rFonts w:hint="default" w:ascii="Times New Roman" w:hAnsi="Times New Roman" w:eastAsia="宋体" w:cs="Times New Roman"/>
                <w:b w:val="0"/>
                <w:bCs/>
                <w:color w:val="auto"/>
                <w:sz w:val="24"/>
                <w:szCs w:val="24"/>
                <w:highlight w:val="none"/>
                <w:lang w:eastAsia="zh-CN"/>
              </w:rPr>
              <w:t>排放</w:t>
            </w:r>
            <w:r>
              <w:rPr>
                <w:rFonts w:hint="eastAsia" w:cs="Times New Roman"/>
                <w:b w:val="0"/>
                <w:bCs/>
                <w:color w:val="auto"/>
                <w:sz w:val="24"/>
                <w:szCs w:val="24"/>
                <w:highlight w:val="none"/>
                <w:lang w:val="en-US" w:eastAsia="zh-CN"/>
              </w:rPr>
              <w:t>标准</w:t>
            </w:r>
            <w:r>
              <w:rPr>
                <w:rFonts w:hint="eastAsia" w:cs="Times New Roman" w:eastAsiaTheme="minorEastAsia"/>
                <w:color w:val="auto"/>
                <w:kern w:val="2"/>
                <w:sz w:val="24"/>
                <w:szCs w:val="24"/>
                <w:lang w:val="en-US" w:eastAsia="zh-CN" w:bidi="ar-SA"/>
              </w:rPr>
              <w:t>。</w:t>
            </w:r>
          </w:p>
          <w:p w14:paraId="476B8903">
            <w:pPr>
              <w:pStyle w:val="31"/>
              <w:snapToGrid w:val="0"/>
              <w:spacing w:line="360" w:lineRule="auto"/>
              <w:ind w:firstLine="480" w:firstLineChars="200"/>
              <w:jc w:val="left"/>
              <w:rPr>
                <w:rFonts w:hint="eastAsia"/>
                <w:color w:val="auto"/>
                <w:kern w:val="0"/>
              </w:rPr>
            </w:pPr>
            <w:r>
              <w:rPr>
                <w:rFonts w:hint="eastAsia"/>
                <w:color w:val="auto"/>
                <w:kern w:val="0"/>
              </w:rPr>
              <w:t>（2）废水</w:t>
            </w:r>
          </w:p>
          <w:p w14:paraId="5B3229FE">
            <w:pPr>
              <w:pStyle w:val="14"/>
              <w:spacing w:after="0" w:line="360" w:lineRule="auto"/>
              <w:ind w:left="0" w:leftChars="0" w:firstLine="480" w:firstLineChars="200"/>
              <w:jc w:val="left"/>
              <w:rPr>
                <w:b/>
                <w:bCs/>
                <w:color w:val="FF0000"/>
                <w:sz w:val="24"/>
                <w:szCs w:val="24"/>
              </w:rPr>
            </w:pPr>
            <w:r>
              <w:rPr>
                <w:b w:val="0"/>
                <w:bCs w:val="0"/>
                <w:color w:val="auto"/>
                <w:sz w:val="24"/>
                <w:szCs w:val="24"/>
              </w:rPr>
              <w:t>现有工程</w:t>
            </w:r>
            <w:r>
              <w:rPr>
                <w:rFonts w:hint="eastAsia"/>
                <w:color w:val="auto"/>
                <w:kern w:val="0"/>
                <w:sz w:val="24"/>
                <w:szCs w:val="24"/>
              </w:rPr>
              <w:t>废水</w:t>
            </w:r>
            <w:r>
              <w:rPr>
                <w:rFonts w:hint="eastAsia"/>
                <w:b w:val="0"/>
                <w:bCs w:val="0"/>
                <w:color w:val="auto"/>
                <w:sz w:val="24"/>
                <w:szCs w:val="24"/>
              </w:rPr>
              <w:t>污染物实际排放总量根据</w:t>
            </w:r>
            <w:r>
              <w:rPr>
                <w:rFonts w:hint="eastAsia"/>
                <w:b w:val="0"/>
                <w:bCs w:val="0"/>
                <w:color w:val="auto"/>
                <w:sz w:val="24"/>
                <w:szCs w:val="24"/>
                <w:lang w:val="en-US" w:eastAsia="zh-CN"/>
              </w:rPr>
              <w:t>《安徽淮宿建材有限公司年产3万吨节能环保木塑型材及深加工扩建项目竣工环境保护验收报告表》</w:t>
            </w:r>
            <w:r>
              <w:rPr>
                <w:rFonts w:hint="eastAsia"/>
                <w:b w:val="0"/>
                <w:bCs w:val="0"/>
                <w:color w:val="auto"/>
                <w:sz w:val="24"/>
                <w:szCs w:val="24"/>
                <w:lang w:eastAsia="zh-CN"/>
              </w:rPr>
              <w:t>验收检测</w:t>
            </w:r>
            <w:r>
              <w:rPr>
                <w:rFonts w:hint="eastAsia"/>
                <w:b w:val="0"/>
                <w:bCs w:val="0"/>
                <w:color w:val="auto"/>
                <w:sz w:val="24"/>
                <w:szCs w:val="24"/>
              </w:rPr>
              <w:t>中的检测结果进行核算。</w:t>
            </w:r>
            <w:r>
              <w:rPr>
                <w:rFonts w:hint="eastAsia" w:ascii="宋体" w:hAnsi="宋体" w:cs="宋体"/>
                <w:b w:val="0"/>
                <w:bCs w:val="0"/>
                <w:color w:val="auto"/>
                <w:sz w:val="24"/>
                <w:szCs w:val="24"/>
              </w:rPr>
              <w:t>检测</w:t>
            </w:r>
            <w:r>
              <w:rPr>
                <w:b w:val="0"/>
                <w:bCs w:val="0"/>
                <w:color w:val="auto"/>
                <w:sz w:val="24"/>
                <w:szCs w:val="24"/>
              </w:rPr>
              <w:t>结果如下：</w:t>
            </w:r>
          </w:p>
          <w:p w14:paraId="0ED731C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b/>
                <w:bCs/>
                <w:color w:val="auto"/>
                <w:sz w:val="24"/>
                <w:szCs w:val="24"/>
                <w:lang w:val="en-US"/>
              </w:rPr>
            </w:pPr>
            <w:r>
              <w:rPr>
                <w:rFonts w:hint="eastAsia"/>
                <w:b/>
                <w:bCs/>
                <w:color w:val="auto"/>
                <w:sz w:val="24"/>
                <w:szCs w:val="24"/>
                <w:lang w:eastAsia="zh-CN"/>
              </w:rPr>
              <w:t>表</w:t>
            </w:r>
            <w:r>
              <w:rPr>
                <w:rFonts w:hint="eastAsia"/>
                <w:b/>
                <w:bCs/>
                <w:color w:val="auto"/>
                <w:sz w:val="24"/>
                <w:szCs w:val="24"/>
                <w:lang w:val="en-US" w:eastAsia="zh-CN"/>
              </w:rPr>
              <w:t xml:space="preserve">2.12  </w:t>
            </w:r>
            <w:r>
              <w:rPr>
                <w:rFonts w:hint="eastAsia" w:ascii="Times New Roman" w:hAnsi="Times New Roman" w:cs="Times New Roman"/>
                <w:b/>
                <w:bCs/>
                <w:color w:val="auto"/>
                <w:kern w:val="0"/>
                <w:sz w:val="24"/>
                <w:szCs w:val="24"/>
                <w:shd w:val="clear" w:color="auto" w:fill="auto"/>
                <w:lang w:val="en-US" w:eastAsia="zh-CN" w:bidi="ar-SA"/>
              </w:rPr>
              <w:t>污水处理设施总排口</w:t>
            </w:r>
          </w:p>
          <w:tbl>
            <w:tblPr>
              <w:tblStyle w:val="25"/>
              <w:tblW w:w="84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1"/>
              <w:gridCol w:w="1090"/>
              <w:gridCol w:w="905"/>
              <w:gridCol w:w="840"/>
              <w:gridCol w:w="1140"/>
              <w:gridCol w:w="1155"/>
              <w:gridCol w:w="1140"/>
              <w:gridCol w:w="1093"/>
            </w:tblGrid>
            <w:tr w14:paraId="0B8C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restart"/>
                  <w:vAlign w:val="center"/>
                </w:tcPr>
                <w:p w14:paraId="315930DA">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color w:val="auto"/>
                      <w:spacing w:val="-7"/>
                      <w:kern w:val="2"/>
                      <w:sz w:val="21"/>
                      <w:szCs w:val="21"/>
                      <w:vertAlign w:val="baseline"/>
                      <w:lang w:val="en-US" w:eastAsia="zh-CN" w:bidi="ar-SA"/>
                    </w:rPr>
                    <w:t>采样日期</w:t>
                  </w:r>
                </w:p>
              </w:tc>
              <w:tc>
                <w:tcPr>
                  <w:tcW w:w="1090" w:type="dxa"/>
                  <w:vMerge w:val="restart"/>
                  <w:vAlign w:val="center"/>
                </w:tcPr>
                <w:p w14:paraId="48FD71A2">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color w:val="auto"/>
                      <w:spacing w:val="-7"/>
                      <w:kern w:val="2"/>
                      <w:sz w:val="21"/>
                      <w:szCs w:val="21"/>
                      <w:vertAlign w:val="baseline"/>
                      <w:lang w:val="en-US" w:eastAsia="zh-CN" w:bidi="ar-SA"/>
                    </w:rPr>
                    <w:t>采样点位</w:t>
                  </w:r>
                </w:p>
              </w:tc>
              <w:tc>
                <w:tcPr>
                  <w:tcW w:w="905" w:type="dxa"/>
                  <w:vMerge w:val="restart"/>
                  <w:vAlign w:val="center"/>
                </w:tcPr>
                <w:p w14:paraId="2C41B9AB">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color w:val="auto"/>
                      <w:spacing w:val="-7"/>
                      <w:kern w:val="2"/>
                      <w:sz w:val="21"/>
                      <w:szCs w:val="21"/>
                      <w:vertAlign w:val="baseline"/>
                      <w:lang w:val="en-US" w:eastAsia="zh-CN" w:bidi="ar-SA"/>
                    </w:rPr>
                    <w:t>检测项目</w:t>
                  </w:r>
                </w:p>
              </w:tc>
              <w:tc>
                <w:tcPr>
                  <w:tcW w:w="840" w:type="dxa"/>
                  <w:vMerge w:val="restart"/>
                  <w:vAlign w:val="center"/>
                </w:tcPr>
                <w:p w14:paraId="4564A2AB">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color w:val="auto"/>
                      <w:spacing w:val="-7"/>
                      <w:kern w:val="2"/>
                      <w:sz w:val="21"/>
                      <w:szCs w:val="21"/>
                      <w:vertAlign w:val="baseline"/>
                      <w:lang w:val="en-US" w:eastAsia="zh-CN" w:bidi="ar-SA"/>
                    </w:rPr>
                    <w:t>单位</w:t>
                  </w:r>
                </w:p>
              </w:tc>
              <w:tc>
                <w:tcPr>
                  <w:tcW w:w="4528" w:type="dxa"/>
                  <w:gridSpan w:val="4"/>
                  <w:vAlign w:val="center"/>
                </w:tcPr>
                <w:p w14:paraId="7C15AABC">
                  <w:pPr>
                    <w:pStyle w:val="58"/>
                    <w:keepNext w:val="0"/>
                    <w:keepLines w:val="0"/>
                    <w:pageBreakBefore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spacing w:val="-7"/>
                      <w:kern w:val="2"/>
                      <w:sz w:val="21"/>
                      <w:szCs w:val="21"/>
                      <w:vertAlign w:val="baseline"/>
                      <w:lang w:val="en-US" w:eastAsia="zh-CN" w:bidi="ar-SA"/>
                    </w:rPr>
                  </w:pPr>
                  <w:r>
                    <w:rPr>
                      <w:rFonts w:hint="default" w:ascii="Times New Roman" w:hAnsi="Times New Roman" w:eastAsia="宋体" w:cs="Times New Roman"/>
                      <w:b w:val="0"/>
                      <w:bCs w:val="0"/>
                      <w:spacing w:val="6"/>
                      <w:sz w:val="21"/>
                      <w:szCs w:val="21"/>
                    </w:rPr>
                    <w:t>检测结果</w:t>
                  </w:r>
                </w:p>
              </w:tc>
            </w:tr>
            <w:tr w14:paraId="16D2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20FCBB46">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555C314E">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Merge w:val="continue"/>
                  <w:vAlign w:val="center"/>
                </w:tcPr>
                <w:p w14:paraId="2AE43D2A">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840" w:type="dxa"/>
                  <w:vMerge w:val="continue"/>
                  <w:vAlign w:val="center"/>
                </w:tcPr>
                <w:p w14:paraId="1500F24A">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140" w:type="dxa"/>
                  <w:vAlign w:val="center"/>
                </w:tcPr>
                <w:p w14:paraId="0A34A711">
                  <w:pPr>
                    <w:pStyle w:val="58"/>
                    <w:keepNext w:val="0"/>
                    <w:keepLines w:val="0"/>
                    <w:pageBreakBefore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spacing w:val="-7"/>
                      <w:kern w:val="2"/>
                      <w:sz w:val="21"/>
                      <w:szCs w:val="21"/>
                      <w:vertAlign w:val="baseline"/>
                      <w:lang w:val="en-US" w:eastAsia="zh-CN" w:bidi="ar-SA"/>
                    </w:rPr>
                  </w:pPr>
                  <w:r>
                    <w:rPr>
                      <w:rFonts w:hint="default" w:ascii="Times New Roman" w:hAnsi="Times New Roman" w:eastAsia="宋体" w:cs="Times New Roman"/>
                      <w:b w:val="0"/>
                      <w:bCs w:val="0"/>
                      <w:spacing w:val="5"/>
                      <w:sz w:val="21"/>
                      <w:szCs w:val="21"/>
                    </w:rPr>
                    <w:t>第一次</w:t>
                  </w:r>
                </w:p>
              </w:tc>
              <w:tc>
                <w:tcPr>
                  <w:tcW w:w="1155" w:type="dxa"/>
                  <w:vAlign w:val="center"/>
                </w:tcPr>
                <w:p w14:paraId="7C4CDDC4">
                  <w:pPr>
                    <w:pStyle w:val="58"/>
                    <w:keepNext w:val="0"/>
                    <w:keepLines w:val="0"/>
                    <w:pageBreakBefore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spacing w:val="-7"/>
                      <w:kern w:val="2"/>
                      <w:sz w:val="21"/>
                      <w:szCs w:val="21"/>
                      <w:vertAlign w:val="baseline"/>
                      <w:lang w:val="en-US" w:eastAsia="zh-CN" w:bidi="ar-SA"/>
                    </w:rPr>
                  </w:pPr>
                  <w:r>
                    <w:rPr>
                      <w:rFonts w:hint="default" w:ascii="Times New Roman" w:hAnsi="Times New Roman" w:eastAsia="宋体" w:cs="Times New Roman"/>
                      <w:b w:val="0"/>
                      <w:bCs w:val="0"/>
                      <w:spacing w:val="5"/>
                      <w:sz w:val="21"/>
                      <w:szCs w:val="21"/>
                    </w:rPr>
                    <w:t>第二次</w:t>
                  </w:r>
                </w:p>
              </w:tc>
              <w:tc>
                <w:tcPr>
                  <w:tcW w:w="1140" w:type="dxa"/>
                  <w:vAlign w:val="center"/>
                </w:tcPr>
                <w:p w14:paraId="06CD4041">
                  <w:pPr>
                    <w:pStyle w:val="58"/>
                    <w:keepNext w:val="0"/>
                    <w:keepLines w:val="0"/>
                    <w:pageBreakBefore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b w:val="0"/>
                      <w:bCs w:val="0"/>
                      <w:color w:val="auto"/>
                      <w:spacing w:val="-7"/>
                      <w:kern w:val="2"/>
                      <w:sz w:val="21"/>
                      <w:szCs w:val="21"/>
                      <w:vertAlign w:val="baseline"/>
                      <w:lang w:val="en-US" w:eastAsia="zh-CN" w:bidi="ar-SA"/>
                    </w:rPr>
                  </w:pPr>
                  <w:r>
                    <w:rPr>
                      <w:rFonts w:hint="default" w:ascii="Times New Roman" w:hAnsi="Times New Roman" w:eastAsia="宋体" w:cs="Times New Roman"/>
                      <w:b w:val="0"/>
                      <w:bCs w:val="0"/>
                      <w:spacing w:val="5"/>
                      <w:sz w:val="21"/>
                      <w:szCs w:val="21"/>
                    </w:rPr>
                    <w:t>第三次</w:t>
                  </w:r>
                </w:p>
              </w:tc>
              <w:tc>
                <w:tcPr>
                  <w:tcW w:w="1093" w:type="dxa"/>
                  <w:vAlign w:val="center"/>
                </w:tcPr>
                <w:p w14:paraId="45FEE079">
                  <w:pPr>
                    <w:pStyle w:val="58"/>
                    <w:keepNext w:val="0"/>
                    <w:keepLines w:val="0"/>
                    <w:pageBreakBefore w:val="0"/>
                    <w:kinsoku/>
                    <w:wordWrap/>
                    <w:overflowPunct/>
                    <w:topLinePunct w:val="0"/>
                    <w:autoSpaceDE/>
                    <w:autoSpaceDN/>
                    <w:bidi w:val="0"/>
                    <w:adjustRightInd w:val="0"/>
                    <w:snapToGrid w:val="0"/>
                    <w:spacing w:line="240" w:lineRule="auto"/>
                    <w:ind w:left="0"/>
                    <w:jc w:val="center"/>
                    <w:textAlignment w:val="auto"/>
                    <w:rPr>
                      <w:rFonts w:hint="default" w:ascii="Times New Roman" w:hAnsi="Times New Roman" w:eastAsia="宋体" w:cs="Times New Roman"/>
                      <w:b w:val="0"/>
                      <w:bCs w:val="0"/>
                      <w:color w:val="auto"/>
                      <w:spacing w:val="-7"/>
                      <w:kern w:val="2"/>
                      <w:sz w:val="21"/>
                      <w:szCs w:val="21"/>
                      <w:vertAlign w:val="baseline"/>
                      <w:lang w:val="en-US" w:eastAsia="zh-CN" w:bidi="ar-SA"/>
                    </w:rPr>
                  </w:pPr>
                  <w:r>
                    <w:rPr>
                      <w:rFonts w:hint="default" w:ascii="Times New Roman" w:hAnsi="Times New Roman" w:eastAsia="宋体" w:cs="Times New Roman"/>
                      <w:b w:val="0"/>
                      <w:bCs w:val="0"/>
                      <w:spacing w:val="5"/>
                      <w:sz w:val="21"/>
                      <w:szCs w:val="21"/>
                    </w:rPr>
                    <w:t>第四次</w:t>
                  </w:r>
                </w:p>
              </w:tc>
            </w:tr>
            <w:tr w14:paraId="0ECD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restart"/>
                  <w:vAlign w:val="center"/>
                </w:tcPr>
                <w:p w14:paraId="7D82A2A1">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color w:val="auto"/>
                      <w:spacing w:val="-7"/>
                      <w:kern w:val="2"/>
                      <w:sz w:val="21"/>
                      <w:szCs w:val="21"/>
                      <w:vertAlign w:val="baseline"/>
                      <w:lang w:val="en-US" w:eastAsia="zh-CN" w:bidi="ar-SA"/>
                    </w:rPr>
                    <w:t>2024.12.10</w:t>
                  </w:r>
                </w:p>
              </w:tc>
              <w:tc>
                <w:tcPr>
                  <w:tcW w:w="1090" w:type="dxa"/>
                  <w:vMerge w:val="restart"/>
                  <w:vAlign w:val="center"/>
                </w:tcPr>
                <w:p w14:paraId="1B6265BB">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color w:val="auto"/>
                      <w:spacing w:val="-7"/>
                      <w:kern w:val="2"/>
                      <w:sz w:val="21"/>
                      <w:szCs w:val="21"/>
                      <w:vertAlign w:val="baseline"/>
                      <w:lang w:val="en-US" w:eastAsia="zh-CN" w:bidi="ar-SA"/>
                    </w:rPr>
                    <w:t>废水排</w:t>
                  </w:r>
                </w:p>
                <w:p w14:paraId="1B363A46">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color w:val="auto"/>
                      <w:spacing w:val="-7"/>
                      <w:kern w:val="2"/>
                      <w:sz w:val="21"/>
                      <w:szCs w:val="21"/>
                      <w:vertAlign w:val="baseline"/>
                      <w:lang w:val="en-US" w:eastAsia="zh-CN" w:bidi="ar-SA"/>
                    </w:rPr>
                    <w:t>放口</w:t>
                  </w:r>
                </w:p>
              </w:tc>
              <w:tc>
                <w:tcPr>
                  <w:tcW w:w="905" w:type="dxa"/>
                  <w:vAlign w:val="center"/>
                </w:tcPr>
                <w:p w14:paraId="5AF5ADA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6"/>
                      <w:sz w:val="21"/>
                      <w:szCs w:val="21"/>
                    </w:rPr>
                    <w:t>pH</w:t>
                  </w:r>
                </w:p>
              </w:tc>
              <w:tc>
                <w:tcPr>
                  <w:tcW w:w="840" w:type="dxa"/>
                  <w:vAlign w:val="center"/>
                </w:tcPr>
                <w:p w14:paraId="5D528801">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6"/>
                      <w:sz w:val="21"/>
                      <w:szCs w:val="21"/>
                    </w:rPr>
                    <w:t>无量纲</w:t>
                  </w:r>
                </w:p>
              </w:tc>
              <w:tc>
                <w:tcPr>
                  <w:tcW w:w="1140" w:type="dxa"/>
                  <w:vAlign w:val="center"/>
                </w:tcPr>
                <w:p w14:paraId="75A94A28">
                  <w:pPr>
                    <w:pStyle w:val="58"/>
                    <w:keepNext w:val="0"/>
                    <w:keepLines w:val="0"/>
                    <w:pageBreakBefore w:val="0"/>
                    <w:widowControl w:val="0"/>
                    <w:kinsoku/>
                    <w:wordWrap/>
                    <w:overflowPunct/>
                    <w:topLinePunct w:val="0"/>
                    <w:autoSpaceDE/>
                    <w:autoSpaceDN/>
                    <w:bidi w:val="0"/>
                    <w:adjustRightInd w:val="0"/>
                    <w:snapToGrid w:val="0"/>
                    <w:spacing w:line="240" w:lineRule="auto"/>
                    <w:ind w:left="0" w:right="0" w:rightChars="0" w:firstLine="0" w:firstLineChars="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1"/>
                      <w:sz w:val="21"/>
                      <w:szCs w:val="21"/>
                    </w:rPr>
                    <w:t>8.4（水温：9.2℃</w:t>
                  </w:r>
                  <w:r>
                    <w:rPr>
                      <w:rFonts w:hint="eastAsia" w:ascii="Times New Roman" w:hAnsi="Times New Roman" w:cs="Times New Roman"/>
                      <w:spacing w:val="1"/>
                      <w:sz w:val="21"/>
                      <w:szCs w:val="21"/>
                      <w:lang w:eastAsia="zh-CN"/>
                    </w:rPr>
                    <w:t>）</w:t>
                  </w:r>
                </w:p>
              </w:tc>
              <w:tc>
                <w:tcPr>
                  <w:tcW w:w="1155" w:type="dxa"/>
                  <w:vAlign w:val="center"/>
                </w:tcPr>
                <w:p w14:paraId="56D7DE93">
                  <w:pPr>
                    <w:pStyle w:val="58"/>
                    <w:keepNext w:val="0"/>
                    <w:keepLines w:val="0"/>
                    <w:pageBreakBefore w:val="0"/>
                    <w:widowControl w:val="0"/>
                    <w:kinsoku/>
                    <w:wordWrap/>
                    <w:overflowPunct/>
                    <w:topLinePunct w:val="0"/>
                    <w:autoSpaceDE/>
                    <w:autoSpaceDN/>
                    <w:bidi w:val="0"/>
                    <w:adjustRightInd w:val="0"/>
                    <w:snapToGrid w:val="0"/>
                    <w:spacing w:line="240" w:lineRule="auto"/>
                    <w:ind w:left="0" w:right="0" w:rightChars="0" w:firstLine="0" w:firstLineChars="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8.2（水</w:t>
                  </w:r>
                  <w:r>
                    <w:rPr>
                      <w:rFonts w:hint="default" w:ascii="Times New Roman" w:hAnsi="Times New Roman" w:eastAsia="宋体" w:cs="Times New Roman"/>
                      <w:spacing w:val="-4"/>
                      <w:sz w:val="21"/>
                      <w:szCs w:val="21"/>
                    </w:rPr>
                    <w:t>温：9.1℃</w:t>
                  </w:r>
                  <w:r>
                    <w:rPr>
                      <w:rFonts w:hint="eastAsia" w:ascii="Times New Roman" w:hAnsi="Times New Roman" w:cs="Times New Roman"/>
                      <w:spacing w:val="-4"/>
                      <w:sz w:val="21"/>
                      <w:szCs w:val="21"/>
                      <w:lang w:eastAsia="zh-CN"/>
                    </w:rPr>
                    <w:t>）</w:t>
                  </w:r>
                </w:p>
              </w:tc>
              <w:tc>
                <w:tcPr>
                  <w:tcW w:w="1140" w:type="dxa"/>
                  <w:vAlign w:val="center"/>
                </w:tcPr>
                <w:p w14:paraId="213B031C">
                  <w:pPr>
                    <w:pStyle w:val="58"/>
                    <w:keepNext w:val="0"/>
                    <w:keepLines w:val="0"/>
                    <w:pageBreakBefore w:val="0"/>
                    <w:widowControl w:val="0"/>
                    <w:kinsoku/>
                    <w:wordWrap/>
                    <w:overflowPunct/>
                    <w:topLinePunct w:val="0"/>
                    <w:autoSpaceDE/>
                    <w:autoSpaceDN/>
                    <w:bidi w:val="0"/>
                    <w:adjustRightInd w:val="0"/>
                    <w:snapToGrid w:val="0"/>
                    <w:spacing w:line="240" w:lineRule="auto"/>
                    <w:ind w:left="0" w:right="0" w:rightChars="0" w:firstLine="0" w:firstLineChars="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8.4（水</w:t>
                  </w:r>
                  <w:r>
                    <w:rPr>
                      <w:rFonts w:hint="default" w:ascii="Times New Roman" w:hAnsi="Times New Roman" w:eastAsia="宋体" w:cs="Times New Roman"/>
                      <w:spacing w:val="-4"/>
                      <w:sz w:val="21"/>
                      <w:szCs w:val="21"/>
                    </w:rPr>
                    <w:t>温：9.1℃</w:t>
                  </w:r>
                  <w:r>
                    <w:rPr>
                      <w:rFonts w:hint="eastAsia" w:ascii="Times New Roman" w:hAnsi="Times New Roman" w:cs="Times New Roman"/>
                      <w:spacing w:val="-4"/>
                      <w:sz w:val="21"/>
                      <w:szCs w:val="21"/>
                      <w:lang w:eastAsia="zh-CN"/>
                    </w:rPr>
                    <w:t>）</w:t>
                  </w:r>
                </w:p>
              </w:tc>
              <w:tc>
                <w:tcPr>
                  <w:tcW w:w="1093" w:type="dxa"/>
                  <w:vAlign w:val="center"/>
                </w:tcPr>
                <w:p w14:paraId="07D0C972">
                  <w:pPr>
                    <w:pStyle w:val="58"/>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8.4（水</w:t>
                  </w:r>
                </w:p>
                <w:p w14:paraId="24DCF194">
                  <w:pPr>
                    <w:pStyle w:val="58"/>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温：9.1℃</w:t>
                  </w:r>
                  <w:r>
                    <w:rPr>
                      <w:rFonts w:hint="eastAsia" w:ascii="Times New Roman" w:hAnsi="Times New Roman" w:cs="Times New Roman"/>
                      <w:sz w:val="21"/>
                      <w:szCs w:val="21"/>
                      <w:lang w:eastAsia="zh-CN"/>
                    </w:rPr>
                    <w:t>）</w:t>
                  </w:r>
                </w:p>
              </w:tc>
            </w:tr>
            <w:tr w14:paraId="6E1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75739C03">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4464E789">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018D3E06">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6"/>
                      <w:sz w:val="21"/>
                      <w:szCs w:val="21"/>
                    </w:rPr>
                    <w:t>悬浮物</w:t>
                  </w:r>
                </w:p>
              </w:tc>
              <w:tc>
                <w:tcPr>
                  <w:tcW w:w="840" w:type="dxa"/>
                  <w:vAlign w:val="center"/>
                </w:tcPr>
                <w:p w14:paraId="23E6919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mg</w:t>
                  </w:r>
                  <w:r>
                    <w:rPr>
                      <w:rFonts w:hint="default" w:ascii="Times New Roman" w:hAnsi="Times New Roman" w:eastAsia="宋体" w:cs="Times New Roman"/>
                      <w:spacing w:val="9"/>
                      <w:sz w:val="21"/>
                      <w:szCs w:val="21"/>
                    </w:rPr>
                    <w:t>/L</w:t>
                  </w:r>
                </w:p>
              </w:tc>
              <w:tc>
                <w:tcPr>
                  <w:tcW w:w="1140" w:type="dxa"/>
                  <w:vAlign w:val="center"/>
                </w:tcPr>
                <w:p w14:paraId="04844B2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8"/>
                      <w:sz w:val="21"/>
                      <w:szCs w:val="21"/>
                    </w:rPr>
                    <w:t>13</w:t>
                  </w:r>
                </w:p>
              </w:tc>
              <w:tc>
                <w:tcPr>
                  <w:tcW w:w="1155" w:type="dxa"/>
                  <w:vAlign w:val="center"/>
                </w:tcPr>
                <w:p w14:paraId="4ADEDB4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8"/>
                      <w:sz w:val="21"/>
                      <w:szCs w:val="21"/>
                    </w:rPr>
                    <w:t>17</w:t>
                  </w:r>
                </w:p>
              </w:tc>
              <w:tc>
                <w:tcPr>
                  <w:tcW w:w="1140" w:type="dxa"/>
                  <w:vAlign w:val="center"/>
                </w:tcPr>
                <w:p w14:paraId="4BFA85E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8"/>
                      <w:sz w:val="21"/>
                      <w:szCs w:val="21"/>
                    </w:rPr>
                    <w:t>15</w:t>
                  </w:r>
                </w:p>
              </w:tc>
              <w:tc>
                <w:tcPr>
                  <w:tcW w:w="1093" w:type="dxa"/>
                  <w:vAlign w:val="center"/>
                </w:tcPr>
                <w:p w14:paraId="5EFAA37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8"/>
                      <w:sz w:val="21"/>
                      <w:szCs w:val="21"/>
                    </w:rPr>
                    <w:t>16</w:t>
                  </w:r>
                </w:p>
              </w:tc>
            </w:tr>
            <w:tr w14:paraId="4F21D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52215BAF">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14C1BC1F">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5DC19361">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7"/>
                      <w:sz w:val="21"/>
                      <w:szCs w:val="21"/>
                    </w:rPr>
                    <w:t>化学需氧量</w:t>
                  </w:r>
                </w:p>
              </w:tc>
              <w:tc>
                <w:tcPr>
                  <w:tcW w:w="840" w:type="dxa"/>
                  <w:vAlign w:val="center"/>
                </w:tcPr>
                <w:p w14:paraId="5BAE373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mg</w:t>
                  </w:r>
                  <w:r>
                    <w:rPr>
                      <w:rFonts w:hint="default" w:ascii="Times New Roman" w:hAnsi="Times New Roman" w:eastAsia="宋体" w:cs="Times New Roman"/>
                      <w:spacing w:val="9"/>
                      <w:sz w:val="21"/>
                      <w:szCs w:val="21"/>
                    </w:rPr>
                    <w:t>/L</w:t>
                  </w:r>
                </w:p>
              </w:tc>
              <w:tc>
                <w:tcPr>
                  <w:tcW w:w="1140" w:type="dxa"/>
                  <w:vAlign w:val="center"/>
                </w:tcPr>
                <w:p w14:paraId="5014F74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59</w:t>
                  </w:r>
                </w:p>
              </w:tc>
              <w:tc>
                <w:tcPr>
                  <w:tcW w:w="1155" w:type="dxa"/>
                  <w:vAlign w:val="center"/>
                </w:tcPr>
                <w:p w14:paraId="28C086D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54</w:t>
                  </w:r>
                </w:p>
              </w:tc>
              <w:tc>
                <w:tcPr>
                  <w:tcW w:w="1140" w:type="dxa"/>
                  <w:vAlign w:val="center"/>
                </w:tcPr>
                <w:p w14:paraId="7A682D9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52</w:t>
                  </w:r>
                </w:p>
              </w:tc>
              <w:tc>
                <w:tcPr>
                  <w:tcW w:w="1093" w:type="dxa"/>
                  <w:vAlign w:val="center"/>
                </w:tcPr>
                <w:p w14:paraId="3780ABA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60</w:t>
                  </w:r>
                </w:p>
              </w:tc>
            </w:tr>
            <w:tr w14:paraId="0F4AB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6312B525">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1D2161A2">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6CF0A815">
                  <w:pPr>
                    <w:pStyle w:val="58"/>
                    <w:keepNext w:val="0"/>
                    <w:keepLines w:val="0"/>
                    <w:pageBreakBefore w:val="0"/>
                    <w:widowControl w:val="0"/>
                    <w:kinsoku/>
                    <w:wordWrap/>
                    <w:overflowPunct/>
                    <w:topLinePunct w:val="0"/>
                    <w:autoSpaceDE/>
                    <w:autoSpaceDN/>
                    <w:bidi w:val="0"/>
                    <w:adjustRightInd w:val="0"/>
                    <w:snapToGrid w:val="0"/>
                    <w:spacing w:line="240" w:lineRule="auto"/>
                    <w:ind w:left="0" w:right="0" w:firstLine="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五日生化需氧</w:t>
                  </w:r>
                </w:p>
                <w:p w14:paraId="67B6C6D4">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量</w:t>
                  </w:r>
                </w:p>
              </w:tc>
              <w:tc>
                <w:tcPr>
                  <w:tcW w:w="840" w:type="dxa"/>
                  <w:vAlign w:val="center"/>
                </w:tcPr>
                <w:p w14:paraId="4B1E43B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mg</w:t>
                  </w:r>
                  <w:r>
                    <w:rPr>
                      <w:rFonts w:hint="default" w:ascii="Times New Roman" w:hAnsi="Times New Roman" w:eastAsia="宋体" w:cs="Times New Roman"/>
                      <w:spacing w:val="9"/>
                      <w:sz w:val="21"/>
                      <w:szCs w:val="21"/>
                    </w:rPr>
                    <w:t>/L</w:t>
                  </w:r>
                </w:p>
              </w:tc>
              <w:tc>
                <w:tcPr>
                  <w:tcW w:w="1140" w:type="dxa"/>
                  <w:vAlign w:val="center"/>
                </w:tcPr>
                <w:p w14:paraId="699CC5D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10.4</w:t>
                  </w:r>
                </w:p>
              </w:tc>
              <w:tc>
                <w:tcPr>
                  <w:tcW w:w="1155" w:type="dxa"/>
                  <w:vAlign w:val="center"/>
                </w:tcPr>
                <w:p w14:paraId="65DF1FE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10.5</w:t>
                  </w:r>
                </w:p>
              </w:tc>
              <w:tc>
                <w:tcPr>
                  <w:tcW w:w="1140" w:type="dxa"/>
                  <w:vAlign w:val="center"/>
                </w:tcPr>
                <w:p w14:paraId="7F8C59F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1"/>
                      <w:sz w:val="21"/>
                      <w:szCs w:val="21"/>
                    </w:rPr>
                    <w:t>9.9</w:t>
                  </w:r>
                </w:p>
              </w:tc>
              <w:tc>
                <w:tcPr>
                  <w:tcW w:w="1093" w:type="dxa"/>
                  <w:vAlign w:val="center"/>
                </w:tcPr>
                <w:p w14:paraId="0DC2673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1"/>
                      <w:sz w:val="21"/>
                      <w:szCs w:val="21"/>
                    </w:rPr>
                    <w:t>9.9</w:t>
                  </w:r>
                </w:p>
              </w:tc>
            </w:tr>
            <w:tr w14:paraId="1F46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35A88328">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45849596">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4D597AF1">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4"/>
                      <w:sz w:val="21"/>
                      <w:szCs w:val="21"/>
                    </w:rPr>
                    <w:t>氨氮</w:t>
                  </w:r>
                </w:p>
              </w:tc>
              <w:tc>
                <w:tcPr>
                  <w:tcW w:w="840" w:type="dxa"/>
                  <w:vAlign w:val="center"/>
                </w:tcPr>
                <w:p w14:paraId="25AB088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mg</w:t>
                  </w:r>
                  <w:r>
                    <w:rPr>
                      <w:rFonts w:hint="default" w:ascii="Times New Roman" w:hAnsi="Times New Roman" w:eastAsia="宋体" w:cs="Times New Roman"/>
                      <w:spacing w:val="9"/>
                      <w:sz w:val="21"/>
                      <w:szCs w:val="21"/>
                    </w:rPr>
                    <w:t>/L</w:t>
                  </w:r>
                </w:p>
              </w:tc>
              <w:tc>
                <w:tcPr>
                  <w:tcW w:w="1140" w:type="dxa"/>
                  <w:vAlign w:val="center"/>
                </w:tcPr>
                <w:p w14:paraId="109E590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3.28</w:t>
                  </w:r>
                </w:p>
              </w:tc>
              <w:tc>
                <w:tcPr>
                  <w:tcW w:w="1155" w:type="dxa"/>
                  <w:vAlign w:val="center"/>
                </w:tcPr>
                <w:p w14:paraId="0F5B879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3.34</w:t>
                  </w:r>
                </w:p>
              </w:tc>
              <w:tc>
                <w:tcPr>
                  <w:tcW w:w="1140" w:type="dxa"/>
                  <w:vAlign w:val="center"/>
                </w:tcPr>
                <w:p w14:paraId="7429612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3.39</w:t>
                  </w:r>
                </w:p>
              </w:tc>
              <w:tc>
                <w:tcPr>
                  <w:tcW w:w="1093" w:type="dxa"/>
                  <w:vAlign w:val="center"/>
                </w:tcPr>
                <w:p w14:paraId="2B68415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3.20</w:t>
                  </w:r>
                </w:p>
              </w:tc>
            </w:tr>
            <w:tr w14:paraId="607A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54EB5541">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7E86F3D4">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13971187">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6"/>
                      <w:sz w:val="21"/>
                      <w:szCs w:val="21"/>
                    </w:rPr>
                    <w:t>全盐量</w:t>
                  </w:r>
                </w:p>
              </w:tc>
              <w:tc>
                <w:tcPr>
                  <w:tcW w:w="840" w:type="dxa"/>
                  <w:vAlign w:val="center"/>
                </w:tcPr>
                <w:p w14:paraId="5A067B1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mg</w:t>
                  </w:r>
                  <w:r>
                    <w:rPr>
                      <w:rFonts w:hint="default" w:ascii="Times New Roman" w:hAnsi="Times New Roman" w:eastAsia="宋体" w:cs="Times New Roman"/>
                      <w:spacing w:val="9"/>
                      <w:sz w:val="21"/>
                      <w:szCs w:val="21"/>
                    </w:rPr>
                    <w:t>/L</w:t>
                  </w:r>
                </w:p>
              </w:tc>
              <w:tc>
                <w:tcPr>
                  <w:tcW w:w="1140" w:type="dxa"/>
                  <w:vAlign w:val="center"/>
                </w:tcPr>
                <w:p w14:paraId="40E8170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3"/>
                      <w:sz w:val="21"/>
                      <w:szCs w:val="21"/>
                    </w:rPr>
                    <w:t>5.38×10</w:t>
                  </w:r>
                  <w:r>
                    <w:rPr>
                      <w:rFonts w:hint="default" w:ascii="Times New Roman" w:hAnsi="Times New Roman" w:eastAsia="宋体" w:cs="Times New Roman"/>
                      <w:spacing w:val="3"/>
                      <w:position w:val="6"/>
                      <w:sz w:val="21"/>
                      <w:szCs w:val="21"/>
                      <w:vertAlign w:val="superscript"/>
                    </w:rPr>
                    <w:t>2</w:t>
                  </w:r>
                </w:p>
              </w:tc>
              <w:tc>
                <w:tcPr>
                  <w:tcW w:w="1155" w:type="dxa"/>
                  <w:vAlign w:val="center"/>
                </w:tcPr>
                <w:p w14:paraId="5EBCB87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3"/>
                      <w:sz w:val="21"/>
                      <w:szCs w:val="21"/>
                    </w:rPr>
                    <w:t>6.75×10</w:t>
                  </w:r>
                  <w:r>
                    <w:rPr>
                      <w:rFonts w:hint="default" w:ascii="Times New Roman" w:hAnsi="Times New Roman" w:eastAsia="宋体" w:cs="Times New Roman"/>
                      <w:spacing w:val="3"/>
                      <w:position w:val="6"/>
                      <w:sz w:val="21"/>
                      <w:szCs w:val="21"/>
                      <w:vertAlign w:val="superscript"/>
                    </w:rPr>
                    <w:t>2</w:t>
                  </w:r>
                </w:p>
              </w:tc>
              <w:tc>
                <w:tcPr>
                  <w:tcW w:w="1140" w:type="dxa"/>
                  <w:vAlign w:val="center"/>
                </w:tcPr>
                <w:p w14:paraId="3060BB2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3"/>
                      <w:sz w:val="21"/>
                      <w:szCs w:val="21"/>
                    </w:rPr>
                    <w:t>6.30×10</w:t>
                  </w:r>
                  <w:r>
                    <w:rPr>
                      <w:rFonts w:hint="default" w:ascii="Times New Roman" w:hAnsi="Times New Roman" w:eastAsia="宋体" w:cs="Times New Roman"/>
                      <w:spacing w:val="3"/>
                      <w:position w:val="6"/>
                      <w:sz w:val="21"/>
                      <w:szCs w:val="21"/>
                      <w:vertAlign w:val="superscript"/>
                    </w:rPr>
                    <w:t>2</w:t>
                  </w:r>
                </w:p>
              </w:tc>
              <w:tc>
                <w:tcPr>
                  <w:tcW w:w="1093" w:type="dxa"/>
                  <w:vAlign w:val="center"/>
                </w:tcPr>
                <w:p w14:paraId="2C01348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3"/>
                      <w:sz w:val="21"/>
                      <w:szCs w:val="21"/>
                    </w:rPr>
                    <w:t>7.02×10</w:t>
                  </w:r>
                  <w:r>
                    <w:rPr>
                      <w:rFonts w:hint="default" w:ascii="Times New Roman" w:hAnsi="Times New Roman" w:eastAsia="宋体" w:cs="Times New Roman"/>
                      <w:spacing w:val="3"/>
                      <w:position w:val="6"/>
                      <w:sz w:val="21"/>
                      <w:szCs w:val="21"/>
                      <w:vertAlign w:val="superscript"/>
                    </w:rPr>
                    <w:t>2</w:t>
                  </w:r>
                </w:p>
              </w:tc>
            </w:tr>
            <w:tr w14:paraId="4672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5B335E80">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01BC321E">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1EC75535">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7"/>
                      <w:sz w:val="21"/>
                      <w:szCs w:val="21"/>
                    </w:rPr>
                    <w:t>动植物油</w:t>
                  </w:r>
                </w:p>
              </w:tc>
              <w:tc>
                <w:tcPr>
                  <w:tcW w:w="840" w:type="dxa"/>
                  <w:vAlign w:val="center"/>
                </w:tcPr>
                <w:p w14:paraId="77563B8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z w:val="21"/>
                      <w:szCs w:val="21"/>
                    </w:rPr>
                    <w:t>mg</w:t>
                  </w:r>
                  <w:r>
                    <w:rPr>
                      <w:rFonts w:hint="default" w:ascii="Times New Roman" w:hAnsi="Times New Roman" w:eastAsia="宋体" w:cs="Times New Roman"/>
                      <w:spacing w:val="9"/>
                      <w:sz w:val="21"/>
                      <w:szCs w:val="21"/>
                    </w:rPr>
                    <w:t>/L</w:t>
                  </w:r>
                </w:p>
              </w:tc>
              <w:tc>
                <w:tcPr>
                  <w:tcW w:w="1140" w:type="dxa"/>
                  <w:vAlign w:val="center"/>
                </w:tcPr>
                <w:p w14:paraId="5C073C3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0.34</w:t>
                  </w:r>
                </w:p>
              </w:tc>
              <w:tc>
                <w:tcPr>
                  <w:tcW w:w="1155" w:type="dxa"/>
                  <w:vAlign w:val="center"/>
                </w:tcPr>
                <w:p w14:paraId="348375D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0.37</w:t>
                  </w:r>
                </w:p>
              </w:tc>
              <w:tc>
                <w:tcPr>
                  <w:tcW w:w="1140" w:type="dxa"/>
                  <w:vAlign w:val="center"/>
                </w:tcPr>
                <w:p w14:paraId="4B13C8A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0.33</w:t>
                  </w:r>
                </w:p>
              </w:tc>
              <w:tc>
                <w:tcPr>
                  <w:tcW w:w="1093" w:type="dxa"/>
                  <w:vAlign w:val="center"/>
                </w:tcPr>
                <w:p w14:paraId="18B8C2D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firstLine="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default" w:ascii="Times New Roman" w:hAnsi="Times New Roman" w:eastAsia="宋体" w:cs="Times New Roman"/>
                      <w:spacing w:val="2"/>
                      <w:sz w:val="21"/>
                      <w:szCs w:val="21"/>
                    </w:rPr>
                    <w:t>0.34</w:t>
                  </w:r>
                </w:p>
              </w:tc>
            </w:tr>
            <w:tr w14:paraId="12D9E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restart"/>
                  <w:vAlign w:val="center"/>
                </w:tcPr>
                <w:p w14:paraId="31F820AF">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eastAsia" w:ascii="Times New Roman" w:hAnsi="Times New Roman" w:eastAsia="宋体" w:cs="Times New Roman"/>
                      <w:color w:val="auto"/>
                      <w:spacing w:val="-7"/>
                      <w:kern w:val="2"/>
                      <w:sz w:val="21"/>
                      <w:szCs w:val="21"/>
                      <w:vertAlign w:val="baseline"/>
                      <w:lang w:val="en-US" w:eastAsia="zh-CN" w:bidi="ar-SA"/>
                    </w:rPr>
                    <w:t>2024.12.11</w:t>
                  </w:r>
                </w:p>
              </w:tc>
              <w:tc>
                <w:tcPr>
                  <w:tcW w:w="1090" w:type="dxa"/>
                  <w:vMerge w:val="restart"/>
                  <w:vAlign w:val="center"/>
                </w:tcPr>
                <w:p w14:paraId="24E61274">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r>
                    <w:rPr>
                      <w:rFonts w:hint="eastAsia" w:ascii="Times New Roman" w:hAnsi="Times New Roman" w:eastAsia="宋体" w:cs="Times New Roman"/>
                      <w:color w:val="auto"/>
                      <w:spacing w:val="-7"/>
                      <w:kern w:val="2"/>
                      <w:sz w:val="21"/>
                      <w:szCs w:val="21"/>
                      <w:vertAlign w:val="baseline"/>
                      <w:lang w:val="en-US" w:eastAsia="zh-CN" w:bidi="ar-SA"/>
                    </w:rPr>
                    <w:t>废水排放口</w:t>
                  </w:r>
                </w:p>
              </w:tc>
              <w:tc>
                <w:tcPr>
                  <w:tcW w:w="905" w:type="dxa"/>
                  <w:vAlign w:val="center"/>
                </w:tcPr>
                <w:p w14:paraId="6BA5B219">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7"/>
                      <w:sz w:val="21"/>
                      <w:szCs w:val="21"/>
                    </w:rPr>
                  </w:pPr>
                  <w:r>
                    <w:rPr>
                      <w:rFonts w:ascii="Times New Roman" w:hAnsi="Times New Roman" w:eastAsia="Times New Roman" w:cs="Times New Roman"/>
                      <w:spacing w:val="6"/>
                      <w:sz w:val="21"/>
                      <w:szCs w:val="21"/>
                    </w:rPr>
                    <w:t>pH</w:t>
                  </w:r>
                </w:p>
              </w:tc>
              <w:tc>
                <w:tcPr>
                  <w:tcW w:w="840" w:type="dxa"/>
                  <w:vAlign w:val="center"/>
                </w:tcPr>
                <w:p w14:paraId="0FDAFA72">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z w:val="21"/>
                      <w:szCs w:val="21"/>
                    </w:rPr>
                  </w:pPr>
                  <w:r>
                    <w:rPr>
                      <w:spacing w:val="6"/>
                      <w:sz w:val="21"/>
                      <w:szCs w:val="21"/>
                    </w:rPr>
                    <w:t>无量纲</w:t>
                  </w:r>
                </w:p>
              </w:tc>
              <w:tc>
                <w:tcPr>
                  <w:tcW w:w="1140" w:type="dxa"/>
                  <w:vAlign w:val="center"/>
                </w:tcPr>
                <w:p w14:paraId="10E49C97">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8"/>
                      <w:sz w:val="21"/>
                      <w:szCs w:val="21"/>
                    </w:rPr>
                    <w:t>17</w:t>
                  </w:r>
                </w:p>
              </w:tc>
              <w:tc>
                <w:tcPr>
                  <w:tcW w:w="1155" w:type="dxa"/>
                  <w:vAlign w:val="center"/>
                </w:tcPr>
                <w:p w14:paraId="0F56BA7C">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8"/>
                      <w:sz w:val="21"/>
                      <w:szCs w:val="21"/>
                    </w:rPr>
                    <w:t>16</w:t>
                  </w:r>
                </w:p>
              </w:tc>
              <w:tc>
                <w:tcPr>
                  <w:tcW w:w="1140" w:type="dxa"/>
                  <w:vAlign w:val="center"/>
                </w:tcPr>
                <w:p w14:paraId="11671697">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8"/>
                      <w:sz w:val="21"/>
                      <w:szCs w:val="21"/>
                    </w:rPr>
                    <w:t>16</w:t>
                  </w:r>
                </w:p>
              </w:tc>
              <w:tc>
                <w:tcPr>
                  <w:tcW w:w="1093" w:type="dxa"/>
                  <w:vAlign w:val="center"/>
                </w:tcPr>
                <w:p w14:paraId="55428A7F">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8"/>
                      <w:sz w:val="21"/>
                      <w:szCs w:val="21"/>
                    </w:rPr>
                    <w:t>15</w:t>
                  </w:r>
                </w:p>
              </w:tc>
            </w:tr>
            <w:tr w14:paraId="117D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72CC24C9">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2E537957">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68347F6C">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7"/>
                      <w:sz w:val="21"/>
                      <w:szCs w:val="21"/>
                    </w:rPr>
                  </w:pPr>
                  <w:r>
                    <w:rPr>
                      <w:spacing w:val="6"/>
                      <w:sz w:val="21"/>
                      <w:szCs w:val="21"/>
                    </w:rPr>
                    <w:t>悬浮物</w:t>
                  </w:r>
                </w:p>
              </w:tc>
              <w:tc>
                <w:tcPr>
                  <w:tcW w:w="840" w:type="dxa"/>
                  <w:vAlign w:val="center"/>
                </w:tcPr>
                <w:p w14:paraId="03870BB7">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z w:val="21"/>
                      <w:szCs w:val="21"/>
                    </w:rPr>
                  </w:pPr>
                  <w:r>
                    <w:rPr>
                      <w:rFonts w:ascii="Times New Roman" w:hAnsi="Times New Roman" w:eastAsia="Times New Roman" w:cs="Times New Roman"/>
                      <w:sz w:val="21"/>
                      <w:szCs w:val="21"/>
                    </w:rPr>
                    <w:t>mg</w:t>
                  </w:r>
                  <w:r>
                    <w:rPr>
                      <w:rFonts w:ascii="Times New Roman" w:hAnsi="Times New Roman" w:eastAsia="Times New Roman" w:cs="Times New Roman"/>
                      <w:spacing w:val="9"/>
                      <w:sz w:val="21"/>
                      <w:szCs w:val="21"/>
                    </w:rPr>
                    <w:t>/L</w:t>
                  </w:r>
                </w:p>
              </w:tc>
              <w:tc>
                <w:tcPr>
                  <w:tcW w:w="1140" w:type="dxa"/>
                  <w:vAlign w:val="center"/>
                </w:tcPr>
                <w:p w14:paraId="7F7D4A4A">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z w:val="21"/>
                      <w:szCs w:val="21"/>
                    </w:rPr>
                    <w:t>53</w:t>
                  </w:r>
                </w:p>
              </w:tc>
              <w:tc>
                <w:tcPr>
                  <w:tcW w:w="1155" w:type="dxa"/>
                  <w:vAlign w:val="center"/>
                </w:tcPr>
                <w:p w14:paraId="5B701C4F">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z w:val="21"/>
                      <w:szCs w:val="21"/>
                    </w:rPr>
                    <w:t>56</w:t>
                  </w:r>
                </w:p>
              </w:tc>
              <w:tc>
                <w:tcPr>
                  <w:tcW w:w="1140" w:type="dxa"/>
                  <w:vAlign w:val="center"/>
                </w:tcPr>
                <w:p w14:paraId="616C4635">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z w:val="21"/>
                      <w:szCs w:val="21"/>
                    </w:rPr>
                    <w:t>58</w:t>
                  </w:r>
                </w:p>
              </w:tc>
              <w:tc>
                <w:tcPr>
                  <w:tcW w:w="1093" w:type="dxa"/>
                  <w:vAlign w:val="center"/>
                </w:tcPr>
                <w:p w14:paraId="4CC8D4B3">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z w:val="21"/>
                      <w:szCs w:val="21"/>
                    </w:rPr>
                    <w:t>62</w:t>
                  </w:r>
                </w:p>
              </w:tc>
            </w:tr>
            <w:tr w14:paraId="6C09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195E0E15">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1E83C61F">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690BC513">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7"/>
                      <w:sz w:val="21"/>
                      <w:szCs w:val="21"/>
                    </w:rPr>
                  </w:pPr>
                  <w:r>
                    <w:rPr>
                      <w:spacing w:val="7"/>
                      <w:sz w:val="21"/>
                      <w:szCs w:val="21"/>
                    </w:rPr>
                    <w:t>化学需氧量</w:t>
                  </w:r>
                </w:p>
              </w:tc>
              <w:tc>
                <w:tcPr>
                  <w:tcW w:w="840" w:type="dxa"/>
                  <w:vAlign w:val="center"/>
                </w:tcPr>
                <w:p w14:paraId="523F1023">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z w:val="21"/>
                      <w:szCs w:val="21"/>
                    </w:rPr>
                  </w:pPr>
                  <w:r>
                    <w:rPr>
                      <w:rFonts w:ascii="Times New Roman" w:hAnsi="Times New Roman" w:eastAsia="Times New Roman" w:cs="Times New Roman"/>
                      <w:sz w:val="21"/>
                      <w:szCs w:val="21"/>
                    </w:rPr>
                    <w:t>mg</w:t>
                  </w:r>
                  <w:r>
                    <w:rPr>
                      <w:rFonts w:ascii="Times New Roman" w:hAnsi="Times New Roman" w:eastAsia="Times New Roman" w:cs="Times New Roman"/>
                      <w:spacing w:val="9"/>
                      <w:sz w:val="21"/>
                      <w:szCs w:val="21"/>
                    </w:rPr>
                    <w:t>/L</w:t>
                  </w:r>
                </w:p>
              </w:tc>
              <w:tc>
                <w:tcPr>
                  <w:tcW w:w="1140" w:type="dxa"/>
                  <w:vAlign w:val="center"/>
                </w:tcPr>
                <w:p w14:paraId="1DB8FD27">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2"/>
                      <w:sz w:val="21"/>
                      <w:szCs w:val="21"/>
                    </w:rPr>
                    <w:t>10.7</w:t>
                  </w:r>
                </w:p>
              </w:tc>
              <w:tc>
                <w:tcPr>
                  <w:tcW w:w="1155" w:type="dxa"/>
                  <w:vAlign w:val="center"/>
                </w:tcPr>
                <w:p w14:paraId="5B1281D2">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3"/>
                      <w:sz w:val="21"/>
                      <w:szCs w:val="21"/>
                    </w:rPr>
                    <w:t>10.</w:t>
                  </w:r>
                  <w:r>
                    <w:rPr>
                      <w:rFonts w:ascii="Times New Roman" w:hAnsi="Times New Roman" w:eastAsia="Times New Roman" w:cs="Times New Roman"/>
                      <w:spacing w:val="-25"/>
                      <w:sz w:val="21"/>
                      <w:szCs w:val="21"/>
                    </w:rPr>
                    <w:t xml:space="preserve"> </w:t>
                  </w:r>
                  <w:r>
                    <w:rPr>
                      <w:rFonts w:ascii="Times New Roman" w:hAnsi="Times New Roman" w:eastAsia="Times New Roman" w:cs="Times New Roman"/>
                      <w:spacing w:val="-3"/>
                      <w:sz w:val="21"/>
                      <w:szCs w:val="21"/>
                    </w:rPr>
                    <w:t>1</w:t>
                  </w:r>
                </w:p>
              </w:tc>
              <w:tc>
                <w:tcPr>
                  <w:tcW w:w="1140" w:type="dxa"/>
                  <w:vAlign w:val="center"/>
                </w:tcPr>
                <w:p w14:paraId="02264ACD">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1"/>
                      <w:sz w:val="21"/>
                      <w:szCs w:val="21"/>
                    </w:rPr>
                    <w:t>9.7</w:t>
                  </w:r>
                </w:p>
              </w:tc>
              <w:tc>
                <w:tcPr>
                  <w:tcW w:w="1093" w:type="dxa"/>
                  <w:vAlign w:val="center"/>
                </w:tcPr>
                <w:p w14:paraId="0D12B29C">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2"/>
                      <w:sz w:val="21"/>
                      <w:szCs w:val="21"/>
                    </w:rPr>
                    <w:t>10.4</w:t>
                  </w:r>
                </w:p>
              </w:tc>
            </w:tr>
            <w:tr w14:paraId="63C55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71D4B95E">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5E035345">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5519EEB0">
                  <w:pPr>
                    <w:pStyle w:val="58"/>
                    <w:keepNext w:val="0"/>
                    <w:keepLines w:val="0"/>
                    <w:pageBreakBefore w:val="0"/>
                    <w:widowControl w:val="0"/>
                    <w:kinsoku/>
                    <w:wordWrap/>
                    <w:overflowPunct/>
                    <w:topLinePunct w:val="0"/>
                    <w:autoSpaceDE/>
                    <w:autoSpaceDN/>
                    <w:bidi w:val="0"/>
                    <w:adjustRightInd w:val="0"/>
                    <w:snapToGrid w:val="0"/>
                    <w:spacing w:line="240" w:lineRule="auto"/>
                    <w:ind w:left="0"/>
                    <w:jc w:val="center"/>
                    <w:textAlignment w:val="auto"/>
                    <w:rPr>
                      <w:sz w:val="21"/>
                      <w:szCs w:val="21"/>
                    </w:rPr>
                  </w:pPr>
                  <w:r>
                    <w:rPr>
                      <w:spacing w:val="7"/>
                      <w:sz w:val="21"/>
                      <w:szCs w:val="21"/>
                    </w:rPr>
                    <w:t>五日生化需氧</w:t>
                  </w:r>
                </w:p>
                <w:p w14:paraId="6A9B832F">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7"/>
                      <w:sz w:val="21"/>
                      <w:szCs w:val="21"/>
                    </w:rPr>
                  </w:pPr>
                  <w:r>
                    <w:rPr>
                      <w:sz w:val="21"/>
                      <w:szCs w:val="21"/>
                    </w:rPr>
                    <w:t>量</w:t>
                  </w:r>
                </w:p>
              </w:tc>
              <w:tc>
                <w:tcPr>
                  <w:tcW w:w="840" w:type="dxa"/>
                  <w:vAlign w:val="center"/>
                </w:tcPr>
                <w:p w14:paraId="320FDA2E">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z w:val="21"/>
                      <w:szCs w:val="21"/>
                    </w:rPr>
                  </w:pPr>
                  <w:r>
                    <w:rPr>
                      <w:rFonts w:ascii="Times New Roman" w:hAnsi="Times New Roman" w:eastAsia="Times New Roman" w:cs="Times New Roman"/>
                      <w:sz w:val="21"/>
                      <w:szCs w:val="21"/>
                    </w:rPr>
                    <w:t>mg</w:t>
                  </w:r>
                  <w:r>
                    <w:rPr>
                      <w:rFonts w:ascii="Times New Roman" w:hAnsi="Times New Roman" w:eastAsia="Times New Roman" w:cs="Times New Roman"/>
                      <w:spacing w:val="9"/>
                      <w:sz w:val="21"/>
                      <w:szCs w:val="21"/>
                    </w:rPr>
                    <w:t>/L</w:t>
                  </w:r>
                </w:p>
              </w:tc>
              <w:tc>
                <w:tcPr>
                  <w:tcW w:w="1140" w:type="dxa"/>
                  <w:vAlign w:val="center"/>
                </w:tcPr>
                <w:p w14:paraId="4FA0CA64">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2"/>
                      <w:sz w:val="21"/>
                      <w:szCs w:val="21"/>
                    </w:rPr>
                    <w:t>3.50</w:t>
                  </w:r>
                </w:p>
              </w:tc>
              <w:tc>
                <w:tcPr>
                  <w:tcW w:w="1155" w:type="dxa"/>
                  <w:vAlign w:val="center"/>
                </w:tcPr>
                <w:p w14:paraId="6103FEB0">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2"/>
                      <w:sz w:val="21"/>
                      <w:szCs w:val="21"/>
                    </w:rPr>
                    <w:t>3.67</w:t>
                  </w:r>
                </w:p>
              </w:tc>
              <w:tc>
                <w:tcPr>
                  <w:tcW w:w="1140" w:type="dxa"/>
                  <w:vAlign w:val="center"/>
                </w:tcPr>
                <w:p w14:paraId="575A02B7">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2"/>
                      <w:sz w:val="21"/>
                      <w:szCs w:val="21"/>
                    </w:rPr>
                    <w:t>3.58</w:t>
                  </w:r>
                </w:p>
              </w:tc>
              <w:tc>
                <w:tcPr>
                  <w:tcW w:w="1093" w:type="dxa"/>
                  <w:vAlign w:val="center"/>
                </w:tcPr>
                <w:p w14:paraId="770A91D8">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rPr>
                  </w:pPr>
                  <w:r>
                    <w:rPr>
                      <w:rFonts w:ascii="Times New Roman" w:hAnsi="Times New Roman" w:eastAsia="Times New Roman" w:cs="Times New Roman"/>
                      <w:spacing w:val="2"/>
                      <w:sz w:val="21"/>
                      <w:szCs w:val="21"/>
                    </w:rPr>
                    <w:t>3.34</w:t>
                  </w:r>
                </w:p>
              </w:tc>
            </w:tr>
            <w:tr w14:paraId="3FC9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2376DDA7">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1FAAE340">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1E665FD7">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7"/>
                      <w:sz w:val="21"/>
                      <w:szCs w:val="21"/>
                      <w:highlight w:val="none"/>
                    </w:rPr>
                  </w:pPr>
                  <w:r>
                    <w:rPr>
                      <w:spacing w:val="4"/>
                      <w:sz w:val="21"/>
                      <w:szCs w:val="21"/>
                      <w:highlight w:val="none"/>
                    </w:rPr>
                    <w:t>氨氮</w:t>
                  </w:r>
                </w:p>
              </w:tc>
              <w:tc>
                <w:tcPr>
                  <w:tcW w:w="840" w:type="dxa"/>
                  <w:vAlign w:val="center"/>
                </w:tcPr>
                <w:p w14:paraId="5A741609">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z w:val="21"/>
                      <w:szCs w:val="21"/>
                      <w:highlight w:val="none"/>
                    </w:rPr>
                  </w:pPr>
                  <w:r>
                    <w:rPr>
                      <w:rFonts w:ascii="Times New Roman" w:hAnsi="Times New Roman" w:eastAsia="Times New Roman" w:cs="Times New Roman"/>
                      <w:sz w:val="21"/>
                      <w:szCs w:val="21"/>
                      <w:highlight w:val="none"/>
                    </w:rPr>
                    <w:t>mg</w:t>
                  </w:r>
                  <w:r>
                    <w:rPr>
                      <w:rFonts w:ascii="Times New Roman" w:hAnsi="Times New Roman" w:eastAsia="Times New Roman" w:cs="Times New Roman"/>
                      <w:spacing w:val="9"/>
                      <w:sz w:val="21"/>
                      <w:szCs w:val="21"/>
                      <w:highlight w:val="none"/>
                    </w:rPr>
                    <w:t>/L</w:t>
                  </w:r>
                </w:p>
              </w:tc>
              <w:tc>
                <w:tcPr>
                  <w:tcW w:w="1140" w:type="dxa"/>
                  <w:vAlign w:val="center"/>
                </w:tcPr>
                <w:p w14:paraId="1E2A5BCC">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highlight w:val="none"/>
                    </w:rPr>
                  </w:pPr>
                  <w:r>
                    <w:rPr>
                      <w:rFonts w:ascii="Times New Roman" w:hAnsi="Times New Roman" w:eastAsia="Times New Roman" w:cs="Times New Roman"/>
                      <w:spacing w:val="3"/>
                      <w:sz w:val="21"/>
                      <w:szCs w:val="21"/>
                      <w:highlight w:val="none"/>
                    </w:rPr>
                    <w:t>9.59×10</w:t>
                  </w:r>
                  <w:r>
                    <w:rPr>
                      <w:rFonts w:ascii="Times New Roman" w:hAnsi="Times New Roman" w:eastAsia="Times New Roman" w:cs="Times New Roman"/>
                      <w:spacing w:val="3"/>
                      <w:position w:val="6"/>
                      <w:sz w:val="21"/>
                      <w:szCs w:val="21"/>
                      <w:highlight w:val="none"/>
                      <w:vertAlign w:val="superscript"/>
                    </w:rPr>
                    <w:t>2</w:t>
                  </w:r>
                </w:p>
              </w:tc>
              <w:tc>
                <w:tcPr>
                  <w:tcW w:w="1155" w:type="dxa"/>
                  <w:vAlign w:val="center"/>
                </w:tcPr>
                <w:p w14:paraId="5BFF64AB">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highlight w:val="none"/>
                    </w:rPr>
                  </w:pPr>
                  <w:r>
                    <w:rPr>
                      <w:rFonts w:ascii="Times New Roman" w:hAnsi="Times New Roman" w:eastAsia="Times New Roman" w:cs="Times New Roman"/>
                      <w:spacing w:val="3"/>
                      <w:sz w:val="21"/>
                      <w:szCs w:val="21"/>
                      <w:highlight w:val="none"/>
                    </w:rPr>
                    <w:t>5.27×10</w:t>
                  </w:r>
                  <w:r>
                    <w:rPr>
                      <w:rFonts w:ascii="Times New Roman" w:hAnsi="Times New Roman" w:eastAsia="Times New Roman" w:cs="Times New Roman"/>
                      <w:spacing w:val="3"/>
                      <w:position w:val="6"/>
                      <w:sz w:val="21"/>
                      <w:szCs w:val="21"/>
                      <w:highlight w:val="none"/>
                      <w:vertAlign w:val="superscript"/>
                    </w:rPr>
                    <w:t>2</w:t>
                  </w:r>
                </w:p>
              </w:tc>
              <w:tc>
                <w:tcPr>
                  <w:tcW w:w="1140" w:type="dxa"/>
                  <w:vAlign w:val="center"/>
                </w:tcPr>
                <w:p w14:paraId="120471FB">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highlight w:val="none"/>
                    </w:rPr>
                  </w:pPr>
                  <w:r>
                    <w:rPr>
                      <w:rFonts w:ascii="Times New Roman" w:hAnsi="Times New Roman" w:eastAsia="Times New Roman" w:cs="Times New Roman"/>
                      <w:spacing w:val="3"/>
                      <w:sz w:val="21"/>
                      <w:szCs w:val="21"/>
                      <w:highlight w:val="none"/>
                    </w:rPr>
                    <w:t>6.65×10</w:t>
                  </w:r>
                  <w:r>
                    <w:rPr>
                      <w:rFonts w:ascii="Times New Roman" w:hAnsi="Times New Roman" w:eastAsia="Times New Roman" w:cs="Times New Roman"/>
                      <w:spacing w:val="3"/>
                      <w:position w:val="6"/>
                      <w:sz w:val="21"/>
                      <w:szCs w:val="21"/>
                      <w:highlight w:val="none"/>
                      <w:vertAlign w:val="superscript"/>
                    </w:rPr>
                    <w:t>2</w:t>
                  </w:r>
                </w:p>
              </w:tc>
              <w:tc>
                <w:tcPr>
                  <w:tcW w:w="1093" w:type="dxa"/>
                  <w:vAlign w:val="center"/>
                </w:tcPr>
                <w:p w14:paraId="20030055">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highlight w:val="none"/>
                    </w:rPr>
                  </w:pPr>
                  <w:r>
                    <w:rPr>
                      <w:rFonts w:ascii="Times New Roman" w:hAnsi="Times New Roman" w:eastAsia="Times New Roman" w:cs="Times New Roman"/>
                      <w:spacing w:val="3"/>
                      <w:sz w:val="21"/>
                      <w:szCs w:val="21"/>
                      <w:highlight w:val="none"/>
                    </w:rPr>
                    <w:t>6.60×10</w:t>
                  </w:r>
                  <w:r>
                    <w:rPr>
                      <w:rFonts w:ascii="Times New Roman" w:hAnsi="Times New Roman" w:eastAsia="Times New Roman" w:cs="Times New Roman"/>
                      <w:spacing w:val="3"/>
                      <w:position w:val="6"/>
                      <w:sz w:val="21"/>
                      <w:szCs w:val="21"/>
                      <w:highlight w:val="none"/>
                      <w:vertAlign w:val="superscript"/>
                    </w:rPr>
                    <w:t>2</w:t>
                  </w:r>
                </w:p>
              </w:tc>
            </w:tr>
            <w:tr w14:paraId="7AF7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1" w:type="dxa"/>
                  <w:vMerge w:val="continue"/>
                  <w:vAlign w:val="center"/>
                </w:tcPr>
                <w:p w14:paraId="794EA2A6">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1090" w:type="dxa"/>
                  <w:vMerge w:val="continue"/>
                  <w:vAlign w:val="center"/>
                </w:tcPr>
                <w:p w14:paraId="334D184A">
                  <w:pPr>
                    <w:pStyle w:val="2"/>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auto"/>
                    <w:rPr>
                      <w:rFonts w:hint="default" w:ascii="Times New Roman" w:hAnsi="Times New Roman" w:eastAsia="宋体" w:cs="Times New Roman"/>
                      <w:color w:val="auto"/>
                      <w:spacing w:val="-7"/>
                      <w:kern w:val="2"/>
                      <w:sz w:val="21"/>
                      <w:szCs w:val="21"/>
                      <w:vertAlign w:val="baseline"/>
                      <w:lang w:val="en-US" w:eastAsia="zh-CN" w:bidi="ar-SA"/>
                    </w:rPr>
                  </w:pPr>
                </w:p>
              </w:tc>
              <w:tc>
                <w:tcPr>
                  <w:tcW w:w="905" w:type="dxa"/>
                  <w:vAlign w:val="center"/>
                </w:tcPr>
                <w:p w14:paraId="5C51E3B3">
                  <w:pPr>
                    <w:pStyle w:val="58"/>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7"/>
                      <w:sz w:val="21"/>
                      <w:szCs w:val="21"/>
                      <w:highlight w:val="none"/>
                    </w:rPr>
                  </w:pPr>
                  <w:r>
                    <w:rPr>
                      <w:spacing w:val="6"/>
                      <w:sz w:val="21"/>
                      <w:szCs w:val="21"/>
                      <w:highlight w:val="none"/>
                    </w:rPr>
                    <w:t>全盐量</w:t>
                  </w:r>
                </w:p>
              </w:tc>
              <w:tc>
                <w:tcPr>
                  <w:tcW w:w="840" w:type="dxa"/>
                  <w:vAlign w:val="center"/>
                </w:tcPr>
                <w:p w14:paraId="0FE04F53">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z w:val="21"/>
                      <w:szCs w:val="21"/>
                      <w:highlight w:val="none"/>
                    </w:rPr>
                  </w:pPr>
                  <w:r>
                    <w:rPr>
                      <w:rFonts w:ascii="Times New Roman" w:hAnsi="Times New Roman" w:eastAsia="Times New Roman" w:cs="Times New Roman"/>
                      <w:sz w:val="21"/>
                      <w:szCs w:val="21"/>
                      <w:highlight w:val="none"/>
                    </w:rPr>
                    <w:t>mg</w:t>
                  </w:r>
                  <w:r>
                    <w:rPr>
                      <w:rFonts w:ascii="Times New Roman" w:hAnsi="Times New Roman" w:eastAsia="Times New Roman" w:cs="Times New Roman"/>
                      <w:spacing w:val="9"/>
                      <w:sz w:val="21"/>
                      <w:szCs w:val="21"/>
                      <w:highlight w:val="none"/>
                    </w:rPr>
                    <w:t>/L</w:t>
                  </w:r>
                </w:p>
              </w:tc>
              <w:tc>
                <w:tcPr>
                  <w:tcW w:w="1140" w:type="dxa"/>
                  <w:vAlign w:val="center"/>
                </w:tcPr>
                <w:p w14:paraId="093EB3C0">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highlight w:val="none"/>
                    </w:rPr>
                  </w:pPr>
                  <w:r>
                    <w:rPr>
                      <w:rFonts w:ascii="Times New Roman" w:hAnsi="Times New Roman" w:eastAsia="Times New Roman" w:cs="Times New Roman"/>
                      <w:spacing w:val="2"/>
                      <w:sz w:val="21"/>
                      <w:szCs w:val="21"/>
                      <w:highlight w:val="none"/>
                    </w:rPr>
                    <w:t>0.42</w:t>
                  </w:r>
                </w:p>
              </w:tc>
              <w:tc>
                <w:tcPr>
                  <w:tcW w:w="1155" w:type="dxa"/>
                  <w:vAlign w:val="center"/>
                </w:tcPr>
                <w:p w14:paraId="68BA2E99">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highlight w:val="none"/>
                    </w:rPr>
                  </w:pPr>
                  <w:r>
                    <w:rPr>
                      <w:rFonts w:ascii="Times New Roman" w:hAnsi="Times New Roman" w:eastAsia="Times New Roman" w:cs="Times New Roman"/>
                      <w:spacing w:val="2"/>
                      <w:sz w:val="21"/>
                      <w:szCs w:val="21"/>
                      <w:highlight w:val="none"/>
                    </w:rPr>
                    <w:t>0.40</w:t>
                  </w:r>
                </w:p>
              </w:tc>
              <w:tc>
                <w:tcPr>
                  <w:tcW w:w="1140" w:type="dxa"/>
                  <w:vAlign w:val="center"/>
                </w:tcPr>
                <w:p w14:paraId="0DB32B1E">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highlight w:val="none"/>
                    </w:rPr>
                  </w:pPr>
                  <w:r>
                    <w:rPr>
                      <w:rFonts w:ascii="Times New Roman" w:hAnsi="Times New Roman" w:eastAsia="Times New Roman" w:cs="Times New Roman"/>
                      <w:spacing w:val="2"/>
                      <w:sz w:val="21"/>
                      <w:szCs w:val="21"/>
                      <w:highlight w:val="none"/>
                    </w:rPr>
                    <w:t>0.38</w:t>
                  </w:r>
                </w:p>
              </w:tc>
              <w:tc>
                <w:tcPr>
                  <w:tcW w:w="1093" w:type="dxa"/>
                  <w:vAlign w:val="center"/>
                </w:tcPr>
                <w:p w14:paraId="2E9723B8">
                  <w:pPr>
                    <w:keepNext w:val="0"/>
                    <w:keepLines w:val="0"/>
                    <w:pageBreakBefore w:val="0"/>
                    <w:widowControl w:val="0"/>
                    <w:kinsoku/>
                    <w:wordWrap/>
                    <w:overflowPunct/>
                    <w:topLinePunct w:val="0"/>
                    <w:autoSpaceDE/>
                    <w:autoSpaceDN/>
                    <w:bidi w:val="0"/>
                    <w:adjustRightInd w:val="0"/>
                    <w:snapToGrid w:val="0"/>
                    <w:spacing w:line="240" w:lineRule="auto"/>
                    <w:ind w:left="0" w:leftChars="0"/>
                    <w:jc w:val="center"/>
                    <w:textAlignment w:val="auto"/>
                    <w:rPr>
                      <w:rFonts w:hint="default" w:ascii="Times New Roman" w:hAnsi="Times New Roman" w:eastAsia="宋体" w:cs="Times New Roman"/>
                      <w:spacing w:val="2"/>
                      <w:sz w:val="21"/>
                      <w:szCs w:val="21"/>
                      <w:highlight w:val="none"/>
                    </w:rPr>
                  </w:pPr>
                  <w:r>
                    <w:rPr>
                      <w:rFonts w:ascii="Times New Roman" w:hAnsi="Times New Roman" w:eastAsia="Times New Roman" w:cs="Times New Roman"/>
                      <w:spacing w:val="2"/>
                      <w:sz w:val="21"/>
                      <w:szCs w:val="21"/>
                      <w:highlight w:val="none"/>
                    </w:rPr>
                    <w:t>0.40</w:t>
                  </w:r>
                </w:p>
              </w:tc>
            </w:tr>
          </w:tbl>
          <w:p w14:paraId="0641B89A">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sz w:val="24"/>
                <w:szCs w:val="24"/>
              </w:rPr>
              <w:t>项目化学需氧量最大排放浓度为62mg/L，悬浮物最大排放浓度为17mg/L，氨氮最大排放浓度为3.67mg/L，五日生化需氧量最大排放浓度为10.7mg/L，</w:t>
            </w:r>
            <w:r>
              <w:rPr>
                <w:rFonts w:hint="default" w:ascii="Times New Roman" w:hAnsi="Times New Roman" w:eastAsia="宋体" w:cs="Times New Roman"/>
                <w:color w:val="auto"/>
                <w:sz w:val="24"/>
                <w:szCs w:val="24"/>
              </w:rPr>
              <w:t>全盐量最大排放浓度为9.59</w:t>
            </w:r>
            <w:r>
              <w:rPr>
                <w:rFonts w:hint="default" w:ascii="Arial" w:hAnsi="Arial" w:eastAsia="宋体" w:cs="Arial"/>
                <w:color w:val="auto"/>
                <w:sz w:val="24"/>
                <w:szCs w:val="24"/>
              </w:rPr>
              <w:t>×</w:t>
            </w:r>
            <w:r>
              <w:rPr>
                <w:rFonts w:hint="default" w:ascii="Times New Roman" w:hAnsi="Times New Roman" w:eastAsia="宋体" w:cs="Times New Roman"/>
                <w:color w:val="auto"/>
                <w:sz w:val="24"/>
                <w:szCs w:val="24"/>
              </w:rPr>
              <w:t>10</w:t>
            </w:r>
            <w:r>
              <w:rPr>
                <w:rFonts w:hint="eastAsia" w:ascii="Times New Roman" w:hAnsi="Times New Roman" w:eastAsia="宋体" w:cs="Times New Roman"/>
                <w:color w:val="auto"/>
                <w:sz w:val="24"/>
                <w:szCs w:val="24"/>
                <w:vertAlign w:val="superscript"/>
                <w:lang w:val="en-US" w:eastAsia="zh-CN"/>
              </w:rPr>
              <w:t>2</w:t>
            </w:r>
            <w:r>
              <w:rPr>
                <w:rFonts w:hint="default" w:ascii="Times New Roman" w:hAnsi="Times New Roman" w:eastAsia="宋体" w:cs="Times New Roman"/>
                <w:color w:val="auto"/>
                <w:sz w:val="24"/>
                <w:szCs w:val="24"/>
              </w:rPr>
              <w:t>mg/L，动植物油最大排放浓度为0.42mg/L，废水满足《合成树脂工业污染物排放标准》</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GB31572-2015，含2024年修改单</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中废水间接排放标准，并满足污水处理厂接管要求。</w:t>
            </w:r>
          </w:p>
          <w:p w14:paraId="08B37B95">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b/>
                <w:bCs/>
                <w:color w:val="auto"/>
                <w:szCs w:val="28"/>
              </w:rPr>
            </w:pPr>
            <w:r>
              <w:rPr>
                <w:rFonts w:hint="default" w:ascii="Times New Roman" w:hAnsi="Times New Roman" w:cs="Times New Roman"/>
                <w:color w:val="auto"/>
              </w:rPr>
              <w:t>（3）噪声监测结果</w:t>
            </w:r>
          </w:p>
          <w:p w14:paraId="3656BB5E">
            <w:pPr>
              <w:pStyle w:val="14"/>
              <w:spacing w:after="0" w:line="360" w:lineRule="auto"/>
              <w:ind w:left="0" w:leftChars="0" w:firstLine="480" w:firstLineChars="200"/>
              <w:jc w:val="left"/>
              <w:rPr>
                <w:rFonts w:hint="eastAsia" w:ascii="Times New Roman" w:hAnsi="Times New Roman" w:eastAsia="宋体" w:cs="Times New Roman"/>
                <w:color w:val="auto"/>
                <w:spacing w:val="0"/>
                <w:kern w:val="0"/>
                <w:sz w:val="24"/>
                <w:szCs w:val="24"/>
                <w:lang w:val="en-US" w:eastAsia="zh-CN" w:bidi="ar-SA"/>
              </w:rPr>
            </w:pPr>
            <w:r>
              <w:rPr>
                <w:rFonts w:hint="eastAsia" w:ascii="Times New Roman" w:hAnsi="Times New Roman" w:eastAsia="宋体" w:cs="Times New Roman"/>
                <w:color w:val="auto"/>
                <w:spacing w:val="0"/>
                <w:kern w:val="0"/>
                <w:sz w:val="24"/>
                <w:szCs w:val="24"/>
                <w:lang w:val="en-US" w:eastAsia="zh-CN" w:bidi="ar-SA"/>
              </w:rPr>
              <w:t>噪声监测根据</w:t>
            </w:r>
            <w:r>
              <w:rPr>
                <w:rFonts w:hint="eastAsia"/>
                <w:b w:val="0"/>
                <w:bCs w:val="0"/>
                <w:color w:val="auto"/>
                <w:sz w:val="24"/>
                <w:szCs w:val="24"/>
                <w:lang w:val="en-US" w:eastAsia="zh-CN"/>
              </w:rPr>
              <w:t>2024年《安徽淮宿建材有限公司年产3万吨节能环保木塑型材及深加工扩建项目竣工环境保护验收报告表》</w:t>
            </w:r>
            <w:r>
              <w:rPr>
                <w:rFonts w:hint="eastAsia"/>
                <w:b w:val="0"/>
                <w:bCs w:val="0"/>
                <w:color w:val="auto"/>
                <w:sz w:val="24"/>
                <w:szCs w:val="24"/>
                <w:lang w:eastAsia="zh-CN"/>
              </w:rPr>
              <w:t>验收检测</w:t>
            </w:r>
            <w:r>
              <w:rPr>
                <w:rFonts w:hint="eastAsia"/>
                <w:b w:val="0"/>
                <w:bCs w:val="0"/>
                <w:color w:val="auto"/>
                <w:sz w:val="24"/>
                <w:szCs w:val="24"/>
              </w:rPr>
              <w:t>中的检测结果</w:t>
            </w:r>
            <w:r>
              <w:rPr>
                <w:rFonts w:hint="eastAsia"/>
                <w:b w:val="0"/>
                <w:bCs w:val="0"/>
                <w:color w:val="auto"/>
                <w:sz w:val="24"/>
                <w:szCs w:val="24"/>
                <w:lang w:eastAsia="zh-CN"/>
              </w:rPr>
              <w:t>进行核算</w:t>
            </w:r>
            <w:r>
              <w:rPr>
                <w:rFonts w:hint="eastAsia" w:ascii="Times New Roman" w:hAnsi="Times New Roman" w:eastAsia="宋体" w:cs="Times New Roman"/>
                <w:color w:val="auto"/>
                <w:spacing w:val="0"/>
                <w:kern w:val="0"/>
                <w:sz w:val="24"/>
                <w:szCs w:val="24"/>
                <w:lang w:val="en-US" w:eastAsia="zh-CN" w:bidi="ar-SA"/>
              </w:rPr>
              <w:t>。检测结果如下：</w:t>
            </w:r>
          </w:p>
          <w:p w14:paraId="4A3673F2">
            <w:pPr>
              <w:adjustRightInd w:val="0"/>
              <w:snapToGrid w:val="0"/>
              <w:spacing w:line="360" w:lineRule="auto"/>
              <w:jc w:val="center"/>
              <w:rPr>
                <w:color w:val="auto"/>
                <w:sz w:val="24"/>
              </w:rPr>
            </w:pPr>
            <w:r>
              <w:rPr>
                <w:b/>
                <w:bCs/>
                <w:color w:val="auto"/>
                <w:sz w:val="24"/>
              </w:rPr>
              <w:t>表</w:t>
            </w:r>
            <w:r>
              <w:rPr>
                <w:rFonts w:hint="eastAsia"/>
                <w:b/>
                <w:bCs/>
                <w:color w:val="auto"/>
                <w:sz w:val="24"/>
              </w:rPr>
              <w:t xml:space="preserve">2.13 </w:t>
            </w:r>
            <w:r>
              <w:rPr>
                <w:b/>
                <w:bCs/>
                <w:color w:val="auto"/>
                <w:sz w:val="24"/>
              </w:rPr>
              <w:t xml:space="preserve"> 噪声监测结果一览表</w:t>
            </w:r>
          </w:p>
          <w:tbl>
            <w:tblPr>
              <w:tblStyle w:val="57"/>
              <w:tblW w:w="8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93"/>
              <w:gridCol w:w="1189"/>
              <w:gridCol w:w="739"/>
              <w:gridCol w:w="726"/>
              <w:gridCol w:w="1796"/>
              <w:gridCol w:w="1330"/>
              <w:gridCol w:w="1326"/>
            </w:tblGrid>
            <w:tr w14:paraId="52D1F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restart"/>
                  <w:tcBorders>
                    <w:bottom w:val="nil"/>
                  </w:tcBorders>
                  <w:vAlign w:val="center"/>
                </w:tcPr>
                <w:p w14:paraId="54912C60">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6"/>
                      <w:sz w:val="21"/>
                      <w:szCs w:val="21"/>
                    </w:rPr>
                    <w:t>采样日期</w:t>
                  </w:r>
                </w:p>
              </w:tc>
              <w:tc>
                <w:tcPr>
                  <w:tcW w:w="1189" w:type="dxa"/>
                  <w:vMerge w:val="restart"/>
                  <w:tcBorders>
                    <w:bottom w:val="nil"/>
                  </w:tcBorders>
                  <w:vAlign w:val="center"/>
                </w:tcPr>
                <w:p w14:paraId="5BB01251">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5"/>
                      <w:sz w:val="21"/>
                      <w:szCs w:val="21"/>
                    </w:rPr>
                    <w:t>天气状况</w:t>
                  </w:r>
                </w:p>
              </w:tc>
              <w:tc>
                <w:tcPr>
                  <w:tcW w:w="1465" w:type="dxa"/>
                  <w:gridSpan w:val="2"/>
                  <w:vAlign w:val="center"/>
                </w:tcPr>
                <w:p w14:paraId="4EDBADC4">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风速（m/s）</w:t>
                  </w:r>
                </w:p>
              </w:tc>
              <w:tc>
                <w:tcPr>
                  <w:tcW w:w="1796" w:type="dxa"/>
                  <w:vMerge w:val="restart"/>
                  <w:tcBorders>
                    <w:bottom w:val="nil"/>
                  </w:tcBorders>
                  <w:vAlign w:val="center"/>
                </w:tcPr>
                <w:p w14:paraId="2EA6762B">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2"/>
                      <w:sz w:val="21"/>
                      <w:szCs w:val="21"/>
                    </w:rPr>
                    <w:t>点位</w:t>
                  </w:r>
                </w:p>
              </w:tc>
              <w:tc>
                <w:tcPr>
                  <w:tcW w:w="2656" w:type="dxa"/>
                  <w:gridSpan w:val="2"/>
                  <w:vAlign w:val="center"/>
                </w:tcPr>
                <w:p w14:paraId="5E572EA0">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7"/>
                      <w:sz w:val="21"/>
                      <w:szCs w:val="21"/>
                    </w:rPr>
                    <w:t>检测结果</w:t>
                  </w:r>
                  <w:r>
                    <w:rPr>
                      <w:rFonts w:hint="default" w:ascii="Times New Roman" w:hAnsi="Times New Roman" w:eastAsia="宋体" w:cs="Times New Roman"/>
                      <w:b w:val="0"/>
                      <w:bCs w:val="0"/>
                      <w:spacing w:val="-42"/>
                      <w:sz w:val="21"/>
                      <w:szCs w:val="21"/>
                    </w:rPr>
                    <w:t xml:space="preserve"> </w:t>
                  </w:r>
                  <w:r>
                    <w:rPr>
                      <w:rFonts w:hint="default" w:ascii="Times New Roman" w:hAnsi="Times New Roman" w:eastAsia="宋体" w:cs="Times New Roman"/>
                      <w:b w:val="0"/>
                      <w:bCs w:val="0"/>
                      <w:sz w:val="21"/>
                      <w:szCs w:val="21"/>
                    </w:rPr>
                    <w:t>Leq</w:t>
                  </w:r>
                  <w:r>
                    <w:rPr>
                      <w:rFonts w:hint="default" w:ascii="Times New Roman" w:hAnsi="Times New Roman" w:eastAsia="宋体" w:cs="Times New Roman"/>
                      <w:b w:val="0"/>
                      <w:bCs w:val="0"/>
                      <w:spacing w:val="7"/>
                      <w:sz w:val="21"/>
                      <w:szCs w:val="21"/>
                    </w:rPr>
                    <w:t>〔</w:t>
                  </w:r>
                  <w:r>
                    <w:rPr>
                      <w:rFonts w:hint="default" w:ascii="Times New Roman" w:hAnsi="Times New Roman" w:eastAsia="宋体" w:cs="Times New Roman"/>
                      <w:b w:val="0"/>
                      <w:bCs w:val="0"/>
                      <w:sz w:val="21"/>
                      <w:szCs w:val="21"/>
                    </w:rPr>
                    <w:t>dB</w:t>
                  </w:r>
                  <w:r>
                    <w:rPr>
                      <w:rFonts w:hint="eastAsia" w:ascii="Times New Roman" w:hAnsi="Times New Roman" w:cs="Times New Roman"/>
                      <w:b w:val="0"/>
                      <w:bCs w:val="0"/>
                      <w:sz w:val="21"/>
                      <w:szCs w:val="21"/>
                      <w:lang w:eastAsia="zh-CN"/>
                    </w:rPr>
                    <w:t>（</w:t>
                  </w:r>
                  <w:r>
                    <w:rPr>
                      <w:rFonts w:hint="default" w:ascii="Times New Roman" w:hAnsi="Times New Roman" w:eastAsia="宋体" w:cs="Times New Roman"/>
                      <w:b w:val="0"/>
                      <w:bCs w:val="0"/>
                      <w:spacing w:val="7"/>
                      <w:sz w:val="21"/>
                      <w:szCs w:val="21"/>
                    </w:rPr>
                    <w:t>A）〕</w:t>
                  </w:r>
                </w:p>
              </w:tc>
            </w:tr>
            <w:tr w14:paraId="5515E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top w:val="nil"/>
                  </w:tcBorders>
                  <w:vAlign w:val="center"/>
                </w:tcPr>
                <w:p w14:paraId="17F1EDC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p>
              </w:tc>
              <w:tc>
                <w:tcPr>
                  <w:tcW w:w="1189" w:type="dxa"/>
                  <w:vMerge w:val="continue"/>
                  <w:tcBorders>
                    <w:top w:val="nil"/>
                  </w:tcBorders>
                  <w:vAlign w:val="center"/>
                </w:tcPr>
                <w:p w14:paraId="015C9AFF">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p>
              </w:tc>
              <w:tc>
                <w:tcPr>
                  <w:tcW w:w="739" w:type="dxa"/>
                  <w:vAlign w:val="center"/>
                </w:tcPr>
                <w:p w14:paraId="724C9BBC">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4"/>
                      <w:sz w:val="21"/>
                      <w:szCs w:val="21"/>
                    </w:rPr>
                    <w:t>昼间</w:t>
                  </w:r>
                </w:p>
              </w:tc>
              <w:tc>
                <w:tcPr>
                  <w:tcW w:w="726" w:type="dxa"/>
                  <w:vAlign w:val="center"/>
                </w:tcPr>
                <w:p w14:paraId="7E770570">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2"/>
                      <w:sz w:val="21"/>
                      <w:szCs w:val="21"/>
                    </w:rPr>
                    <w:t>夜间</w:t>
                  </w:r>
                </w:p>
              </w:tc>
              <w:tc>
                <w:tcPr>
                  <w:tcW w:w="1796" w:type="dxa"/>
                  <w:vMerge w:val="continue"/>
                  <w:tcBorders>
                    <w:top w:val="nil"/>
                  </w:tcBorders>
                  <w:vAlign w:val="center"/>
                </w:tcPr>
                <w:p w14:paraId="043C5B65">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p>
              </w:tc>
              <w:tc>
                <w:tcPr>
                  <w:tcW w:w="1330" w:type="dxa"/>
                  <w:vAlign w:val="center"/>
                </w:tcPr>
                <w:p w14:paraId="6115FD8E">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4"/>
                      <w:sz w:val="21"/>
                      <w:szCs w:val="21"/>
                    </w:rPr>
                    <w:t>昼间</w:t>
                  </w:r>
                </w:p>
              </w:tc>
              <w:tc>
                <w:tcPr>
                  <w:tcW w:w="1326" w:type="dxa"/>
                  <w:vAlign w:val="center"/>
                </w:tcPr>
                <w:p w14:paraId="2836ACB8">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2"/>
                      <w:sz w:val="21"/>
                      <w:szCs w:val="21"/>
                    </w:rPr>
                    <w:t>夜间</w:t>
                  </w:r>
                </w:p>
              </w:tc>
            </w:tr>
            <w:tr w14:paraId="04C60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restart"/>
                  <w:tcBorders>
                    <w:bottom w:val="nil"/>
                  </w:tcBorders>
                  <w:vAlign w:val="center"/>
                </w:tcPr>
                <w:p w14:paraId="7E96563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1"/>
                      <w:sz w:val="21"/>
                      <w:szCs w:val="21"/>
                    </w:rPr>
                    <w:t>2024.12.09</w:t>
                  </w:r>
                </w:p>
              </w:tc>
              <w:tc>
                <w:tcPr>
                  <w:tcW w:w="1189" w:type="dxa"/>
                  <w:vMerge w:val="restart"/>
                  <w:tcBorders>
                    <w:bottom w:val="nil"/>
                  </w:tcBorders>
                  <w:vAlign w:val="center"/>
                </w:tcPr>
                <w:p w14:paraId="22066EB8">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晴</w:t>
                  </w:r>
                </w:p>
              </w:tc>
              <w:tc>
                <w:tcPr>
                  <w:tcW w:w="739" w:type="dxa"/>
                  <w:vMerge w:val="restart"/>
                  <w:tcBorders>
                    <w:bottom w:val="nil"/>
                  </w:tcBorders>
                  <w:vAlign w:val="center"/>
                </w:tcPr>
                <w:p w14:paraId="5962483B">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4"/>
                      <w:sz w:val="21"/>
                      <w:szCs w:val="21"/>
                    </w:rPr>
                    <w:t>1.8</w:t>
                  </w:r>
                </w:p>
              </w:tc>
              <w:tc>
                <w:tcPr>
                  <w:tcW w:w="726" w:type="dxa"/>
                  <w:vMerge w:val="restart"/>
                  <w:tcBorders>
                    <w:bottom w:val="nil"/>
                  </w:tcBorders>
                  <w:vAlign w:val="center"/>
                </w:tcPr>
                <w:p w14:paraId="0687CB70">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1"/>
                      <w:sz w:val="21"/>
                      <w:szCs w:val="21"/>
                    </w:rPr>
                    <w:t>2.1</w:t>
                  </w:r>
                </w:p>
              </w:tc>
              <w:tc>
                <w:tcPr>
                  <w:tcW w:w="1796" w:type="dxa"/>
                  <w:vAlign w:val="center"/>
                </w:tcPr>
                <w:p w14:paraId="78454C9B">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N1东厂界外1m</w:t>
                  </w:r>
                </w:p>
              </w:tc>
              <w:tc>
                <w:tcPr>
                  <w:tcW w:w="1330" w:type="dxa"/>
                  <w:vAlign w:val="center"/>
                </w:tcPr>
                <w:p w14:paraId="6C008A6F">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57</w:t>
                  </w:r>
                </w:p>
              </w:tc>
              <w:tc>
                <w:tcPr>
                  <w:tcW w:w="1326" w:type="dxa"/>
                  <w:vAlign w:val="center"/>
                </w:tcPr>
                <w:p w14:paraId="694A9FB0">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48</w:t>
                  </w:r>
                </w:p>
              </w:tc>
            </w:tr>
            <w:tr w14:paraId="51C2E3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top w:val="nil"/>
                    <w:bottom w:val="nil"/>
                  </w:tcBorders>
                  <w:vAlign w:val="center"/>
                </w:tcPr>
                <w:p w14:paraId="218957D0">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189" w:type="dxa"/>
                  <w:vMerge w:val="continue"/>
                  <w:tcBorders>
                    <w:top w:val="nil"/>
                    <w:bottom w:val="nil"/>
                  </w:tcBorders>
                  <w:vAlign w:val="center"/>
                </w:tcPr>
                <w:p w14:paraId="3CE3662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39" w:type="dxa"/>
                  <w:vMerge w:val="continue"/>
                  <w:tcBorders>
                    <w:top w:val="nil"/>
                    <w:bottom w:val="nil"/>
                  </w:tcBorders>
                  <w:vAlign w:val="center"/>
                </w:tcPr>
                <w:p w14:paraId="189726F8">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26" w:type="dxa"/>
                  <w:vMerge w:val="continue"/>
                  <w:tcBorders>
                    <w:top w:val="nil"/>
                    <w:bottom w:val="nil"/>
                  </w:tcBorders>
                  <w:vAlign w:val="center"/>
                </w:tcPr>
                <w:p w14:paraId="3764A1DC">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796" w:type="dxa"/>
                  <w:vAlign w:val="center"/>
                </w:tcPr>
                <w:p w14:paraId="61443328">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N2南厂界外1m</w:t>
                  </w:r>
                </w:p>
              </w:tc>
              <w:tc>
                <w:tcPr>
                  <w:tcW w:w="1330" w:type="dxa"/>
                  <w:vAlign w:val="center"/>
                </w:tcPr>
                <w:p w14:paraId="4F70E2BC">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59</w:t>
                  </w:r>
                </w:p>
              </w:tc>
              <w:tc>
                <w:tcPr>
                  <w:tcW w:w="1326" w:type="dxa"/>
                  <w:vAlign w:val="center"/>
                </w:tcPr>
                <w:p w14:paraId="7C708E2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47</w:t>
                  </w:r>
                </w:p>
              </w:tc>
            </w:tr>
            <w:tr w14:paraId="49E4B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top w:val="nil"/>
                    <w:bottom w:val="nil"/>
                  </w:tcBorders>
                  <w:vAlign w:val="center"/>
                </w:tcPr>
                <w:p w14:paraId="7D60F099">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189" w:type="dxa"/>
                  <w:vMerge w:val="continue"/>
                  <w:tcBorders>
                    <w:top w:val="nil"/>
                    <w:bottom w:val="nil"/>
                  </w:tcBorders>
                  <w:vAlign w:val="center"/>
                </w:tcPr>
                <w:p w14:paraId="002DABD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39" w:type="dxa"/>
                  <w:vMerge w:val="continue"/>
                  <w:tcBorders>
                    <w:top w:val="nil"/>
                    <w:bottom w:val="nil"/>
                  </w:tcBorders>
                  <w:vAlign w:val="center"/>
                </w:tcPr>
                <w:p w14:paraId="5B7EF74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26" w:type="dxa"/>
                  <w:vMerge w:val="continue"/>
                  <w:tcBorders>
                    <w:top w:val="nil"/>
                    <w:bottom w:val="nil"/>
                  </w:tcBorders>
                  <w:vAlign w:val="center"/>
                </w:tcPr>
                <w:p w14:paraId="0BDE513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796" w:type="dxa"/>
                  <w:vAlign w:val="center"/>
                </w:tcPr>
                <w:p w14:paraId="3E29D4EA">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N3西厂界外1m</w:t>
                  </w:r>
                </w:p>
              </w:tc>
              <w:tc>
                <w:tcPr>
                  <w:tcW w:w="1330" w:type="dxa"/>
                  <w:vAlign w:val="center"/>
                </w:tcPr>
                <w:p w14:paraId="51ED36EB">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57</w:t>
                  </w:r>
                </w:p>
              </w:tc>
              <w:tc>
                <w:tcPr>
                  <w:tcW w:w="1326" w:type="dxa"/>
                  <w:vAlign w:val="center"/>
                </w:tcPr>
                <w:p w14:paraId="2B13B9A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48</w:t>
                  </w:r>
                </w:p>
              </w:tc>
            </w:tr>
            <w:tr w14:paraId="18B9E6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top w:val="nil"/>
                    <w:bottom w:val="nil"/>
                  </w:tcBorders>
                  <w:vAlign w:val="center"/>
                </w:tcPr>
                <w:p w14:paraId="0CC0FF1A">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189" w:type="dxa"/>
                  <w:vMerge w:val="continue"/>
                  <w:tcBorders>
                    <w:top w:val="nil"/>
                    <w:bottom w:val="nil"/>
                  </w:tcBorders>
                  <w:vAlign w:val="center"/>
                </w:tcPr>
                <w:p w14:paraId="131AD25F">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39" w:type="dxa"/>
                  <w:vMerge w:val="continue"/>
                  <w:tcBorders>
                    <w:top w:val="nil"/>
                    <w:bottom w:val="nil"/>
                  </w:tcBorders>
                  <w:vAlign w:val="center"/>
                </w:tcPr>
                <w:p w14:paraId="7A17836A">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26" w:type="dxa"/>
                  <w:vMerge w:val="continue"/>
                  <w:tcBorders>
                    <w:top w:val="nil"/>
                    <w:bottom w:val="nil"/>
                  </w:tcBorders>
                  <w:vAlign w:val="center"/>
                </w:tcPr>
                <w:p w14:paraId="406D19B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796" w:type="dxa"/>
                  <w:vAlign w:val="center"/>
                </w:tcPr>
                <w:p w14:paraId="2FD04AC9">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N4北厂界外1m</w:t>
                  </w:r>
                </w:p>
              </w:tc>
              <w:tc>
                <w:tcPr>
                  <w:tcW w:w="1330" w:type="dxa"/>
                  <w:vAlign w:val="center"/>
                </w:tcPr>
                <w:p w14:paraId="63572B77">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58</w:t>
                  </w:r>
                </w:p>
              </w:tc>
              <w:tc>
                <w:tcPr>
                  <w:tcW w:w="1326" w:type="dxa"/>
                  <w:vAlign w:val="center"/>
                </w:tcPr>
                <w:p w14:paraId="6A8B9687">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46</w:t>
                  </w:r>
                </w:p>
              </w:tc>
            </w:tr>
            <w:tr w14:paraId="04435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top w:val="nil"/>
                    <w:bottom w:val="single" w:color="auto" w:sz="4" w:space="0"/>
                  </w:tcBorders>
                  <w:vAlign w:val="center"/>
                </w:tcPr>
                <w:p w14:paraId="03D4E85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189" w:type="dxa"/>
                  <w:vMerge w:val="continue"/>
                  <w:tcBorders>
                    <w:top w:val="nil"/>
                    <w:bottom w:val="single" w:color="auto" w:sz="4" w:space="0"/>
                  </w:tcBorders>
                  <w:vAlign w:val="center"/>
                </w:tcPr>
                <w:p w14:paraId="20A9F69F">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39" w:type="dxa"/>
                  <w:vMerge w:val="continue"/>
                  <w:tcBorders>
                    <w:top w:val="nil"/>
                    <w:bottom w:val="single" w:color="auto" w:sz="4" w:space="0"/>
                  </w:tcBorders>
                  <w:vAlign w:val="center"/>
                </w:tcPr>
                <w:p w14:paraId="07C43646">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26" w:type="dxa"/>
                  <w:vMerge w:val="continue"/>
                  <w:tcBorders>
                    <w:top w:val="nil"/>
                    <w:bottom w:val="single" w:color="auto" w:sz="4" w:space="0"/>
                  </w:tcBorders>
                  <w:vAlign w:val="center"/>
                </w:tcPr>
                <w:p w14:paraId="36582B6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796" w:type="dxa"/>
                  <w:vAlign w:val="center"/>
                </w:tcPr>
                <w:p w14:paraId="2C4C2461">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八里曾家，距厂界南</w:t>
                  </w:r>
                  <w:r>
                    <w:rPr>
                      <w:rFonts w:hint="default" w:ascii="Times New Roman" w:hAnsi="Times New Roman" w:eastAsia="宋体" w:cs="Times New Roman"/>
                      <w:b w:val="0"/>
                      <w:bCs w:val="0"/>
                      <w:spacing w:val="4"/>
                      <w:sz w:val="21"/>
                      <w:szCs w:val="21"/>
                    </w:rPr>
                    <w:t xml:space="preserve"> </w:t>
                  </w:r>
                  <w:r>
                    <w:rPr>
                      <w:rFonts w:hint="default" w:ascii="Times New Roman" w:hAnsi="Times New Roman" w:eastAsia="宋体" w:cs="Times New Roman"/>
                      <w:b w:val="0"/>
                      <w:bCs w:val="0"/>
                      <w:spacing w:val="-2"/>
                      <w:sz w:val="21"/>
                      <w:szCs w:val="21"/>
                    </w:rPr>
                    <w:t>侧11m</w:t>
                  </w:r>
                </w:p>
              </w:tc>
              <w:tc>
                <w:tcPr>
                  <w:tcW w:w="1330" w:type="dxa"/>
                  <w:vAlign w:val="center"/>
                </w:tcPr>
                <w:p w14:paraId="6D243629">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53</w:t>
                  </w:r>
                </w:p>
              </w:tc>
              <w:tc>
                <w:tcPr>
                  <w:tcW w:w="1326" w:type="dxa"/>
                  <w:vAlign w:val="center"/>
                </w:tcPr>
                <w:p w14:paraId="0577B37B">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3"/>
                      <w:sz w:val="21"/>
                      <w:szCs w:val="21"/>
                    </w:rPr>
                    <w:t>47</w:t>
                  </w:r>
                </w:p>
              </w:tc>
            </w:tr>
            <w:tr w14:paraId="7ACF4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restart"/>
                  <w:tcBorders>
                    <w:top w:val="single" w:color="auto" w:sz="4" w:space="0"/>
                    <w:left w:val="single" w:color="auto" w:sz="4" w:space="0"/>
                    <w:right w:val="single" w:color="auto" w:sz="4" w:space="0"/>
                  </w:tcBorders>
                  <w:vAlign w:val="center"/>
                </w:tcPr>
                <w:p w14:paraId="44D98D5D">
                  <w:pPr>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pacing w:val="1"/>
                      <w:sz w:val="21"/>
                      <w:szCs w:val="21"/>
                    </w:rPr>
                    <w:t>2024.12.</w:t>
                  </w:r>
                  <w:r>
                    <w:rPr>
                      <w:rFonts w:hint="eastAsia" w:cs="Times New Roman"/>
                      <w:b w:val="0"/>
                      <w:bCs w:val="0"/>
                      <w:spacing w:val="1"/>
                      <w:sz w:val="21"/>
                      <w:szCs w:val="21"/>
                      <w:lang w:val="en-US" w:eastAsia="zh-CN"/>
                    </w:rPr>
                    <w:t>10</w:t>
                  </w:r>
                </w:p>
              </w:tc>
              <w:tc>
                <w:tcPr>
                  <w:tcW w:w="1189" w:type="dxa"/>
                  <w:vMerge w:val="restart"/>
                  <w:tcBorders>
                    <w:top w:val="single" w:color="auto" w:sz="4" w:space="0"/>
                    <w:left w:val="single" w:color="auto" w:sz="4" w:space="0"/>
                    <w:right w:val="single" w:color="auto" w:sz="4" w:space="0"/>
                  </w:tcBorders>
                  <w:vAlign w:val="center"/>
                </w:tcPr>
                <w:p w14:paraId="02C03213">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晴</w:t>
                  </w:r>
                </w:p>
              </w:tc>
              <w:tc>
                <w:tcPr>
                  <w:tcW w:w="739" w:type="dxa"/>
                  <w:vMerge w:val="restart"/>
                  <w:tcBorders>
                    <w:top w:val="single" w:color="auto" w:sz="4" w:space="0"/>
                    <w:left w:val="single" w:color="auto" w:sz="4" w:space="0"/>
                    <w:right w:val="single" w:color="auto" w:sz="4" w:space="0"/>
                  </w:tcBorders>
                  <w:vAlign w:val="center"/>
                </w:tcPr>
                <w:p w14:paraId="71B28AEB">
                  <w:pPr>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4"/>
                      <w:sz w:val="21"/>
                      <w:szCs w:val="21"/>
                    </w:rPr>
                    <w:t>1.8</w:t>
                  </w:r>
                </w:p>
              </w:tc>
              <w:tc>
                <w:tcPr>
                  <w:tcW w:w="726" w:type="dxa"/>
                  <w:vMerge w:val="restart"/>
                  <w:tcBorders>
                    <w:top w:val="single" w:color="auto" w:sz="4" w:space="0"/>
                    <w:left w:val="single" w:color="auto" w:sz="4" w:space="0"/>
                    <w:right w:val="single" w:color="auto" w:sz="4" w:space="0"/>
                  </w:tcBorders>
                  <w:vAlign w:val="center"/>
                </w:tcPr>
                <w:p w14:paraId="5CFA4ACE">
                  <w:pPr>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pacing w:val="1"/>
                      <w:sz w:val="21"/>
                      <w:szCs w:val="21"/>
                    </w:rPr>
                    <w:t>2.</w:t>
                  </w:r>
                  <w:r>
                    <w:rPr>
                      <w:rFonts w:hint="eastAsia" w:cs="Times New Roman"/>
                      <w:b w:val="0"/>
                      <w:bCs w:val="0"/>
                      <w:spacing w:val="1"/>
                      <w:sz w:val="21"/>
                      <w:szCs w:val="21"/>
                      <w:lang w:val="en-US" w:eastAsia="zh-CN"/>
                    </w:rPr>
                    <w:t>2</w:t>
                  </w:r>
                </w:p>
              </w:tc>
              <w:tc>
                <w:tcPr>
                  <w:tcW w:w="1796" w:type="dxa"/>
                  <w:tcBorders>
                    <w:left w:val="single" w:color="auto" w:sz="4" w:space="0"/>
                  </w:tcBorders>
                  <w:vAlign w:val="center"/>
                </w:tcPr>
                <w:p w14:paraId="15579EBE">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val="0"/>
                      <w:spacing w:val="-3"/>
                      <w:sz w:val="21"/>
                      <w:szCs w:val="21"/>
                    </w:rPr>
                  </w:pPr>
                  <w:r>
                    <w:rPr>
                      <w:rFonts w:hint="default" w:ascii="Times New Roman" w:hAnsi="Times New Roman" w:eastAsia="宋体" w:cs="Times New Roman"/>
                      <w:b w:val="0"/>
                      <w:bCs w:val="0"/>
                      <w:spacing w:val="3"/>
                      <w:sz w:val="21"/>
                      <w:szCs w:val="21"/>
                    </w:rPr>
                    <w:t>N1东厂界外1m</w:t>
                  </w:r>
                </w:p>
              </w:tc>
              <w:tc>
                <w:tcPr>
                  <w:tcW w:w="1330" w:type="dxa"/>
                  <w:vAlign w:val="top"/>
                </w:tcPr>
                <w:p w14:paraId="40D8DA99">
                  <w:pPr>
                    <w:keepNext w:val="0"/>
                    <w:keepLines w:val="0"/>
                    <w:pageBreakBefore w:val="0"/>
                    <w:widowControl w:val="0"/>
                    <w:wordWrap/>
                    <w:overflowPunct/>
                    <w:topLinePunct w:val="0"/>
                    <w:bidi w:val="0"/>
                    <w:adjustRightInd w:val="0"/>
                    <w:snapToGrid w:val="0"/>
                    <w:spacing w:before="146" w:line="192" w:lineRule="auto"/>
                    <w:ind w:left="569" w:leftChars="0"/>
                    <w:rPr>
                      <w:rFonts w:hint="default" w:ascii="Times New Roman" w:hAnsi="Times New Roman" w:eastAsia="宋体" w:cs="Times New Roman"/>
                      <w:b w:val="0"/>
                      <w:bCs w:val="0"/>
                      <w:sz w:val="21"/>
                      <w:szCs w:val="21"/>
                    </w:rPr>
                  </w:pPr>
                  <w:r>
                    <w:rPr>
                      <w:rFonts w:ascii="Times New Roman" w:hAnsi="Times New Roman" w:eastAsia="Times New Roman" w:cs="Times New Roman"/>
                      <w:sz w:val="20"/>
                      <w:szCs w:val="20"/>
                    </w:rPr>
                    <w:t>57</w:t>
                  </w:r>
                </w:p>
              </w:tc>
              <w:tc>
                <w:tcPr>
                  <w:tcW w:w="1326" w:type="dxa"/>
                  <w:vAlign w:val="top"/>
                </w:tcPr>
                <w:p w14:paraId="3C1E9569">
                  <w:pPr>
                    <w:keepNext w:val="0"/>
                    <w:keepLines w:val="0"/>
                    <w:pageBreakBefore w:val="0"/>
                    <w:widowControl w:val="0"/>
                    <w:wordWrap/>
                    <w:overflowPunct/>
                    <w:topLinePunct w:val="0"/>
                    <w:bidi w:val="0"/>
                    <w:adjustRightInd w:val="0"/>
                    <w:snapToGrid w:val="0"/>
                    <w:spacing w:before="143" w:line="195" w:lineRule="auto"/>
                    <w:ind w:left="567" w:leftChars="0"/>
                    <w:rPr>
                      <w:rFonts w:hint="default" w:ascii="Times New Roman" w:hAnsi="Times New Roman" w:eastAsia="宋体" w:cs="Times New Roman"/>
                      <w:b w:val="0"/>
                      <w:bCs w:val="0"/>
                      <w:spacing w:val="3"/>
                      <w:sz w:val="21"/>
                      <w:szCs w:val="21"/>
                    </w:rPr>
                  </w:pPr>
                  <w:r>
                    <w:rPr>
                      <w:rFonts w:ascii="Times New Roman" w:hAnsi="Times New Roman" w:eastAsia="Times New Roman" w:cs="Times New Roman"/>
                      <w:spacing w:val="3"/>
                      <w:sz w:val="20"/>
                      <w:szCs w:val="20"/>
                    </w:rPr>
                    <w:t>47</w:t>
                  </w:r>
                </w:p>
              </w:tc>
            </w:tr>
            <w:tr w14:paraId="79B87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left w:val="single" w:color="auto" w:sz="4" w:space="0"/>
                    <w:right w:val="single" w:color="auto" w:sz="4" w:space="0"/>
                  </w:tcBorders>
                  <w:vAlign w:val="center"/>
                </w:tcPr>
                <w:p w14:paraId="421144E9">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189" w:type="dxa"/>
                  <w:vMerge w:val="continue"/>
                  <w:tcBorders>
                    <w:left w:val="single" w:color="auto" w:sz="4" w:space="0"/>
                    <w:right w:val="single" w:color="auto" w:sz="4" w:space="0"/>
                  </w:tcBorders>
                  <w:vAlign w:val="center"/>
                </w:tcPr>
                <w:p w14:paraId="38C62E4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39" w:type="dxa"/>
                  <w:vMerge w:val="continue"/>
                  <w:tcBorders>
                    <w:left w:val="single" w:color="auto" w:sz="4" w:space="0"/>
                    <w:right w:val="single" w:color="auto" w:sz="4" w:space="0"/>
                  </w:tcBorders>
                  <w:vAlign w:val="center"/>
                </w:tcPr>
                <w:p w14:paraId="010D60C7">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26" w:type="dxa"/>
                  <w:vMerge w:val="continue"/>
                  <w:tcBorders>
                    <w:left w:val="single" w:color="auto" w:sz="4" w:space="0"/>
                    <w:right w:val="single" w:color="auto" w:sz="4" w:space="0"/>
                  </w:tcBorders>
                  <w:vAlign w:val="center"/>
                </w:tcPr>
                <w:p w14:paraId="04D714E3">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796" w:type="dxa"/>
                  <w:tcBorders>
                    <w:left w:val="single" w:color="auto" w:sz="4" w:space="0"/>
                  </w:tcBorders>
                  <w:vAlign w:val="center"/>
                </w:tcPr>
                <w:p w14:paraId="21E69A3A">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val="0"/>
                      <w:spacing w:val="-3"/>
                      <w:sz w:val="21"/>
                      <w:szCs w:val="21"/>
                    </w:rPr>
                  </w:pPr>
                  <w:r>
                    <w:rPr>
                      <w:rFonts w:hint="default" w:ascii="Times New Roman" w:hAnsi="Times New Roman" w:eastAsia="宋体" w:cs="Times New Roman"/>
                      <w:b w:val="0"/>
                      <w:bCs w:val="0"/>
                      <w:spacing w:val="3"/>
                      <w:sz w:val="21"/>
                      <w:szCs w:val="21"/>
                    </w:rPr>
                    <w:t>N2南厂界外1m</w:t>
                  </w:r>
                </w:p>
              </w:tc>
              <w:tc>
                <w:tcPr>
                  <w:tcW w:w="1330" w:type="dxa"/>
                  <w:vAlign w:val="top"/>
                </w:tcPr>
                <w:p w14:paraId="338EF908">
                  <w:pPr>
                    <w:keepNext w:val="0"/>
                    <w:keepLines w:val="0"/>
                    <w:pageBreakBefore w:val="0"/>
                    <w:widowControl w:val="0"/>
                    <w:wordWrap/>
                    <w:overflowPunct/>
                    <w:topLinePunct w:val="0"/>
                    <w:bidi w:val="0"/>
                    <w:adjustRightInd w:val="0"/>
                    <w:snapToGrid w:val="0"/>
                    <w:spacing w:before="146" w:line="192" w:lineRule="auto"/>
                    <w:ind w:left="569" w:leftChars="0"/>
                    <w:rPr>
                      <w:rFonts w:hint="default" w:ascii="Times New Roman" w:hAnsi="Times New Roman" w:eastAsia="宋体" w:cs="Times New Roman"/>
                      <w:b w:val="0"/>
                      <w:bCs w:val="0"/>
                      <w:sz w:val="21"/>
                      <w:szCs w:val="21"/>
                    </w:rPr>
                  </w:pPr>
                  <w:r>
                    <w:rPr>
                      <w:rFonts w:ascii="Times New Roman" w:hAnsi="Times New Roman" w:eastAsia="Times New Roman" w:cs="Times New Roman"/>
                      <w:sz w:val="20"/>
                      <w:szCs w:val="20"/>
                    </w:rPr>
                    <w:t>57</w:t>
                  </w:r>
                </w:p>
              </w:tc>
              <w:tc>
                <w:tcPr>
                  <w:tcW w:w="1326" w:type="dxa"/>
                  <w:vAlign w:val="top"/>
                </w:tcPr>
                <w:p w14:paraId="714AC9E3">
                  <w:pPr>
                    <w:keepNext w:val="0"/>
                    <w:keepLines w:val="0"/>
                    <w:pageBreakBefore w:val="0"/>
                    <w:widowControl w:val="0"/>
                    <w:wordWrap/>
                    <w:overflowPunct/>
                    <w:topLinePunct w:val="0"/>
                    <w:bidi w:val="0"/>
                    <w:adjustRightInd w:val="0"/>
                    <w:snapToGrid w:val="0"/>
                    <w:spacing w:before="143" w:line="195" w:lineRule="auto"/>
                    <w:ind w:left="567" w:leftChars="0"/>
                    <w:rPr>
                      <w:rFonts w:hint="default" w:ascii="Times New Roman" w:hAnsi="Times New Roman" w:eastAsia="宋体" w:cs="Times New Roman"/>
                      <w:b w:val="0"/>
                      <w:bCs w:val="0"/>
                      <w:spacing w:val="3"/>
                      <w:sz w:val="21"/>
                      <w:szCs w:val="21"/>
                    </w:rPr>
                  </w:pPr>
                  <w:r>
                    <w:rPr>
                      <w:rFonts w:ascii="Times New Roman" w:hAnsi="Times New Roman" w:eastAsia="Times New Roman" w:cs="Times New Roman"/>
                      <w:spacing w:val="3"/>
                      <w:sz w:val="20"/>
                      <w:szCs w:val="20"/>
                    </w:rPr>
                    <w:t>45</w:t>
                  </w:r>
                </w:p>
              </w:tc>
            </w:tr>
            <w:tr w14:paraId="41F32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left w:val="single" w:color="auto" w:sz="4" w:space="0"/>
                    <w:right w:val="single" w:color="auto" w:sz="4" w:space="0"/>
                  </w:tcBorders>
                  <w:vAlign w:val="center"/>
                </w:tcPr>
                <w:p w14:paraId="75392DD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189" w:type="dxa"/>
                  <w:vMerge w:val="continue"/>
                  <w:tcBorders>
                    <w:left w:val="single" w:color="auto" w:sz="4" w:space="0"/>
                    <w:right w:val="single" w:color="auto" w:sz="4" w:space="0"/>
                  </w:tcBorders>
                  <w:vAlign w:val="center"/>
                </w:tcPr>
                <w:p w14:paraId="4C150E96">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39" w:type="dxa"/>
                  <w:vMerge w:val="continue"/>
                  <w:tcBorders>
                    <w:left w:val="single" w:color="auto" w:sz="4" w:space="0"/>
                    <w:right w:val="single" w:color="auto" w:sz="4" w:space="0"/>
                  </w:tcBorders>
                  <w:vAlign w:val="center"/>
                </w:tcPr>
                <w:p w14:paraId="4FFEDD09">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26" w:type="dxa"/>
                  <w:vMerge w:val="continue"/>
                  <w:tcBorders>
                    <w:left w:val="single" w:color="auto" w:sz="4" w:space="0"/>
                    <w:right w:val="single" w:color="auto" w:sz="4" w:space="0"/>
                  </w:tcBorders>
                  <w:vAlign w:val="center"/>
                </w:tcPr>
                <w:p w14:paraId="396B633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796" w:type="dxa"/>
                  <w:tcBorders>
                    <w:left w:val="single" w:color="auto" w:sz="4" w:space="0"/>
                  </w:tcBorders>
                  <w:vAlign w:val="center"/>
                </w:tcPr>
                <w:p w14:paraId="109772F4">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val="0"/>
                      <w:spacing w:val="-3"/>
                      <w:sz w:val="21"/>
                      <w:szCs w:val="21"/>
                    </w:rPr>
                  </w:pPr>
                  <w:r>
                    <w:rPr>
                      <w:rFonts w:hint="default" w:ascii="Times New Roman" w:hAnsi="Times New Roman" w:eastAsia="宋体" w:cs="Times New Roman"/>
                      <w:b w:val="0"/>
                      <w:bCs w:val="0"/>
                      <w:spacing w:val="3"/>
                      <w:sz w:val="21"/>
                      <w:szCs w:val="21"/>
                    </w:rPr>
                    <w:t>N3西厂界外1m</w:t>
                  </w:r>
                </w:p>
              </w:tc>
              <w:tc>
                <w:tcPr>
                  <w:tcW w:w="1330" w:type="dxa"/>
                  <w:vAlign w:val="top"/>
                </w:tcPr>
                <w:p w14:paraId="687D1675">
                  <w:pPr>
                    <w:keepNext w:val="0"/>
                    <w:keepLines w:val="0"/>
                    <w:pageBreakBefore w:val="0"/>
                    <w:widowControl w:val="0"/>
                    <w:wordWrap/>
                    <w:overflowPunct/>
                    <w:topLinePunct w:val="0"/>
                    <w:bidi w:val="0"/>
                    <w:adjustRightInd w:val="0"/>
                    <w:snapToGrid w:val="0"/>
                    <w:spacing w:before="147" w:line="195" w:lineRule="auto"/>
                    <w:ind w:left="569" w:leftChars="0"/>
                    <w:rPr>
                      <w:rFonts w:hint="default" w:ascii="Times New Roman" w:hAnsi="Times New Roman" w:eastAsia="宋体" w:cs="Times New Roman"/>
                      <w:b w:val="0"/>
                      <w:bCs w:val="0"/>
                      <w:sz w:val="21"/>
                      <w:szCs w:val="21"/>
                    </w:rPr>
                  </w:pPr>
                  <w:r>
                    <w:rPr>
                      <w:rFonts w:ascii="Times New Roman" w:hAnsi="Times New Roman" w:eastAsia="Times New Roman" w:cs="Times New Roman"/>
                      <w:sz w:val="20"/>
                      <w:szCs w:val="20"/>
                    </w:rPr>
                    <w:t>50</w:t>
                  </w:r>
                </w:p>
              </w:tc>
              <w:tc>
                <w:tcPr>
                  <w:tcW w:w="1326" w:type="dxa"/>
                  <w:vAlign w:val="top"/>
                </w:tcPr>
                <w:p w14:paraId="17194247">
                  <w:pPr>
                    <w:keepNext w:val="0"/>
                    <w:keepLines w:val="0"/>
                    <w:pageBreakBefore w:val="0"/>
                    <w:widowControl w:val="0"/>
                    <w:wordWrap/>
                    <w:overflowPunct/>
                    <w:topLinePunct w:val="0"/>
                    <w:bidi w:val="0"/>
                    <w:adjustRightInd w:val="0"/>
                    <w:snapToGrid w:val="0"/>
                    <w:spacing w:before="147" w:line="195" w:lineRule="auto"/>
                    <w:ind w:left="567" w:leftChars="0"/>
                    <w:rPr>
                      <w:rFonts w:hint="default" w:ascii="Times New Roman" w:hAnsi="Times New Roman" w:eastAsia="宋体" w:cs="Times New Roman"/>
                      <w:b w:val="0"/>
                      <w:bCs w:val="0"/>
                      <w:spacing w:val="3"/>
                      <w:sz w:val="21"/>
                      <w:szCs w:val="21"/>
                    </w:rPr>
                  </w:pPr>
                  <w:r>
                    <w:rPr>
                      <w:rFonts w:ascii="Times New Roman" w:hAnsi="Times New Roman" w:eastAsia="Times New Roman" w:cs="Times New Roman"/>
                      <w:spacing w:val="3"/>
                      <w:sz w:val="20"/>
                      <w:szCs w:val="20"/>
                    </w:rPr>
                    <w:t>45</w:t>
                  </w:r>
                </w:p>
              </w:tc>
            </w:tr>
            <w:tr w14:paraId="3627C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left w:val="single" w:color="auto" w:sz="4" w:space="0"/>
                    <w:right w:val="single" w:color="auto" w:sz="4" w:space="0"/>
                  </w:tcBorders>
                  <w:vAlign w:val="center"/>
                </w:tcPr>
                <w:p w14:paraId="452E34DA">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189" w:type="dxa"/>
                  <w:vMerge w:val="continue"/>
                  <w:tcBorders>
                    <w:left w:val="single" w:color="auto" w:sz="4" w:space="0"/>
                    <w:right w:val="single" w:color="auto" w:sz="4" w:space="0"/>
                  </w:tcBorders>
                  <w:vAlign w:val="center"/>
                </w:tcPr>
                <w:p w14:paraId="6DB8A6C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39" w:type="dxa"/>
                  <w:vMerge w:val="continue"/>
                  <w:tcBorders>
                    <w:left w:val="single" w:color="auto" w:sz="4" w:space="0"/>
                    <w:right w:val="single" w:color="auto" w:sz="4" w:space="0"/>
                  </w:tcBorders>
                  <w:vAlign w:val="center"/>
                </w:tcPr>
                <w:p w14:paraId="32D07D06">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26" w:type="dxa"/>
                  <w:vMerge w:val="continue"/>
                  <w:tcBorders>
                    <w:left w:val="single" w:color="auto" w:sz="4" w:space="0"/>
                    <w:right w:val="single" w:color="auto" w:sz="4" w:space="0"/>
                  </w:tcBorders>
                  <w:vAlign w:val="center"/>
                </w:tcPr>
                <w:p w14:paraId="38F1269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796" w:type="dxa"/>
                  <w:tcBorders>
                    <w:left w:val="single" w:color="auto" w:sz="4" w:space="0"/>
                  </w:tcBorders>
                  <w:vAlign w:val="center"/>
                </w:tcPr>
                <w:p w14:paraId="4B5CAE97">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val="0"/>
                      <w:spacing w:val="-3"/>
                      <w:sz w:val="21"/>
                      <w:szCs w:val="21"/>
                    </w:rPr>
                  </w:pPr>
                  <w:r>
                    <w:rPr>
                      <w:rFonts w:hint="default" w:ascii="Times New Roman" w:hAnsi="Times New Roman" w:eastAsia="宋体" w:cs="Times New Roman"/>
                      <w:b w:val="0"/>
                      <w:bCs w:val="0"/>
                      <w:spacing w:val="3"/>
                      <w:sz w:val="21"/>
                      <w:szCs w:val="21"/>
                    </w:rPr>
                    <w:t>N4北厂界外1m</w:t>
                  </w:r>
                </w:p>
              </w:tc>
              <w:tc>
                <w:tcPr>
                  <w:tcW w:w="1330" w:type="dxa"/>
                  <w:vAlign w:val="top"/>
                </w:tcPr>
                <w:p w14:paraId="00302B07">
                  <w:pPr>
                    <w:keepNext w:val="0"/>
                    <w:keepLines w:val="0"/>
                    <w:pageBreakBefore w:val="0"/>
                    <w:widowControl w:val="0"/>
                    <w:wordWrap/>
                    <w:overflowPunct/>
                    <w:topLinePunct w:val="0"/>
                    <w:bidi w:val="0"/>
                    <w:adjustRightInd w:val="0"/>
                    <w:snapToGrid w:val="0"/>
                    <w:spacing w:before="147" w:line="195" w:lineRule="auto"/>
                    <w:ind w:left="569" w:leftChars="0"/>
                    <w:rPr>
                      <w:rFonts w:hint="default" w:ascii="Times New Roman" w:hAnsi="Times New Roman" w:eastAsia="宋体" w:cs="Times New Roman"/>
                      <w:b w:val="0"/>
                      <w:bCs w:val="0"/>
                      <w:sz w:val="21"/>
                      <w:szCs w:val="21"/>
                    </w:rPr>
                  </w:pPr>
                  <w:r>
                    <w:rPr>
                      <w:rFonts w:ascii="Times New Roman" w:hAnsi="Times New Roman" w:eastAsia="Times New Roman" w:cs="Times New Roman"/>
                      <w:sz w:val="20"/>
                      <w:szCs w:val="20"/>
                    </w:rPr>
                    <w:t>54</w:t>
                  </w:r>
                </w:p>
              </w:tc>
              <w:tc>
                <w:tcPr>
                  <w:tcW w:w="1326" w:type="dxa"/>
                  <w:vAlign w:val="top"/>
                </w:tcPr>
                <w:p w14:paraId="3592F089">
                  <w:pPr>
                    <w:keepNext w:val="0"/>
                    <w:keepLines w:val="0"/>
                    <w:pageBreakBefore w:val="0"/>
                    <w:widowControl w:val="0"/>
                    <w:wordWrap/>
                    <w:overflowPunct/>
                    <w:topLinePunct w:val="0"/>
                    <w:bidi w:val="0"/>
                    <w:adjustRightInd w:val="0"/>
                    <w:snapToGrid w:val="0"/>
                    <w:spacing w:before="147" w:line="195" w:lineRule="auto"/>
                    <w:ind w:left="567" w:leftChars="0"/>
                    <w:rPr>
                      <w:rFonts w:hint="default" w:ascii="Times New Roman" w:hAnsi="Times New Roman" w:eastAsia="宋体" w:cs="Times New Roman"/>
                      <w:b w:val="0"/>
                      <w:bCs w:val="0"/>
                      <w:spacing w:val="3"/>
                      <w:sz w:val="21"/>
                      <w:szCs w:val="21"/>
                    </w:rPr>
                  </w:pPr>
                  <w:r>
                    <w:rPr>
                      <w:rFonts w:ascii="Times New Roman" w:hAnsi="Times New Roman" w:eastAsia="Times New Roman" w:cs="Times New Roman"/>
                      <w:spacing w:val="3"/>
                      <w:sz w:val="20"/>
                      <w:szCs w:val="20"/>
                    </w:rPr>
                    <w:t>47</w:t>
                  </w:r>
                </w:p>
              </w:tc>
            </w:tr>
            <w:tr w14:paraId="0355E6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193" w:type="dxa"/>
                  <w:vMerge w:val="continue"/>
                  <w:tcBorders>
                    <w:left w:val="single" w:color="auto" w:sz="4" w:space="0"/>
                    <w:bottom w:val="single" w:color="auto" w:sz="4" w:space="0"/>
                    <w:right w:val="single" w:color="auto" w:sz="4" w:space="0"/>
                  </w:tcBorders>
                  <w:vAlign w:val="center"/>
                </w:tcPr>
                <w:p w14:paraId="075059C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189" w:type="dxa"/>
                  <w:vMerge w:val="continue"/>
                  <w:tcBorders>
                    <w:left w:val="single" w:color="auto" w:sz="4" w:space="0"/>
                    <w:bottom w:val="single" w:color="auto" w:sz="4" w:space="0"/>
                    <w:right w:val="single" w:color="auto" w:sz="4" w:space="0"/>
                  </w:tcBorders>
                  <w:vAlign w:val="center"/>
                </w:tcPr>
                <w:p w14:paraId="0A710949">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39" w:type="dxa"/>
                  <w:vMerge w:val="continue"/>
                  <w:tcBorders>
                    <w:left w:val="single" w:color="auto" w:sz="4" w:space="0"/>
                    <w:bottom w:val="single" w:color="auto" w:sz="4" w:space="0"/>
                    <w:right w:val="single" w:color="auto" w:sz="4" w:space="0"/>
                  </w:tcBorders>
                  <w:vAlign w:val="center"/>
                </w:tcPr>
                <w:p w14:paraId="1190F0D3">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726" w:type="dxa"/>
                  <w:vMerge w:val="continue"/>
                  <w:tcBorders>
                    <w:left w:val="single" w:color="auto" w:sz="4" w:space="0"/>
                    <w:bottom w:val="single" w:color="auto" w:sz="4" w:space="0"/>
                    <w:right w:val="single" w:color="auto" w:sz="4" w:space="0"/>
                  </w:tcBorders>
                  <w:vAlign w:val="center"/>
                </w:tcPr>
                <w:p w14:paraId="1DE18E70">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textAlignment w:val="baseline"/>
                    <w:rPr>
                      <w:rFonts w:hint="default" w:ascii="Times New Roman" w:hAnsi="Times New Roman" w:eastAsia="宋体" w:cs="Times New Roman"/>
                      <w:b w:val="0"/>
                      <w:bCs w:val="0"/>
                      <w:sz w:val="21"/>
                      <w:szCs w:val="21"/>
                    </w:rPr>
                  </w:pPr>
                </w:p>
              </w:tc>
              <w:tc>
                <w:tcPr>
                  <w:tcW w:w="1796" w:type="dxa"/>
                  <w:tcBorders>
                    <w:left w:val="single" w:color="auto" w:sz="4" w:space="0"/>
                  </w:tcBorders>
                  <w:vAlign w:val="center"/>
                </w:tcPr>
                <w:p w14:paraId="7DD86AF6">
                  <w:pPr>
                    <w:pStyle w:val="58"/>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宋体" w:cs="Times New Roman"/>
                      <w:b w:val="0"/>
                      <w:bCs w:val="0"/>
                      <w:spacing w:val="-3"/>
                      <w:sz w:val="21"/>
                      <w:szCs w:val="21"/>
                    </w:rPr>
                  </w:pPr>
                  <w:r>
                    <w:rPr>
                      <w:rFonts w:hint="default" w:ascii="Times New Roman" w:hAnsi="Times New Roman" w:eastAsia="宋体" w:cs="Times New Roman"/>
                      <w:b w:val="0"/>
                      <w:bCs w:val="0"/>
                      <w:spacing w:val="-3"/>
                      <w:sz w:val="21"/>
                      <w:szCs w:val="21"/>
                    </w:rPr>
                    <w:t>八里曾家，距厂界南</w:t>
                  </w:r>
                  <w:r>
                    <w:rPr>
                      <w:rFonts w:hint="default" w:ascii="Times New Roman" w:hAnsi="Times New Roman" w:eastAsia="宋体" w:cs="Times New Roman"/>
                      <w:b w:val="0"/>
                      <w:bCs w:val="0"/>
                      <w:spacing w:val="4"/>
                      <w:sz w:val="21"/>
                      <w:szCs w:val="21"/>
                    </w:rPr>
                    <w:t xml:space="preserve"> </w:t>
                  </w:r>
                  <w:r>
                    <w:rPr>
                      <w:rFonts w:hint="default" w:ascii="Times New Roman" w:hAnsi="Times New Roman" w:eastAsia="宋体" w:cs="Times New Roman"/>
                      <w:b w:val="0"/>
                      <w:bCs w:val="0"/>
                      <w:spacing w:val="-2"/>
                      <w:sz w:val="21"/>
                      <w:szCs w:val="21"/>
                    </w:rPr>
                    <w:t>侧11m</w:t>
                  </w:r>
                </w:p>
              </w:tc>
              <w:tc>
                <w:tcPr>
                  <w:tcW w:w="1330" w:type="dxa"/>
                  <w:vAlign w:val="top"/>
                </w:tcPr>
                <w:p w14:paraId="479EC79D">
                  <w:pPr>
                    <w:keepNext w:val="0"/>
                    <w:keepLines w:val="0"/>
                    <w:pageBreakBefore w:val="0"/>
                    <w:widowControl w:val="0"/>
                    <w:wordWrap/>
                    <w:overflowPunct/>
                    <w:topLinePunct w:val="0"/>
                    <w:bidi w:val="0"/>
                    <w:adjustRightInd w:val="0"/>
                    <w:snapToGrid w:val="0"/>
                    <w:spacing w:before="249" w:line="192" w:lineRule="auto"/>
                    <w:ind w:left="569" w:leftChars="0"/>
                    <w:rPr>
                      <w:rFonts w:hint="default" w:ascii="Times New Roman" w:hAnsi="Times New Roman" w:eastAsia="宋体" w:cs="Times New Roman"/>
                      <w:b w:val="0"/>
                      <w:bCs w:val="0"/>
                      <w:sz w:val="21"/>
                      <w:szCs w:val="21"/>
                    </w:rPr>
                  </w:pPr>
                  <w:r>
                    <w:rPr>
                      <w:rFonts w:ascii="Times New Roman" w:hAnsi="Times New Roman" w:eastAsia="Times New Roman" w:cs="Times New Roman"/>
                      <w:sz w:val="20"/>
                      <w:szCs w:val="20"/>
                    </w:rPr>
                    <w:t>55</w:t>
                  </w:r>
                </w:p>
              </w:tc>
              <w:tc>
                <w:tcPr>
                  <w:tcW w:w="1326" w:type="dxa"/>
                  <w:vAlign w:val="top"/>
                </w:tcPr>
                <w:p w14:paraId="47C54E90">
                  <w:pPr>
                    <w:keepNext w:val="0"/>
                    <w:keepLines w:val="0"/>
                    <w:pageBreakBefore w:val="0"/>
                    <w:widowControl w:val="0"/>
                    <w:wordWrap/>
                    <w:overflowPunct/>
                    <w:topLinePunct w:val="0"/>
                    <w:bidi w:val="0"/>
                    <w:adjustRightInd w:val="0"/>
                    <w:snapToGrid w:val="0"/>
                    <w:spacing w:before="246" w:line="195" w:lineRule="auto"/>
                    <w:ind w:left="567" w:leftChars="0"/>
                    <w:rPr>
                      <w:rFonts w:hint="default" w:ascii="Times New Roman" w:hAnsi="Times New Roman" w:eastAsia="宋体" w:cs="Times New Roman"/>
                      <w:b w:val="0"/>
                      <w:bCs w:val="0"/>
                      <w:spacing w:val="3"/>
                      <w:sz w:val="21"/>
                      <w:szCs w:val="21"/>
                    </w:rPr>
                  </w:pPr>
                  <w:r>
                    <w:rPr>
                      <w:rFonts w:ascii="Times New Roman" w:hAnsi="Times New Roman" w:eastAsia="Times New Roman" w:cs="Times New Roman"/>
                      <w:spacing w:val="3"/>
                      <w:sz w:val="20"/>
                      <w:szCs w:val="20"/>
                    </w:rPr>
                    <w:t>47</w:t>
                  </w:r>
                </w:p>
              </w:tc>
            </w:tr>
          </w:tbl>
          <w:p w14:paraId="4F1A66C2">
            <w:pPr>
              <w:adjustRightInd w:val="0"/>
              <w:snapToGrid w:val="0"/>
              <w:spacing w:before="120" w:beforeLines="50" w:line="360" w:lineRule="auto"/>
              <w:ind w:firstLine="480" w:firstLineChars="200"/>
              <w:rPr>
                <w:rFonts w:hint="default" w:ascii="Times New Roman" w:hAnsi="Times New Roman" w:eastAsia="宋体" w:cs="Times New Roman"/>
                <w:color w:val="auto"/>
                <w:spacing w:val="0"/>
                <w:kern w:val="0"/>
                <w:sz w:val="24"/>
                <w:szCs w:val="24"/>
                <w:lang w:val="en-US" w:eastAsia="zh-CN" w:bidi="ar-SA"/>
              </w:rPr>
            </w:pPr>
            <w:r>
              <w:rPr>
                <w:rFonts w:hint="default" w:ascii="Times New Roman" w:hAnsi="Times New Roman" w:eastAsia="宋体" w:cs="Times New Roman"/>
                <w:color w:val="auto"/>
                <w:spacing w:val="0"/>
                <w:kern w:val="0"/>
                <w:sz w:val="24"/>
                <w:szCs w:val="24"/>
                <w:lang w:val="en-US" w:eastAsia="zh-CN" w:bidi="ar-SA"/>
              </w:rPr>
              <w:t>根据监测结果可知，厂界昼间噪声最大值为59dB（A）（˂ 65dB（A）），夜间噪声最大值为48dB（A）（˂55dB（A）），因此项目厂界噪声均满足《工业企业厂界环境噪声排放标准》（GB12348-2008）中3类标准。敏感点</w:t>
            </w:r>
            <w:r>
              <w:rPr>
                <w:rFonts w:hint="default" w:ascii="Times New Roman" w:hAnsi="Times New Roman" w:eastAsia="宋体" w:cs="Times New Roman"/>
                <w:b w:val="0"/>
                <w:bCs w:val="0"/>
                <w:color w:val="auto"/>
                <w:spacing w:val="-3"/>
                <w:sz w:val="24"/>
                <w:szCs w:val="24"/>
              </w:rPr>
              <w:t>八里曾家</w:t>
            </w:r>
            <w:r>
              <w:rPr>
                <w:rFonts w:hint="default" w:ascii="Times New Roman" w:hAnsi="Times New Roman" w:eastAsia="宋体" w:cs="Times New Roman"/>
                <w:b w:val="0"/>
                <w:bCs w:val="0"/>
                <w:color w:val="auto"/>
                <w:spacing w:val="-3"/>
                <w:sz w:val="24"/>
                <w:szCs w:val="24"/>
                <w:lang w:eastAsia="zh-CN"/>
              </w:rPr>
              <w:t>昼间</w:t>
            </w:r>
            <w:r>
              <w:rPr>
                <w:rFonts w:hint="default" w:ascii="Times New Roman" w:hAnsi="Times New Roman" w:eastAsia="宋体" w:cs="Times New Roman"/>
                <w:color w:val="auto"/>
                <w:spacing w:val="0"/>
                <w:kern w:val="0"/>
                <w:sz w:val="24"/>
                <w:szCs w:val="24"/>
                <w:lang w:val="en-US" w:eastAsia="zh-CN" w:bidi="ar-SA"/>
              </w:rPr>
              <w:t>噪声最大值为55dB（A）（˂ 60dB（A）），夜间噪声最大值为47dB（A）（˂ 50dB（A）），满足《声环境质量标准》（GB3096-2008）中2类标准。</w:t>
            </w:r>
          </w:p>
          <w:p w14:paraId="5E3669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pPr>
            <w:r>
              <w:rPr>
                <w:rFonts w:hint="eastAsia"/>
                <w:color w:val="auto"/>
                <w:sz w:val="24"/>
              </w:rPr>
              <w:t>（4）固体废物处置</w:t>
            </w:r>
          </w:p>
          <w:p w14:paraId="72D5B0EB">
            <w:pPr>
              <w:pStyle w:val="31"/>
              <w:keepNext/>
              <w:keepLines w:val="0"/>
              <w:pageBreakBefore w:val="0"/>
              <w:widowControl w:val="0"/>
              <w:numPr>
                <w:ilvl w:val="1"/>
                <w:numId w:val="0"/>
              </w:numPr>
              <w:kinsoku/>
              <w:wordWrap/>
              <w:overflowPunct/>
              <w:topLinePunct w:val="0"/>
              <w:autoSpaceDE w:val="0"/>
              <w:autoSpaceDN w:val="0"/>
              <w:bidi w:val="0"/>
              <w:adjustRightInd w:val="0"/>
              <w:snapToGrid w:val="0"/>
              <w:spacing w:line="360" w:lineRule="auto"/>
              <w:ind w:leftChars="0" w:right="0" w:firstLine="480" w:firstLineChars="200"/>
              <w:jc w:val="both"/>
              <w:textAlignment w:val="auto"/>
              <w:rPr>
                <w:rFonts w:hint="eastAsia" w:eastAsia="宋体"/>
                <w:sz w:val="24"/>
                <w:szCs w:val="24"/>
                <w:lang w:val="zh-CN" w:eastAsia="zh-CN"/>
              </w:rPr>
            </w:pPr>
            <w:r>
              <w:rPr>
                <w:rFonts w:hint="eastAsia"/>
                <w:sz w:val="24"/>
                <w:szCs w:val="24"/>
                <w:lang w:eastAsia="zh-CN"/>
              </w:rPr>
              <w:t>固体废物量参考</w:t>
            </w:r>
            <w:r>
              <w:rPr>
                <w:rFonts w:hint="eastAsia"/>
                <w:color w:val="auto"/>
                <w:sz w:val="24"/>
                <w:szCs w:val="24"/>
                <w:highlight w:val="none"/>
              </w:rPr>
              <w:t>《安徽淮宿建材有限公司年产3万吨节能环保木塑型材及深加工扩建项目》</w:t>
            </w:r>
            <w:r>
              <w:rPr>
                <w:rFonts w:hint="eastAsia"/>
                <w:color w:val="auto"/>
                <w:sz w:val="24"/>
                <w:szCs w:val="24"/>
                <w:highlight w:val="none"/>
                <w:lang w:eastAsia="zh-CN"/>
              </w:rPr>
              <w:t>，具体见下表</w:t>
            </w:r>
          </w:p>
          <w:p w14:paraId="06B0E139">
            <w:pPr>
              <w:pStyle w:val="8"/>
              <w:keepNext w:val="0"/>
              <w:keepLines w:val="0"/>
              <w:pageBreakBefore w:val="0"/>
              <w:widowControl w:val="0"/>
              <w:kinsoku/>
              <w:wordWrap/>
              <w:overflowPunct/>
              <w:topLinePunct w:val="0"/>
              <w:autoSpaceDE w:val="0"/>
              <w:autoSpaceDN w:val="0"/>
              <w:bidi w:val="0"/>
              <w:adjustRightInd w:val="0"/>
              <w:snapToGrid w:val="0"/>
              <w:spacing w:line="360" w:lineRule="auto"/>
              <w:ind w:left="0" w:firstLine="0"/>
              <w:jc w:val="center"/>
              <w:textAlignment w:val="baseline"/>
              <w:rPr>
                <w:b/>
                <w:bCs/>
                <w:color w:val="auto"/>
                <w:lang w:val="zh-CN"/>
              </w:rPr>
            </w:pPr>
            <w:r>
              <w:rPr>
                <w:b/>
                <w:bCs/>
                <w:color w:val="auto"/>
                <w:lang w:val="zh-CN"/>
              </w:rPr>
              <w:t>表2.1</w:t>
            </w:r>
            <w:r>
              <w:rPr>
                <w:rFonts w:hint="eastAsia"/>
                <w:b/>
                <w:bCs/>
                <w:color w:val="auto"/>
              </w:rPr>
              <w:t>4</w:t>
            </w:r>
            <w:r>
              <w:rPr>
                <w:b/>
                <w:bCs/>
                <w:color w:val="auto"/>
                <w:lang w:val="zh-CN"/>
              </w:rPr>
              <w:t xml:space="preserve">  固体废物产排污情况一览表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1664"/>
              <w:gridCol w:w="1280"/>
              <w:gridCol w:w="2215"/>
              <w:gridCol w:w="2228"/>
            </w:tblGrid>
            <w:tr w14:paraId="2E1E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9" w:type="pct"/>
                  <w:vAlign w:val="center"/>
                </w:tcPr>
                <w:p w14:paraId="540EAE3C">
                  <w:pPr>
                    <w:adjustRightInd w:val="0"/>
                    <w:snapToGrid w:val="0"/>
                    <w:jc w:val="center"/>
                    <w:rPr>
                      <w:color w:val="auto"/>
                      <w:kern w:val="0"/>
                      <w:szCs w:val="21"/>
                    </w:rPr>
                  </w:pPr>
                  <w:r>
                    <w:rPr>
                      <w:color w:val="auto"/>
                      <w:kern w:val="0"/>
                      <w:szCs w:val="21"/>
                    </w:rPr>
                    <w:t>序号</w:t>
                  </w:r>
                </w:p>
              </w:tc>
              <w:tc>
                <w:tcPr>
                  <w:tcW w:w="984" w:type="pct"/>
                  <w:vAlign w:val="center"/>
                </w:tcPr>
                <w:p w14:paraId="3F3F9034">
                  <w:pPr>
                    <w:adjustRightInd w:val="0"/>
                    <w:snapToGrid w:val="0"/>
                    <w:jc w:val="center"/>
                    <w:rPr>
                      <w:color w:val="auto"/>
                      <w:kern w:val="0"/>
                      <w:szCs w:val="21"/>
                    </w:rPr>
                  </w:pPr>
                  <w:r>
                    <w:rPr>
                      <w:color w:val="auto"/>
                      <w:kern w:val="0"/>
                      <w:szCs w:val="21"/>
                    </w:rPr>
                    <w:t>固废名称</w:t>
                  </w:r>
                </w:p>
              </w:tc>
              <w:tc>
                <w:tcPr>
                  <w:tcW w:w="757" w:type="pct"/>
                  <w:vAlign w:val="center"/>
                </w:tcPr>
                <w:p w14:paraId="06D5484D">
                  <w:pPr>
                    <w:adjustRightInd w:val="0"/>
                    <w:snapToGrid w:val="0"/>
                    <w:jc w:val="center"/>
                    <w:rPr>
                      <w:rFonts w:hint="eastAsia" w:eastAsia="宋体"/>
                      <w:color w:val="auto"/>
                      <w:kern w:val="0"/>
                      <w:szCs w:val="21"/>
                      <w:lang w:eastAsia="zh-CN"/>
                    </w:rPr>
                  </w:pPr>
                  <w:r>
                    <w:rPr>
                      <w:rFonts w:hint="eastAsia"/>
                      <w:color w:val="auto"/>
                      <w:kern w:val="0"/>
                      <w:szCs w:val="21"/>
                      <w:lang w:eastAsia="zh-CN"/>
                    </w:rPr>
                    <w:t>固体废物种类</w:t>
                  </w:r>
                </w:p>
              </w:tc>
              <w:tc>
                <w:tcPr>
                  <w:tcW w:w="1310" w:type="pct"/>
                  <w:vAlign w:val="center"/>
                </w:tcPr>
                <w:p w14:paraId="3902B07B">
                  <w:pPr>
                    <w:adjustRightInd w:val="0"/>
                    <w:snapToGrid w:val="0"/>
                    <w:jc w:val="center"/>
                    <w:rPr>
                      <w:color w:val="auto"/>
                      <w:kern w:val="0"/>
                      <w:szCs w:val="21"/>
                    </w:rPr>
                  </w:pPr>
                  <w:r>
                    <w:rPr>
                      <w:color w:val="auto"/>
                      <w:kern w:val="0"/>
                      <w:szCs w:val="21"/>
                    </w:rPr>
                    <w:t>产生量（t/a）</w:t>
                  </w:r>
                </w:p>
              </w:tc>
              <w:tc>
                <w:tcPr>
                  <w:tcW w:w="1318" w:type="pct"/>
                  <w:vAlign w:val="center"/>
                </w:tcPr>
                <w:p w14:paraId="73B99A6E">
                  <w:pPr>
                    <w:adjustRightInd w:val="0"/>
                    <w:snapToGrid w:val="0"/>
                    <w:jc w:val="center"/>
                    <w:rPr>
                      <w:rFonts w:hint="eastAsia" w:eastAsia="宋体"/>
                      <w:color w:val="auto"/>
                      <w:kern w:val="0"/>
                      <w:szCs w:val="21"/>
                      <w:lang w:eastAsia="zh-CN"/>
                    </w:rPr>
                  </w:pPr>
                  <w:r>
                    <w:rPr>
                      <w:rFonts w:hint="eastAsia"/>
                      <w:color w:val="auto"/>
                      <w:kern w:val="0"/>
                      <w:szCs w:val="21"/>
                      <w:lang w:eastAsia="zh-CN"/>
                    </w:rPr>
                    <w:t>处理方式</w:t>
                  </w:r>
                </w:p>
              </w:tc>
            </w:tr>
            <w:tr w14:paraId="7B53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9" w:type="pct"/>
                  <w:vAlign w:val="center"/>
                </w:tcPr>
                <w:p w14:paraId="67465C4F">
                  <w:pPr>
                    <w:adjustRightInd w:val="0"/>
                    <w:snapToGrid w:val="0"/>
                    <w:jc w:val="center"/>
                    <w:rPr>
                      <w:color w:val="auto"/>
                      <w:kern w:val="0"/>
                      <w:szCs w:val="21"/>
                    </w:rPr>
                  </w:pPr>
                  <w:r>
                    <w:rPr>
                      <w:color w:val="auto"/>
                      <w:kern w:val="0"/>
                      <w:szCs w:val="21"/>
                    </w:rPr>
                    <w:t>1</w:t>
                  </w:r>
                </w:p>
              </w:tc>
              <w:tc>
                <w:tcPr>
                  <w:tcW w:w="984" w:type="pct"/>
                  <w:vAlign w:val="center"/>
                </w:tcPr>
                <w:p w14:paraId="2E6DA184">
                  <w:pPr>
                    <w:jc w:val="center"/>
                    <w:rPr>
                      <w:rFonts w:hint="eastAsia" w:eastAsia="宋体"/>
                      <w:color w:val="auto"/>
                      <w:kern w:val="0"/>
                      <w:szCs w:val="21"/>
                      <w:lang w:eastAsia="zh-CN"/>
                    </w:rPr>
                  </w:pPr>
                  <w:r>
                    <w:rPr>
                      <w:color w:val="auto"/>
                      <w:kern w:val="0"/>
                      <w:szCs w:val="21"/>
                    </w:rPr>
                    <w:t>生活垃圾</w:t>
                  </w:r>
                </w:p>
              </w:tc>
              <w:tc>
                <w:tcPr>
                  <w:tcW w:w="757" w:type="pct"/>
                  <w:vMerge w:val="restart"/>
                  <w:vAlign w:val="center"/>
                </w:tcPr>
                <w:p w14:paraId="03AE75CB">
                  <w:pPr>
                    <w:adjustRightInd w:val="0"/>
                    <w:snapToGrid w:val="0"/>
                    <w:jc w:val="center"/>
                    <w:rPr>
                      <w:color w:val="auto"/>
                      <w:kern w:val="0"/>
                      <w:szCs w:val="21"/>
                    </w:rPr>
                  </w:pPr>
                  <w:r>
                    <w:rPr>
                      <w:color w:val="auto"/>
                      <w:kern w:val="0"/>
                      <w:szCs w:val="21"/>
                    </w:rPr>
                    <w:t>一般</w:t>
                  </w:r>
                </w:p>
                <w:p w14:paraId="643C1B57">
                  <w:pPr>
                    <w:adjustRightInd w:val="0"/>
                    <w:snapToGrid w:val="0"/>
                    <w:jc w:val="center"/>
                    <w:rPr>
                      <w:color w:val="auto"/>
                      <w:kern w:val="0"/>
                      <w:szCs w:val="21"/>
                    </w:rPr>
                  </w:pPr>
                  <w:r>
                    <w:rPr>
                      <w:color w:val="auto"/>
                      <w:kern w:val="0"/>
                      <w:szCs w:val="21"/>
                    </w:rPr>
                    <w:t>固废</w:t>
                  </w:r>
                </w:p>
              </w:tc>
              <w:tc>
                <w:tcPr>
                  <w:tcW w:w="1310" w:type="pct"/>
                  <w:vAlign w:val="center"/>
                </w:tcPr>
                <w:p w14:paraId="3BDA0922">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default" w:eastAsia="宋体"/>
                      <w:color w:val="auto"/>
                      <w:kern w:val="0"/>
                      <w:szCs w:val="21"/>
                      <w:lang w:val="en-US" w:eastAsia="zh-CN"/>
                    </w:rPr>
                  </w:pPr>
                  <w:r>
                    <w:rPr>
                      <w:rFonts w:hint="eastAsia" w:cs="Times New Roman" w:eastAsiaTheme="minorEastAsia"/>
                      <w:color w:val="auto"/>
                      <w:sz w:val="21"/>
                      <w:szCs w:val="21"/>
                      <w:lang w:val="en-US" w:eastAsia="zh-CN"/>
                    </w:rPr>
                    <w:t>11.55</w:t>
                  </w:r>
                </w:p>
              </w:tc>
              <w:tc>
                <w:tcPr>
                  <w:tcW w:w="1318" w:type="pct"/>
                  <w:vAlign w:val="center"/>
                </w:tcPr>
                <w:p w14:paraId="0D2406DC">
                  <w:pPr>
                    <w:spacing w:line="240" w:lineRule="exact"/>
                    <w:jc w:val="center"/>
                    <w:rPr>
                      <w:rFonts w:hint="eastAsia" w:eastAsia="宋体"/>
                      <w:color w:val="auto"/>
                      <w:kern w:val="0"/>
                      <w:szCs w:val="21"/>
                      <w:lang w:eastAsia="zh-CN"/>
                    </w:rPr>
                  </w:pPr>
                  <w:r>
                    <w:rPr>
                      <w:rFonts w:hint="eastAsia"/>
                      <w:color w:val="auto"/>
                      <w:kern w:val="0"/>
                      <w:szCs w:val="21"/>
                      <w:lang w:eastAsia="zh-CN"/>
                    </w:rPr>
                    <w:t>环卫部门清运处理</w:t>
                  </w:r>
                </w:p>
              </w:tc>
            </w:tr>
            <w:tr w14:paraId="60479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9" w:type="pct"/>
                  <w:vAlign w:val="center"/>
                </w:tcPr>
                <w:p w14:paraId="372F0E03">
                  <w:pPr>
                    <w:adjustRightInd w:val="0"/>
                    <w:snapToGrid w:val="0"/>
                    <w:jc w:val="center"/>
                    <w:rPr>
                      <w:color w:val="auto"/>
                      <w:kern w:val="0"/>
                      <w:szCs w:val="21"/>
                    </w:rPr>
                  </w:pPr>
                  <w:r>
                    <w:rPr>
                      <w:rFonts w:hint="eastAsia"/>
                      <w:color w:val="auto"/>
                      <w:kern w:val="0"/>
                      <w:szCs w:val="21"/>
                      <w:lang w:val="en-US" w:eastAsia="zh-CN"/>
                    </w:rPr>
                    <w:t>2</w:t>
                  </w:r>
                </w:p>
              </w:tc>
              <w:tc>
                <w:tcPr>
                  <w:tcW w:w="984" w:type="pct"/>
                  <w:vAlign w:val="center"/>
                </w:tcPr>
                <w:p w14:paraId="5CFCA1D7">
                  <w:pPr>
                    <w:jc w:val="center"/>
                    <w:rPr>
                      <w:color w:val="auto"/>
                      <w:kern w:val="0"/>
                      <w:szCs w:val="21"/>
                    </w:rPr>
                  </w:pPr>
                  <w:r>
                    <w:rPr>
                      <w:rFonts w:hint="eastAsia"/>
                      <w:color w:val="auto"/>
                      <w:szCs w:val="21"/>
                      <w:lang w:eastAsia="zh-CN"/>
                    </w:rPr>
                    <w:t>废边角料</w:t>
                  </w:r>
                </w:p>
              </w:tc>
              <w:tc>
                <w:tcPr>
                  <w:tcW w:w="757" w:type="pct"/>
                  <w:vMerge w:val="continue"/>
                  <w:vAlign w:val="center"/>
                </w:tcPr>
                <w:p w14:paraId="7A4BEF68">
                  <w:pPr>
                    <w:adjustRightInd w:val="0"/>
                    <w:snapToGrid w:val="0"/>
                    <w:jc w:val="center"/>
                    <w:rPr>
                      <w:color w:val="auto"/>
                      <w:kern w:val="0"/>
                      <w:szCs w:val="21"/>
                    </w:rPr>
                  </w:pPr>
                </w:p>
              </w:tc>
              <w:tc>
                <w:tcPr>
                  <w:tcW w:w="1310" w:type="pct"/>
                  <w:vAlign w:val="center"/>
                </w:tcPr>
                <w:p w14:paraId="34FE7B46">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default"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3.4</w:t>
                  </w:r>
                </w:p>
              </w:tc>
              <w:tc>
                <w:tcPr>
                  <w:tcW w:w="1318" w:type="pct"/>
                  <w:vMerge w:val="restart"/>
                  <w:vAlign w:val="center"/>
                </w:tcPr>
                <w:p w14:paraId="4A01A4C3">
                  <w:pPr>
                    <w:spacing w:line="240" w:lineRule="exact"/>
                    <w:jc w:val="center"/>
                    <w:rPr>
                      <w:rFonts w:hint="eastAsia"/>
                      <w:color w:val="auto"/>
                      <w:kern w:val="0"/>
                      <w:szCs w:val="21"/>
                      <w:lang w:eastAsia="zh-CN"/>
                    </w:rPr>
                  </w:pPr>
                  <w:r>
                    <w:rPr>
                      <w:rFonts w:hint="eastAsia"/>
                      <w:color w:val="auto"/>
                      <w:kern w:val="0"/>
                      <w:szCs w:val="21"/>
                      <w:lang w:eastAsia="zh-CN"/>
                    </w:rPr>
                    <w:t>暂存于固废暂存间，外售处理。</w:t>
                  </w:r>
                </w:p>
              </w:tc>
            </w:tr>
            <w:tr w14:paraId="5696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9" w:type="pct"/>
                  <w:vAlign w:val="center"/>
                </w:tcPr>
                <w:p w14:paraId="7A97A60A">
                  <w:pPr>
                    <w:adjustRightInd w:val="0"/>
                    <w:snapToGrid w:val="0"/>
                    <w:jc w:val="center"/>
                    <w:rPr>
                      <w:color w:val="auto"/>
                      <w:kern w:val="0"/>
                      <w:szCs w:val="21"/>
                    </w:rPr>
                  </w:pPr>
                  <w:r>
                    <w:rPr>
                      <w:rFonts w:hint="eastAsia"/>
                      <w:color w:val="auto"/>
                      <w:kern w:val="0"/>
                      <w:szCs w:val="21"/>
                      <w:lang w:val="en-US" w:eastAsia="zh-CN"/>
                    </w:rPr>
                    <w:t>3</w:t>
                  </w:r>
                </w:p>
              </w:tc>
              <w:tc>
                <w:tcPr>
                  <w:tcW w:w="984" w:type="pct"/>
                  <w:vAlign w:val="center"/>
                </w:tcPr>
                <w:p w14:paraId="363B17E7">
                  <w:pPr>
                    <w:jc w:val="center"/>
                    <w:rPr>
                      <w:rFonts w:hint="eastAsia" w:eastAsia="宋体"/>
                      <w:color w:val="auto"/>
                      <w:kern w:val="0"/>
                      <w:szCs w:val="21"/>
                      <w:lang w:eastAsia="zh-CN"/>
                    </w:rPr>
                  </w:pPr>
                  <w:r>
                    <w:rPr>
                      <w:rFonts w:hint="eastAsia"/>
                      <w:color w:val="auto"/>
                      <w:kern w:val="0"/>
                      <w:szCs w:val="21"/>
                      <w:lang w:eastAsia="zh-CN"/>
                    </w:rPr>
                    <w:t>不合格品</w:t>
                  </w:r>
                </w:p>
              </w:tc>
              <w:tc>
                <w:tcPr>
                  <w:tcW w:w="757" w:type="pct"/>
                  <w:vMerge w:val="continue"/>
                  <w:vAlign w:val="center"/>
                </w:tcPr>
                <w:p w14:paraId="0EF2C67C">
                  <w:pPr>
                    <w:adjustRightInd w:val="0"/>
                    <w:snapToGrid w:val="0"/>
                    <w:jc w:val="center"/>
                    <w:rPr>
                      <w:color w:val="auto"/>
                      <w:kern w:val="0"/>
                      <w:szCs w:val="21"/>
                    </w:rPr>
                  </w:pPr>
                </w:p>
              </w:tc>
              <w:tc>
                <w:tcPr>
                  <w:tcW w:w="1310" w:type="pct"/>
                  <w:vAlign w:val="center"/>
                </w:tcPr>
                <w:p w14:paraId="322C2588">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default"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3</w:t>
                  </w:r>
                </w:p>
              </w:tc>
              <w:tc>
                <w:tcPr>
                  <w:tcW w:w="1318" w:type="pct"/>
                  <w:vMerge w:val="continue"/>
                  <w:vAlign w:val="center"/>
                </w:tcPr>
                <w:p w14:paraId="5B23A5A9">
                  <w:pPr>
                    <w:spacing w:line="240" w:lineRule="exact"/>
                    <w:jc w:val="center"/>
                    <w:rPr>
                      <w:rFonts w:hint="eastAsia"/>
                      <w:color w:val="auto"/>
                      <w:kern w:val="0"/>
                      <w:szCs w:val="21"/>
                      <w:lang w:eastAsia="zh-CN"/>
                    </w:rPr>
                  </w:pPr>
                </w:p>
              </w:tc>
            </w:tr>
            <w:tr w14:paraId="2D186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9" w:type="pct"/>
                  <w:vAlign w:val="center"/>
                </w:tcPr>
                <w:p w14:paraId="28A75032">
                  <w:pPr>
                    <w:adjustRightInd w:val="0"/>
                    <w:snapToGrid w:val="0"/>
                    <w:jc w:val="center"/>
                    <w:rPr>
                      <w:color w:val="auto"/>
                      <w:kern w:val="0"/>
                      <w:szCs w:val="21"/>
                    </w:rPr>
                  </w:pPr>
                  <w:r>
                    <w:rPr>
                      <w:rFonts w:hint="eastAsia"/>
                      <w:color w:val="auto"/>
                      <w:kern w:val="0"/>
                      <w:szCs w:val="21"/>
                      <w:lang w:val="en-US" w:eastAsia="zh-CN"/>
                    </w:rPr>
                    <w:t>4</w:t>
                  </w:r>
                </w:p>
              </w:tc>
              <w:tc>
                <w:tcPr>
                  <w:tcW w:w="984" w:type="pct"/>
                  <w:vAlign w:val="center"/>
                </w:tcPr>
                <w:p w14:paraId="4491536C">
                  <w:pPr>
                    <w:jc w:val="center"/>
                    <w:rPr>
                      <w:rFonts w:hint="eastAsia" w:eastAsia="宋体"/>
                      <w:color w:val="auto"/>
                      <w:kern w:val="0"/>
                      <w:szCs w:val="21"/>
                      <w:lang w:eastAsia="zh-CN"/>
                    </w:rPr>
                  </w:pPr>
                  <w:r>
                    <w:rPr>
                      <w:rFonts w:hint="eastAsia"/>
                      <w:color w:val="auto"/>
                      <w:kern w:val="0"/>
                      <w:szCs w:val="21"/>
                      <w:lang w:eastAsia="zh-CN"/>
                    </w:rPr>
                    <w:t>除尘器收集粉尘</w:t>
                  </w:r>
                </w:p>
              </w:tc>
              <w:tc>
                <w:tcPr>
                  <w:tcW w:w="757" w:type="pct"/>
                  <w:vMerge w:val="continue"/>
                  <w:vAlign w:val="center"/>
                </w:tcPr>
                <w:p w14:paraId="7FED7D45">
                  <w:pPr>
                    <w:adjustRightInd w:val="0"/>
                    <w:snapToGrid w:val="0"/>
                    <w:jc w:val="center"/>
                    <w:rPr>
                      <w:color w:val="auto"/>
                      <w:kern w:val="0"/>
                      <w:szCs w:val="21"/>
                    </w:rPr>
                  </w:pPr>
                </w:p>
              </w:tc>
              <w:tc>
                <w:tcPr>
                  <w:tcW w:w="1310" w:type="pct"/>
                  <w:vAlign w:val="center"/>
                </w:tcPr>
                <w:p w14:paraId="37AA09DC">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default"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54.54</w:t>
                  </w:r>
                </w:p>
              </w:tc>
              <w:tc>
                <w:tcPr>
                  <w:tcW w:w="1318" w:type="pct"/>
                  <w:vMerge w:val="continue"/>
                  <w:vAlign w:val="center"/>
                </w:tcPr>
                <w:p w14:paraId="4B2C831E">
                  <w:pPr>
                    <w:spacing w:line="240" w:lineRule="exact"/>
                    <w:jc w:val="center"/>
                    <w:rPr>
                      <w:rFonts w:hint="eastAsia"/>
                      <w:color w:val="auto"/>
                      <w:kern w:val="0"/>
                      <w:szCs w:val="21"/>
                      <w:lang w:eastAsia="zh-CN"/>
                    </w:rPr>
                  </w:pPr>
                </w:p>
              </w:tc>
            </w:tr>
            <w:tr w14:paraId="0F1F8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9" w:type="pct"/>
                  <w:vAlign w:val="center"/>
                </w:tcPr>
                <w:p w14:paraId="3A244716">
                  <w:pPr>
                    <w:adjustRightInd w:val="0"/>
                    <w:snapToGrid w:val="0"/>
                    <w:jc w:val="center"/>
                    <w:rPr>
                      <w:color w:val="auto"/>
                      <w:kern w:val="0"/>
                      <w:szCs w:val="21"/>
                    </w:rPr>
                  </w:pPr>
                  <w:r>
                    <w:rPr>
                      <w:rFonts w:hint="eastAsia"/>
                      <w:color w:val="auto"/>
                      <w:kern w:val="0"/>
                      <w:szCs w:val="21"/>
                      <w:lang w:val="en-US" w:eastAsia="zh-CN"/>
                    </w:rPr>
                    <w:t>5</w:t>
                  </w:r>
                </w:p>
              </w:tc>
              <w:tc>
                <w:tcPr>
                  <w:tcW w:w="984" w:type="pct"/>
                  <w:vAlign w:val="center"/>
                </w:tcPr>
                <w:p w14:paraId="59E3CD01">
                  <w:pPr>
                    <w:jc w:val="center"/>
                    <w:rPr>
                      <w:rFonts w:hint="eastAsia" w:eastAsia="宋体"/>
                      <w:color w:val="auto"/>
                      <w:kern w:val="0"/>
                      <w:szCs w:val="21"/>
                      <w:lang w:eastAsia="zh-CN"/>
                    </w:rPr>
                  </w:pPr>
                  <w:r>
                    <w:rPr>
                      <w:rFonts w:hint="eastAsia"/>
                      <w:color w:val="auto"/>
                      <w:kern w:val="0"/>
                      <w:szCs w:val="21"/>
                      <w:lang w:eastAsia="zh-CN"/>
                    </w:rPr>
                    <w:t>废包装物</w:t>
                  </w:r>
                </w:p>
              </w:tc>
              <w:tc>
                <w:tcPr>
                  <w:tcW w:w="757" w:type="pct"/>
                  <w:vMerge w:val="continue"/>
                  <w:vAlign w:val="center"/>
                </w:tcPr>
                <w:p w14:paraId="481B67E6">
                  <w:pPr>
                    <w:adjustRightInd w:val="0"/>
                    <w:snapToGrid w:val="0"/>
                    <w:jc w:val="center"/>
                    <w:rPr>
                      <w:color w:val="auto"/>
                      <w:kern w:val="0"/>
                      <w:szCs w:val="21"/>
                    </w:rPr>
                  </w:pPr>
                </w:p>
              </w:tc>
              <w:tc>
                <w:tcPr>
                  <w:tcW w:w="1310" w:type="pct"/>
                  <w:vAlign w:val="center"/>
                </w:tcPr>
                <w:p w14:paraId="635B053D">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default" w:cs="Times New Roman" w:eastAsiaTheme="minorEastAsia"/>
                      <w:color w:val="auto"/>
                      <w:sz w:val="21"/>
                      <w:szCs w:val="21"/>
                      <w:lang w:val="en-US" w:eastAsia="zh-CN"/>
                    </w:rPr>
                  </w:pPr>
                  <w:r>
                    <w:rPr>
                      <w:rFonts w:hint="eastAsia" w:cs="Times New Roman" w:eastAsiaTheme="minorEastAsia"/>
                      <w:color w:val="auto"/>
                      <w:sz w:val="21"/>
                      <w:szCs w:val="21"/>
                      <w:lang w:val="en-US" w:eastAsia="zh-CN"/>
                    </w:rPr>
                    <w:t>0.2</w:t>
                  </w:r>
                </w:p>
              </w:tc>
              <w:tc>
                <w:tcPr>
                  <w:tcW w:w="1318" w:type="pct"/>
                  <w:vMerge w:val="continue"/>
                  <w:vAlign w:val="center"/>
                </w:tcPr>
                <w:p w14:paraId="1F1BA45C">
                  <w:pPr>
                    <w:spacing w:line="240" w:lineRule="exact"/>
                    <w:jc w:val="center"/>
                    <w:rPr>
                      <w:rFonts w:hint="eastAsia"/>
                      <w:color w:val="auto"/>
                      <w:kern w:val="0"/>
                      <w:szCs w:val="21"/>
                      <w:lang w:eastAsia="zh-CN"/>
                    </w:rPr>
                  </w:pPr>
                </w:p>
              </w:tc>
            </w:tr>
            <w:tr w14:paraId="5D5DF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9" w:type="pct"/>
                  <w:vAlign w:val="center"/>
                </w:tcPr>
                <w:p w14:paraId="4784F246">
                  <w:pPr>
                    <w:adjustRightInd w:val="0"/>
                    <w:snapToGrid w:val="0"/>
                    <w:jc w:val="center"/>
                    <w:rPr>
                      <w:rFonts w:hint="default" w:eastAsia="宋体"/>
                      <w:color w:val="auto"/>
                      <w:kern w:val="0"/>
                      <w:szCs w:val="21"/>
                      <w:lang w:val="en-US" w:eastAsia="zh-CN"/>
                    </w:rPr>
                  </w:pPr>
                  <w:r>
                    <w:rPr>
                      <w:rFonts w:hint="eastAsia"/>
                      <w:color w:val="auto"/>
                      <w:kern w:val="0"/>
                      <w:szCs w:val="21"/>
                      <w:lang w:val="en-US" w:eastAsia="zh-CN"/>
                    </w:rPr>
                    <w:t>6</w:t>
                  </w:r>
                </w:p>
              </w:tc>
              <w:tc>
                <w:tcPr>
                  <w:tcW w:w="984" w:type="pct"/>
                  <w:vAlign w:val="center"/>
                </w:tcPr>
                <w:p w14:paraId="6B3ECB62">
                  <w:pPr>
                    <w:jc w:val="center"/>
                    <w:rPr>
                      <w:rFonts w:hint="eastAsia" w:eastAsia="宋体"/>
                      <w:color w:val="auto"/>
                      <w:szCs w:val="21"/>
                      <w:lang w:eastAsia="zh-CN"/>
                    </w:rPr>
                  </w:pPr>
                  <w:r>
                    <w:rPr>
                      <w:rFonts w:hint="eastAsia"/>
                      <w:color w:val="auto"/>
                      <w:szCs w:val="21"/>
                      <w:lang w:eastAsia="zh-CN"/>
                    </w:rPr>
                    <w:t>废活性炭</w:t>
                  </w:r>
                </w:p>
              </w:tc>
              <w:tc>
                <w:tcPr>
                  <w:tcW w:w="757" w:type="pct"/>
                  <w:vMerge w:val="restart"/>
                  <w:vAlign w:val="center"/>
                </w:tcPr>
                <w:p w14:paraId="6E6293E9">
                  <w:pPr>
                    <w:adjustRightInd w:val="0"/>
                    <w:snapToGrid w:val="0"/>
                    <w:jc w:val="center"/>
                    <w:rPr>
                      <w:rFonts w:hint="eastAsia" w:eastAsia="宋体"/>
                      <w:color w:val="auto"/>
                      <w:kern w:val="0"/>
                      <w:szCs w:val="21"/>
                      <w:lang w:eastAsia="zh-CN"/>
                    </w:rPr>
                  </w:pPr>
                  <w:r>
                    <w:rPr>
                      <w:rFonts w:hint="eastAsia"/>
                      <w:color w:val="auto"/>
                      <w:kern w:val="0"/>
                      <w:szCs w:val="21"/>
                      <w:lang w:eastAsia="zh-CN"/>
                    </w:rPr>
                    <w:t>危险废物</w:t>
                  </w:r>
                </w:p>
              </w:tc>
              <w:tc>
                <w:tcPr>
                  <w:tcW w:w="1310" w:type="pct"/>
                  <w:vAlign w:val="center"/>
                </w:tcPr>
                <w:p w14:paraId="206B39D6">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default" w:eastAsia="宋体"/>
                      <w:color w:val="auto"/>
                      <w:kern w:val="0"/>
                      <w:szCs w:val="21"/>
                      <w:lang w:val="en-US" w:eastAsia="zh-CN"/>
                    </w:rPr>
                  </w:pPr>
                  <w:r>
                    <w:rPr>
                      <w:rFonts w:hint="eastAsia" w:cs="Times New Roman"/>
                      <w:b w:val="0"/>
                      <w:bCs w:val="0"/>
                      <w:color w:val="auto"/>
                      <w:kern w:val="2"/>
                      <w:sz w:val="21"/>
                      <w:szCs w:val="21"/>
                      <w:highlight w:val="none"/>
                      <w:vertAlign w:val="baseline"/>
                      <w:lang w:val="en-US" w:eastAsia="zh-CN" w:bidi="ar-SA"/>
                    </w:rPr>
                    <w:t>36.576</w:t>
                  </w:r>
                </w:p>
              </w:tc>
              <w:tc>
                <w:tcPr>
                  <w:tcW w:w="1318" w:type="pct"/>
                  <w:vMerge w:val="restart"/>
                  <w:vAlign w:val="center"/>
                </w:tcPr>
                <w:p w14:paraId="7430E116">
                  <w:pPr>
                    <w:spacing w:line="240" w:lineRule="exact"/>
                    <w:jc w:val="center"/>
                    <w:rPr>
                      <w:rFonts w:hint="eastAsia" w:eastAsia="宋体"/>
                      <w:color w:val="auto"/>
                      <w:kern w:val="0"/>
                      <w:szCs w:val="21"/>
                      <w:lang w:eastAsia="zh-CN"/>
                    </w:rPr>
                  </w:pPr>
                  <w:r>
                    <w:rPr>
                      <w:rFonts w:hint="default" w:ascii="Times New Roman" w:hAnsi="Times New Roman" w:eastAsia="宋体" w:cs="Times New Roman"/>
                      <w:color w:val="000000"/>
                      <w:kern w:val="0"/>
                      <w:sz w:val="21"/>
                      <w:szCs w:val="21"/>
                      <w:lang w:val="en-US" w:eastAsia="zh-CN" w:bidi="ar"/>
                    </w:rPr>
                    <w:t>收集至</w:t>
                  </w:r>
                  <w:r>
                    <w:rPr>
                      <w:rFonts w:hint="eastAsia" w:cs="Times New Roman"/>
                      <w:color w:val="000000"/>
                      <w:kern w:val="0"/>
                      <w:sz w:val="21"/>
                      <w:szCs w:val="21"/>
                      <w:lang w:val="en-US" w:eastAsia="zh-CN" w:bidi="ar"/>
                    </w:rPr>
                    <w:t>危废暂存间</w:t>
                  </w:r>
                  <w:r>
                    <w:rPr>
                      <w:rFonts w:hint="eastAsia" w:ascii="Times New Roman" w:hAnsi="Times New Roman" w:eastAsia="宋体" w:cs="Times New Roman"/>
                      <w:color w:val="000000"/>
                      <w:kern w:val="0"/>
                      <w:sz w:val="21"/>
                      <w:szCs w:val="21"/>
                      <w:lang w:val="en-US" w:eastAsia="zh-CN" w:bidi="ar"/>
                    </w:rPr>
                    <w:t>暂存</w:t>
                  </w:r>
                </w:p>
              </w:tc>
            </w:tr>
            <w:tr w14:paraId="1DA0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629" w:type="pct"/>
                  <w:vAlign w:val="center"/>
                </w:tcPr>
                <w:p w14:paraId="51D2AE05">
                  <w:pPr>
                    <w:adjustRightInd w:val="0"/>
                    <w:snapToGrid w:val="0"/>
                    <w:jc w:val="center"/>
                    <w:rPr>
                      <w:rFonts w:hint="default" w:eastAsia="宋体"/>
                      <w:color w:val="auto"/>
                      <w:kern w:val="0"/>
                      <w:szCs w:val="21"/>
                      <w:lang w:val="en-US" w:eastAsia="zh-CN"/>
                    </w:rPr>
                  </w:pPr>
                  <w:r>
                    <w:rPr>
                      <w:rFonts w:hint="eastAsia"/>
                      <w:color w:val="auto"/>
                      <w:kern w:val="0"/>
                      <w:szCs w:val="21"/>
                      <w:lang w:val="en-US" w:eastAsia="zh-CN"/>
                    </w:rPr>
                    <w:t>7</w:t>
                  </w:r>
                </w:p>
              </w:tc>
              <w:tc>
                <w:tcPr>
                  <w:tcW w:w="984" w:type="pct"/>
                  <w:vAlign w:val="center"/>
                </w:tcPr>
                <w:p w14:paraId="42A42383">
                  <w:pPr>
                    <w:jc w:val="center"/>
                    <w:rPr>
                      <w:bCs/>
                      <w:color w:val="auto"/>
                      <w:szCs w:val="21"/>
                    </w:rPr>
                  </w:pPr>
                  <w:r>
                    <w:rPr>
                      <w:rFonts w:hint="eastAsia"/>
                      <w:color w:val="auto"/>
                      <w:szCs w:val="21"/>
                      <w:lang w:eastAsia="zh-CN"/>
                    </w:rPr>
                    <w:t>废机油</w:t>
                  </w:r>
                </w:p>
              </w:tc>
              <w:tc>
                <w:tcPr>
                  <w:tcW w:w="757" w:type="pct"/>
                  <w:vMerge w:val="continue"/>
                  <w:vAlign w:val="center"/>
                </w:tcPr>
                <w:p w14:paraId="421CA44F">
                  <w:pPr>
                    <w:adjustRightInd w:val="0"/>
                    <w:snapToGrid w:val="0"/>
                    <w:jc w:val="center"/>
                    <w:rPr>
                      <w:color w:val="auto"/>
                      <w:kern w:val="0"/>
                      <w:szCs w:val="21"/>
                    </w:rPr>
                  </w:pPr>
                </w:p>
              </w:tc>
              <w:tc>
                <w:tcPr>
                  <w:tcW w:w="1310" w:type="pct"/>
                  <w:vAlign w:val="center"/>
                </w:tcPr>
                <w:p w14:paraId="7ABDCDDF">
                  <w:pPr>
                    <w:keepNext w:val="0"/>
                    <w:keepLines w:val="0"/>
                    <w:pageBreakBefore w:val="0"/>
                    <w:widowControl w:val="0"/>
                    <w:kinsoku/>
                    <w:wordWrap/>
                    <w:overflowPunct/>
                    <w:topLinePunct w:val="0"/>
                    <w:autoSpaceDE/>
                    <w:autoSpaceDN/>
                    <w:bidi w:val="0"/>
                    <w:spacing w:line="240" w:lineRule="auto"/>
                    <w:jc w:val="center"/>
                    <w:textAlignment w:val="auto"/>
                    <w:rPr>
                      <w:rFonts w:hint="default" w:eastAsia="宋体"/>
                      <w:color w:val="auto"/>
                      <w:kern w:val="0"/>
                      <w:szCs w:val="21"/>
                      <w:lang w:val="en-US" w:eastAsia="zh-CN"/>
                    </w:rPr>
                  </w:pPr>
                  <w:r>
                    <w:rPr>
                      <w:rFonts w:hint="eastAsia" w:cs="Times New Roman"/>
                      <w:b w:val="0"/>
                      <w:bCs w:val="0"/>
                      <w:color w:val="auto"/>
                      <w:kern w:val="2"/>
                      <w:sz w:val="21"/>
                      <w:szCs w:val="21"/>
                      <w:highlight w:val="none"/>
                      <w:vertAlign w:val="baseline"/>
                      <w:lang w:val="en-US" w:eastAsia="zh-CN" w:bidi="ar-SA"/>
                    </w:rPr>
                    <w:t>0.05</w:t>
                  </w:r>
                </w:p>
              </w:tc>
              <w:tc>
                <w:tcPr>
                  <w:tcW w:w="1318" w:type="pct"/>
                  <w:vMerge w:val="continue"/>
                  <w:vAlign w:val="center"/>
                </w:tcPr>
                <w:p w14:paraId="53DE07DE">
                  <w:pPr>
                    <w:spacing w:line="240" w:lineRule="exact"/>
                    <w:jc w:val="center"/>
                    <w:rPr>
                      <w:color w:val="auto"/>
                      <w:kern w:val="0"/>
                      <w:szCs w:val="21"/>
                    </w:rPr>
                  </w:pPr>
                </w:p>
              </w:tc>
            </w:tr>
            <w:tr w14:paraId="61EF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9" w:type="pct"/>
                  <w:vAlign w:val="center"/>
                </w:tcPr>
                <w:p w14:paraId="2BD44AB0">
                  <w:pPr>
                    <w:adjustRightInd w:val="0"/>
                    <w:snapToGrid w:val="0"/>
                    <w:jc w:val="center"/>
                    <w:rPr>
                      <w:rFonts w:hint="default" w:eastAsia="宋体"/>
                      <w:color w:val="auto"/>
                      <w:kern w:val="0"/>
                      <w:szCs w:val="21"/>
                      <w:lang w:val="en-US" w:eastAsia="zh-CN"/>
                    </w:rPr>
                  </w:pPr>
                  <w:r>
                    <w:rPr>
                      <w:rFonts w:hint="eastAsia"/>
                      <w:color w:val="auto"/>
                      <w:kern w:val="0"/>
                      <w:szCs w:val="21"/>
                      <w:lang w:val="en-US" w:eastAsia="zh-CN"/>
                    </w:rPr>
                    <w:t>8</w:t>
                  </w:r>
                </w:p>
              </w:tc>
              <w:tc>
                <w:tcPr>
                  <w:tcW w:w="984" w:type="pct"/>
                  <w:vAlign w:val="center"/>
                </w:tcPr>
                <w:p w14:paraId="73442C5F">
                  <w:pPr>
                    <w:jc w:val="center"/>
                    <w:rPr>
                      <w:color w:val="auto"/>
                      <w:kern w:val="0"/>
                      <w:szCs w:val="21"/>
                    </w:rPr>
                  </w:pPr>
                  <w:r>
                    <w:rPr>
                      <w:rFonts w:hint="eastAsia"/>
                      <w:color w:val="auto"/>
                      <w:szCs w:val="21"/>
                      <w:lang w:eastAsia="zh-CN"/>
                    </w:rPr>
                    <w:t>废机油桶</w:t>
                  </w:r>
                </w:p>
              </w:tc>
              <w:tc>
                <w:tcPr>
                  <w:tcW w:w="757" w:type="pct"/>
                  <w:vMerge w:val="continue"/>
                  <w:vAlign w:val="center"/>
                </w:tcPr>
                <w:p w14:paraId="490BB1D8">
                  <w:pPr>
                    <w:adjustRightInd w:val="0"/>
                    <w:snapToGrid w:val="0"/>
                    <w:jc w:val="center"/>
                    <w:rPr>
                      <w:rFonts w:hint="eastAsia" w:eastAsia="宋体"/>
                      <w:color w:val="auto"/>
                      <w:kern w:val="0"/>
                      <w:szCs w:val="21"/>
                      <w:lang w:eastAsia="zh-CN"/>
                    </w:rPr>
                  </w:pPr>
                </w:p>
              </w:tc>
              <w:tc>
                <w:tcPr>
                  <w:tcW w:w="1310" w:type="pct"/>
                  <w:vAlign w:val="center"/>
                </w:tcPr>
                <w:p w14:paraId="3F4529C2">
                  <w:pPr>
                    <w:keepNext w:val="0"/>
                    <w:keepLines w:val="0"/>
                    <w:pageBreakBefore w:val="0"/>
                    <w:widowControl w:val="0"/>
                    <w:kinsoku/>
                    <w:wordWrap/>
                    <w:overflowPunct/>
                    <w:topLinePunct w:val="0"/>
                    <w:autoSpaceDE/>
                    <w:autoSpaceDN/>
                    <w:bidi w:val="0"/>
                    <w:spacing w:line="240" w:lineRule="auto"/>
                    <w:jc w:val="center"/>
                    <w:textAlignment w:val="auto"/>
                    <w:rPr>
                      <w:rFonts w:hint="default" w:eastAsia="宋体"/>
                      <w:color w:val="auto"/>
                      <w:kern w:val="0"/>
                      <w:szCs w:val="21"/>
                      <w:lang w:val="en-US" w:eastAsia="zh-CN"/>
                    </w:rPr>
                  </w:pPr>
                  <w:r>
                    <w:rPr>
                      <w:rFonts w:hint="eastAsia" w:cs="Times New Roman"/>
                      <w:color w:val="auto"/>
                      <w:kern w:val="0"/>
                      <w:sz w:val="21"/>
                      <w:szCs w:val="21"/>
                      <w:lang w:val="en-US" w:eastAsia="zh-CN" w:bidi="ar-SA"/>
                    </w:rPr>
                    <w:t>0.02</w:t>
                  </w:r>
                </w:p>
              </w:tc>
              <w:tc>
                <w:tcPr>
                  <w:tcW w:w="1318" w:type="pct"/>
                  <w:vMerge w:val="continue"/>
                  <w:vAlign w:val="center"/>
                </w:tcPr>
                <w:p w14:paraId="0376A60D">
                  <w:pPr>
                    <w:spacing w:line="240" w:lineRule="exact"/>
                    <w:jc w:val="center"/>
                    <w:rPr>
                      <w:rFonts w:hint="eastAsia" w:eastAsia="宋体"/>
                      <w:color w:val="auto"/>
                      <w:kern w:val="0"/>
                      <w:szCs w:val="21"/>
                      <w:lang w:eastAsia="zh-CN"/>
                    </w:rPr>
                  </w:pPr>
                </w:p>
              </w:tc>
            </w:tr>
          </w:tbl>
          <w:p w14:paraId="2BEF4535">
            <w:pPr>
              <w:pStyle w:val="8"/>
              <w:keepNext w:val="0"/>
              <w:keepLines w:val="0"/>
              <w:pageBreakBefore w:val="0"/>
              <w:widowControl w:val="0"/>
              <w:kinsoku/>
              <w:wordWrap/>
              <w:overflowPunct/>
              <w:topLinePunct w:val="0"/>
              <w:autoSpaceDE w:val="0"/>
              <w:autoSpaceDN w:val="0"/>
              <w:bidi w:val="0"/>
              <w:adjustRightInd w:val="0"/>
              <w:snapToGrid w:val="0"/>
              <w:spacing w:line="360" w:lineRule="auto"/>
              <w:ind w:left="0" w:firstLine="0"/>
              <w:jc w:val="center"/>
              <w:textAlignment w:val="baseline"/>
              <w:rPr>
                <w:b/>
                <w:bCs/>
                <w:color w:val="auto"/>
                <w:lang w:val="zh-CN"/>
              </w:rPr>
            </w:pPr>
            <w:r>
              <w:rPr>
                <w:b/>
                <w:bCs/>
                <w:color w:val="auto"/>
                <w:lang w:val="zh-CN"/>
              </w:rPr>
              <w:t>表2.1</w:t>
            </w:r>
            <w:r>
              <w:rPr>
                <w:rFonts w:hint="eastAsia"/>
                <w:b/>
                <w:bCs/>
                <w:color w:val="auto"/>
                <w:lang w:val="en-US" w:eastAsia="zh-CN"/>
              </w:rPr>
              <w:t>5</w:t>
            </w:r>
            <w:r>
              <w:rPr>
                <w:b/>
                <w:bCs/>
                <w:color w:val="auto"/>
                <w:lang w:val="zh-CN"/>
              </w:rPr>
              <w:t xml:space="preserve">  </w:t>
            </w:r>
            <w:r>
              <w:rPr>
                <w:rFonts w:hint="eastAsia"/>
                <w:b/>
                <w:bCs/>
                <w:color w:val="auto"/>
                <w:lang w:val="zh-CN" w:eastAsia="zh-CN"/>
              </w:rPr>
              <w:t>原有项目污染物排放</w:t>
            </w:r>
            <w:r>
              <w:rPr>
                <w:b/>
                <w:bCs/>
                <w:color w:val="auto"/>
                <w:lang w:val="zh-CN"/>
              </w:rPr>
              <w:t>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15"/>
              <w:gridCol w:w="2818"/>
              <w:gridCol w:w="2818"/>
            </w:tblGrid>
            <w:tr w14:paraId="162E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Align w:val="center"/>
                </w:tcPr>
                <w:p w14:paraId="0F0957D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lang w:eastAsia="zh-CN"/>
                      <w14:textFill>
                        <w14:solidFill>
                          <w14:schemeClr w14:val="tx1"/>
                        </w14:solidFill>
                      </w14:textFill>
                    </w:rPr>
                  </w:pPr>
                  <w:r>
                    <w:rPr>
                      <w:rFonts w:hint="eastAsia"/>
                      <w:b w:val="0"/>
                      <w:bCs w:val="0"/>
                      <w:color w:val="000000" w:themeColor="text1"/>
                      <w:sz w:val="21"/>
                      <w:szCs w:val="21"/>
                      <w:vertAlign w:val="baseline"/>
                      <w:lang w:eastAsia="zh-CN"/>
                      <w14:textFill>
                        <w14:solidFill>
                          <w14:schemeClr w14:val="tx1"/>
                        </w14:solidFill>
                      </w14:textFill>
                    </w:rPr>
                    <w:t>项目</w:t>
                  </w:r>
                </w:p>
              </w:tc>
              <w:tc>
                <w:tcPr>
                  <w:tcW w:w="1667" w:type="pct"/>
                  <w:vAlign w:val="center"/>
                </w:tcPr>
                <w:p w14:paraId="2BF905E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000000" w:themeColor="text1"/>
                      <w:sz w:val="21"/>
                      <w:szCs w:val="21"/>
                      <w:vertAlign w:val="baseline"/>
                      <w:lang w:eastAsia="zh-CN"/>
                      <w14:textFill>
                        <w14:solidFill>
                          <w14:schemeClr w14:val="tx1"/>
                        </w14:solidFill>
                      </w14:textFill>
                    </w:rPr>
                  </w:pPr>
                  <w:r>
                    <w:rPr>
                      <w:rFonts w:hint="eastAsia"/>
                      <w:b w:val="0"/>
                      <w:bCs w:val="0"/>
                      <w:color w:val="000000" w:themeColor="text1"/>
                      <w:sz w:val="21"/>
                      <w:szCs w:val="21"/>
                      <w:vertAlign w:val="baseline"/>
                      <w:lang w:eastAsia="zh-CN"/>
                      <w14:textFill>
                        <w14:solidFill>
                          <w14:schemeClr w14:val="tx1"/>
                        </w14:solidFill>
                      </w14:textFill>
                    </w:rPr>
                    <w:t>污染因子</w:t>
                  </w:r>
                </w:p>
              </w:tc>
              <w:tc>
                <w:tcPr>
                  <w:tcW w:w="1667" w:type="pct"/>
                  <w:vAlign w:val="center"/>
                </w:tcPr>
                <w:p w14:paraId="0238C65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eastAsia="宋体"/>
                      <w:b w:val="0"/>
                      <w:bCs w:val="0"/>
                      <w:color w:val="000000" w:themeColor="text1"/>
                      <w:sz w:val="21"/>
                      <w:szCs w:val="21"/>
                      <w:vertAlign w:val="baseline"/>
                      <w:lang w:eastAsia="zh-CN"/>
                      <w14:textFill>
                        <w14:solidFill>
                          <w14:schemeClr w14:val="tx1"/>
                        </w14:solidFill>
                      </w14:textFill>
                    </w:rPr>
                  </w:pPr>
                  <w:r>
                    <w:rPr>
                      <w:rFonts w:hint="eastAsia"/>
                      <w:b w:val="0"/>
                      <w:bCs w:val="0"/>
                      <w:color w:val="000000" w:themeColor="text1"/>
                      <w:sz w:val="21"/>
                      <w:szCs w:val="21"/>
                      <w:vertAlign w:val="baseline"/>
                      <w:lang w:eastAsia="zh-CN"/>
                      <w14:textFill>
                        <w14:solidFill>
                          <w14:schemeClr w14:val="tx1"/>
                        </w14:solidFill>
                      </w14:textFill>
                    </w:rPr>
                    <w:t>污染物排放量</w:t>
                  </w:r>
                </w:p>
              </w:tc>
            </w:tr>
            <w:tr w14:paraId="0901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restart"/>
                  <w:vAlign w:val="center"/>
                </w:tcPr>
                <w:p w14:paraId="231D3B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000000" w:themeColor="text1"/>
                      <w:sz w:val="21"/>
                      <w:szCs w:val="21"/>
                      <w:vertAlign w:val="baseline"/>
                      <w:lang w:eastAsia="zh-CN"/>
                      <w14:textFill>
                        <w14:solidFill>
                          <w14:schemeClr w14:val="tx1"/>
                        </w14:solidFill>
                      </w14:textFill>
                    </w:rPr>
                  </w:pPr>
                  <w:r>
                    <w:rPr>
                      <w:rFonts w:hint="eastAsia"/>
                      <w:b w:val="0"/>
                      <w:bCs w:val="0"/>
                      <w:color w:val="000000" w:themeColor="text1"/>
                      <w:sz w:val="21"/>
                      <w:szCs w:val="21"/>
                      <w:vertAlign w:val="baseline"/>
                      <w:lang w:eastAsia="zh-CN"/>
                      <w14:textFill>
                        <w14:solidFill>
                          <w14:schemeClr w14:val="tx1"/>
                        </w14:solidFill>
                      </w14:textFill>
                    </w:rPr>
                    <w:t>废气</w:t>
                  </w:r>
                </w:p>
              </w:tc>
              <w:tc>
                <w:tcPr>
                  <w:tcW w:w="1667" w:type="pct"/>
                  <w:vAlign w:val="center"/>
                </w:tcPr>
                <w:p w14:paraId="0DA7EEE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000000" w:themeColor="text1"/>
                      <w:sz w:val="21"/>
                      <w:szCs w:val="21"/>
                      <w:vertAlign w:val="baseline"/>
                      <w:lang w:eastAsia="zh-CN"/>
                      <w14:textFill>
                        <w14:solidFill>
                          <w14:schemeClr w14:val="tx1"/>
                        </w14:solidFill>
                      </w14:textFill>
                    </w:rPr>
                  </w:pPr>
                  <w:r>
                    <w:rPr>
                      <w:rFonts w:hint="eastAsia"/>
                      <w:b w:val="0"/>
                      <w:bCs w:val="0"/>
                      <w:color w:val="000000" w:themeColor="text1"/>
                      <w:sz w:val="21"/>
                      <w:szCs w:val="21"/>
                      <w:vertAlign w:val="baseline"/>
                      <w:lang w:eastAsia="zh-CN"/>
                      <w14:textFill>
                        <w14:solidFill>
                          <w14:schemeClr w14:val="tx1"/>
                        </w14:solidFill>
                      </w14:textFill>
                    </w:rPr>
                    <w:t>颗粒物</w:t>
                  </w:r>
                </w:p>
              </w:tc>
              <w:tc>
                <w:tcPr>
                  <w:tcW w:w="1667" w:type="pct"/>
                  <w:vAlign w:val="center"/>
                </w:tcPr>
                <w:p w14:paraId="68BE6356">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eastAsiaTheme="minorEastAsia"/>
                      <w:color w:val="auto"/>
                      <w:sz w:val="21"/>
                      <w:szCs w:val="21"/>
                      <w:lang w:val="en-US" w:eastAsia="zh-CN"/>
                    </w:rPr>
                    <w:t>11.55</w:t>
                  </w:r>
                </w:p>
              </w:tc>
            </w:tr>
            <w:tr w14:paraId="7B7FB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continue"/>
                  <w:vAlign w:val="center"/>
                </w:tcPr>
                <w:p w14:paraId="6273A51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lang w:eastAsia="zh-CN"/>
                      <w14:textFill>
                        <w14:solidFill>
                          <w14:schemeClr w14:val="tx1"/>
                        </w14:solidFill>
                      </w14:textFill>
                    </w:rPr>
                  </w:pPr>
                </w:p>
              </w:tc>
              <w:tc>
                <w:tcPr>
                  <w:tcW w:w="1667" w:type="pct"/>
                  <w:vAlign w:val="center"/>
                </w:tcPr>
                <w:p w14:paraId="6A9EEB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lang w:eastAsia="zh-CN"/>
                      <w14:textFill>
                        <w14:solidFill>
                          <w14:schemeClr w14:val="tx1"/>
                        </w14:solidFill>
                      </w14:textFill>
                    </w:rPr>
                  </w:pPr>
                  <w:r>
                    <w:rPr>
                      <w:rFonts w:hint="eastAsia"/>
                      <w:color w:val="auto"/>
                      <w:sz w:val="21"/>
                      <w:szCs w:val="21"/>
                      <w:lang w:val="en-US" w:eastAsia="zh-CN"/>
                    </w:rPr>
                    <w:t>非甲烷总烃</w:t>
                  </w:r>
                </w:p>
              </w:tc>
              <w:tc>
                <w:tcPr>
                  <w:tcW w:w="1667" w:type="pct"/>
                  <w:vAlign w:val="center"/>
                </w:tcPr>
                <w:p w14:paraId="482DCF8E">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eastAsiaTheme="minorEastAsia"/>
                      <w:color w:val="auto"/>
                      <w:sz w:val="21"/>
                      <w:szCs w:val="21"/>
                      <w:lang w:val="en-US" w:eastAsia="zh-CN"/>
                    </w:rPr>
                    <w:t>3.4</w:t>
                  </w:r>
                </w:p>
              </w:tc>
            </w:tr>
            <w:tr w14:paraId="1E7C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restart"/>
                  <w:vAlign w:val="center"/>
                </w:tcPr>
                <w:p w14:paraId="2C55F9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000000" w:themeColor="text1"/>
                      <w:sz w:val="21"/>
                      <w:szCs w:val="21"/>
                      <w:vertAlign w:val="baseline"/>
                      <w:lang w:eastAsia="zh-CN"/>
                      <w14:textFill>
                        <w14:solidFill>
                          <w14:schemeClr w14:val="tx1"/>
                        </w14:solidFill>
                      </w14:textFill>
                    </w:rPr>
                  </w:pPr>
                  <w:r>
                    <w:rPr>
                      <w:rFonts w:hint="eastAsia"/>
                      <w:b w:val="0"/>
                      <w:bCs w:val="0"/>
                      <w:color w:val="000000" w:themeColor="text1"/>
                      <w:sz w:val="21"/>
                      <w:szCs w:val="21"/>
                      <w:vertAlign w:val="baseline"/>
                      <w:lang w:eastAsia="zh-CN"/>
                      <w14:textFill>
                        <w14:solidFill>
                          <w14:schemeClr w14:val="tx1"/>
                        </w14:solidFill>
                      </w14:textFill>
                    </w:rPr>
                    <w:t>固废</w:t>
                  </w:r>
                </w:p>
              </w:tc>
              <w:tc>
                <w:tcPr>
                  <w:tcW w:w="1667" w:type="pct"/>
                  <w:vAlign w:val="center"/>
                </w:tcPr>
                <w:p w14:paraId="08BBBBF5">
                  <w:pPr>
                    <w:jc w:val="center"/>
                    <w:rPr>
                      <w:rFonts w:hint="eastAsia"/>
                      <w:b w:val="0"/>
                      <w:bCs w:val="0"/>
                      <w:color w:val="000000" w:themeColor="text1"/>
                      <w:sz w:val="21"/>
                      <w:szCs w:val="21"/>
                      <w:vertAlign w:val="baseline"/>
                      <w14:textFill>
                        <w14:solidFill>
                          <w14:schemeClr w14:val="tx1"/>
                        </w14:solidFill>
                      </w14:textFill>
                    </w:rPr>
                  </w:pPr>
                  <w:r>
                    <w:rPr>
                      <w:color w:val="auto"/>
                      <w:kern w:val="0"/>
                      <w:sz w:val="21"/>
                      <w:szCs w:val="21"/>
                    </w:rPr>
                    <w:t>生活垃圾</w:t>
                  </w:r>
                </w:p>
              </w:tc>
              <w:tc>
                <w:tcPr>
                  <w:tcW w:w="1667" w:type="pct"/>
                  <w:vAlign w:val="center"/>
                </w:tcPr>
                <w:p w14:paraId="3167D3E1">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eastAsiaTheme="minorEastAsia"/>
                      <w:color w:val="auto"/>
                      <w:sz w:val="21"/>
                      <w:szCs w:val="21"/>
                      <w:lang w:val="en-US" w:eastAsia="zh-CN"/>
                    </w:rPr>
                    <w:t>3</w:t>
                  </w:r>
                </w:p>
              </w:tc>
            </w:tr>
            <w:tr w14:paraId="79E6E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continue"/>
                  <w:vAlign w:val="center"/>
                </w:tcPr>
                <w:p w14:paraId="6871F6D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lang w:eastAsia="zh-CN"/>
                      <w14:textFill>
                        <w14:solidFill>
                          <w14:schemeClr w14:val="tx1"/>
                        </w14:solidFill>
                      </w14:textFill>
                    </w:rPr>
                  </w:pPr>
                </w:p>
              </w:tc>
              <w:tc>
                <w:tcPr>
                  <w:tcW w:w="1667" w:type="pct"/>
                  <w:vAlign w:val="center"/>
                </w:tcPr>
                <w:p w14:paraId="6B81898C">
                  <w:pPr>
                    <w:jc w:val="center"/>
                    <w:rPr>
                      <w:rFonts w:hint="eastAsia"/>
                      <w:b w:val="0"/>
                      <w:bCs w:val="0"/>
                      <w:color w:val="000000" w:themeColor="text1"/>
                      <w:sz w:val="21"/>
                      <w:szCs w:val="21"/>
                      <w:vertAlign w:val="baseline"/>
                      <w14:textFill>
                        <w14:solidFill>
                          <w14:schemeClr w14:val="tx1"/>
                        </w14:solidFill>
                      </w14:textFill>
                    </w:rPr>
                  </w:pPr>
                  <w:r>
                    <w:rPr>
                      <w:rFonts w:hint="eastAsia"/>
                      <w:color w:val="auto"/>
                      <w:sz w:val="21"/>
                      <w:szCs w:val="21"/>
                      <w:lang w:eastAsia="zh-CN"/>
                    </w:rPr>
                    <w:t>废边角料</w:t>
                  </w:r>
                </w:p>
              </w:tc>
              <w:tc>
                <w:tcPr>
                  <w:tcW w:w="1667" w:type="pct"/>
                  <w:vAlign w:val="center"/>
                </w:tcPr>
                <w:p w14:paraId="2EE3DD73">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eastAsiaTheme="minorEastAsia"/>
                      <w:color w:val="auto"/>
                      <w:sz w:val="21"/>
                      <w:szCs w:val="21"/>
                      <w:lang w:val="en-US" w:eastAsia="zh-CN"/>
                    </w:rPr>
                    <w:t>54.54</w:t>
                  </w:r>
                </w:p>
              </w:tc>
            </w:tr>
            <w:tr w14:paraId="010DD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continue"/>
                  <w:vAlign w:val="center"/>
                </w:tcPr>
                <w:p w14:paraId="09BEDA7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eastAsia="宋体"/>
                      <w:b w:val="0"/>
                      <w:bCs w:val="0"/>
                      <w:color w:val="000000" w:themeColor="text1"/>
                      <w:sz w:val="21"/>
                      <w:szCs w:val="21"/>
                      <w:vertAlign w:val="baseline"/>
                      <w:lang w:eastAsia="zh-CN"/>
                      <w14:textFill>
                        <w14:solidFill>
                          <w14:schemeClr w14:val="tx1"/>
                        </w14:solidFill>
                      </w14:textFill>
                    </w:rPr>
                  </w:pPr>
                </w:p>
              </w:tc>
              <w:tc>
                <w:tcPr>
                  <w:tcW w:w="1667" w:type="pct"/>
                  <w:vAlign w:val="center"/>
                </w:tcPr>
                <w:p w14:paraId="167AA8FA">
                  <w:pPr>
                    <w:jc w:val="center"/>
                    <w:rPr>
                      <w:rFonts w:hint="eastAsia"/>
                      <w:b w:val="0"/>
                      <w:bCs w:val="0"/>
                      <w:color w:val="000000" w:themeColor="text1"/>
                      <w:sz w:val="21"/>
                      <w:szCs w:val="21"/>
                      <w:vertAlign w:val="baseline"/>
                      <w14:textFill>
                        <w14:solidFill>
                          <w14:schemeClr w14:val="tx1"/>
                        </w14:solidFill>
                      </w14:textFill>
                    </w:rPr>
                  </w:pPr>
                  <w:r>
                    <w:rPr>
                      <w:rFonts w:hint="eastAsia"/>
                      <w:color w:val="auto"/>
                      <w:kern w:val="0"/>
                      <w:sz w:val="21"/>
                      <w:szCs w:val="21"/>
                      <w:lang w:eastAsia="zh-CN"/>
                    </w:rPr>
                    <w:t>不合格品</w:t>
                  </w:r>
                </w:p>
              </w:tc>
              <w:tc>
                <w:tcPr>
                  <w:tcW w:w="1667" w:type="pct"/>
                  <w:vAlign w:val="center"/>
                </w:tcPr>
                <w:p w14:paraId="7F5B8613">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eastAsiaTheme="minorEastAsia"/>
                      <w:color w:val="auto"/>
                      <w:sz w:val="21"/>
                      <w:szCs w:val="21"/>
                      <w:lang w:val="en-US" w:eastAsia="zh-CN"/>
                    </w:rPr>
                    <w:t>0.2</w:t>
                  </w:r>
                </w:p>
              </w:tc>
            </w:tr>
            <w:tr w14:paraId="1B857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continue"/>
                  <w:vAlign w:val="center"/>
                </w:tcPr>
                <w:p w14:paraId="4DA0E10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14:textFill>
                        <w14:solidFill>
                          <w14:schemeClr w14:val="tx1"/>
                        </w14:solidFill>
                      </w14:textFill>
                    </w:rPr>
                  </w:pPr>
                </w:p>
              </w:tc>
              <w:tc>
                <w:tcPr>
                  <w:tcW w:w="1667" w:type="pct"/>
                  <w:vAlign w:val="center"/>
                </w:tcPr>
                <w:p w14:paraId="31D0F96F">
                  <w:pPr>
                    <w:jc w:val="center"/>
                    <w:rPr>
                      <w:rFonts w:hint="eastAsia"/>
                      <w:b w:val="0"/>
                      <w:bCs w:val="0"/>
                      <w:color w:val="000000" w:themeColor="text1"/>
                      <w:sz w:val="21"/>
                      <w:szCs w:val="21"/>
                      <w:vertAlign w:val="baseline"/>
                      <w14:textFill>
                        <w14:solidFill>
                          <w14:schemeClr w14:val="tx1"/>
                        </w14:solidFill>
                      </w14:textFill>
                    </w:rPr>
                  </w:pPr>
                  <w:r>
                    <w:rPr>
                      <w:rFonts w:hint="eastAsia"/>
                      <w:color w:val="auto"/>
                      <w:kern w:val="0"/>
                      <w:sz w:val="21"/>
                      <w:szCs w:val="21"/>
                      <w:lang w:eastAsia="zh-CN"/>
                    </w:rPr>
                    <w:t>除尘器收集粉尘</w:t>
                  </w:r>
                </w:p>
              </w:tc>
              <w:tc>
                <w:tcPr>
                  <w:tcW w:w="1667" w:type="pct"/>
                  <w:vAlign w:val="center"/>
                </w:tcPr>
                <w:p w14:paraId="1BDFA1AE">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b w:val="0"/>
                      <w:bCs w:val="0"/>
                      <w:color w:val="auto"/>
                      <w:kern w:val="2"/>
                      <w:sz w:val="21"/>
                      <w:szCs w:val="21"/>
                      <w:highlight w:val="none"/>
                      <w:vertAlign w:val="baseline"/>
                      <w:lang w:val="en-US" w:eastAsia="zh-CN" w:bidi="ar-SA"/>
                    </w:rPr>
                    <w:t>36.576</w:t>
                  </w:r>
                </w:p>
              </w:tc>
            </w:tr>
            <w:tr w14:paraId="5E6E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continue"/>
                  <w:vAlign w:val="center"/>
                </w:tcPr>
                <w:p w14:paraId="4CE618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14:textFill>
                        <w14:solidFill>
                          <w14:schemeClr w14:val="tx1"/>
                        </w14:solidFill>
                      </w14:textFill>
                    </w:rPr>
                  </w:pPr>
                </w:p>
              </w:tc>
              <w:tc>
                <w:tcPr>
                  <w:tcW w:w="1667" w:type="pct"/>
                  <w:vAlign w:val="center"/>
                </w:tcPr>
                <w:p w14:paraId="714CCBB1">
                  <w:pPr>
                    <w:jc w:val="center"/>
                    <w:rPr>
                      <w:rFonts w:hint="eastAsia"/>
                      <w:b w:val="0"/>
                      <w:bCs w:val="0"/>
                      <w:color w:val="000000" w:themeColor="text1"/>
                      <w:sz w:val="21"/>
                      <w:szCs w:val="21"/>
                      <w:vertAlign w:val="baseline"/>
                      <w14:textFill>
                        <w14:solidFill>
                          <w14:schemeClr w14:val="tx1"/>
                        </w14:solidFill>
                      </w14:textFill>
                    </w:rPr>
                  </w:pPr>
                  <w:r>
                    <w:rPr>
                      <w:rFonts w:hint="eastAsia"/>
                      <w:color w:val="auto"/>
                      <w:kern w:val="0"/>
                      <w:sz w:val="21"/>
                      <w:szCs w:val="21"/>
                      <w:lang w:eastAsia="zh-CN"/>
                    </w:rPr>
                    <w:t>废包装物</w:t>
                  </w:r>
                </w:p>
              </w:tc>
              <w:tc>
                <w:tcPr>
                  <w:tcW w:w="1667" w:type="pct"/>
                  <w:vAlign w:val="center"/>
                </w:tcPr>
                <w:p w14:paraId="21C1506D">
                  <w:pPr>
                    <w:keepNext w:val="0"/>
                    <w:keepLines w:val="0"/>
                    <w:pageBreakBefore w:val="0"/>
                    <w:widowControl w:val="0"/>
                    <w:kinsoku/>
                    <w:wordWrap/>
                    <w:overflowPunct/>
                    <w:topLinePunct w:val="0"/>
                    <w:autoSpaceDE/>
                    <w:autoSpaceDN/>
                    <w:bidi w:val="0"/>
                    <w:spacing w:line="240" w:lineRule="auto"/>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b w:val="0"/>
                      <w:bCs w:val="0"/>
                      <w:color w:val="auto"/>
                      <w:kern w:val="2"/>
                      <w:sz w:val="21"/>
                      <w:szCs w:val="21"/>
                      <w:highlight w:val="none"/>
                      <w:vertAlign w:val="baseline"/>
                      <w:lang w:val="en-US" w:eastAsia="zh-CN" w:bidi="ar-SA"/>
                    </w:rPr>
                    <w:t>0.05</w:t>
                  </w:r>
                </w:p>
              </w:tc>
            </w:tr>
            <w:tr w14:paraId="74789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continue"/>
                  <w:vAlign w:val="center"/>
                </w:tcPr>
                <w:p w14:paraId="65C16CA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14:textFill>
                        <w14:solidFill>
                          <w14:schemeClr w14:val="tx1"/>
                        </w14:solidFill>
                      </w14:textFill>
                    </w:rPr>
                  </w:pPr>
                </w:p>
              </w:tc>
              <w:tc>
                <w:tcPr>
                  <w:tcW w:w="1667" w:type="pct"/>
                  <w:vAlign w:val="center"/>
                </w:tcPr>
                <w:p w14:paraId="44FEED0E">
                  <w:pPr>
                    <w:jc w:val="center"/>
                    <w:rPr>
                      <w:rFonts w:hint="eastAsia"/>
                      <w:b w:val="0"/>
                      <w:bCs w:val="0"/>
                      <w:color w:val="000000" w:themeColor="text1"/>
                      <w:sz w:val="21"/>
                      <w:szCs w:val="21"/>
                      <w:vertAlign w:val="baseline"/>
                      <w14:textFill>
                        <w14:solidFill>
                          <w14:schemeClr w14:val="tx1"/>
                        </w14:solidFill>
                      </w14:textFill>
                    </w:rPr>
                  </w:pPr>
                  <w:r>
                    <w:rPr>
                      <w:rFonts w:hint="eastAsia"/>
                      <w:color w:val="auto"/>
                      <w:sz w:val="21"/>
                      <w:szCs w:val="21"/>
                      <w:lang w:eastAsia="zh-CN"/>
                    </w:rPr>
                    <w:t>废活性炭</w:t>
                  </w:r>
                </w:p>
              </w:tc>
              <w:tc>
                <w:tcPr>
                  <w:tcW w:w="1667" w:type="pct"/>
                  <w:vAlign w:val="center"/>
                </w:tcPr>
                <w:p w14:paraId="79C095B5">
                  <w:pPr>
                    <w:keepNext w:val="0"/>
                    <w:keepLines w:val="0"/>
                    <w:pageBreakBefore w:val="0"/>
                    <w:widowControl w:val="0"/>
                    <w:kinsoku/>
                    <w:wordWrap/>
                    <w:overflowPunct/>
                    <w:topLinePunct w:val="0"/>
                    <w:autoSpaceDE/>
                    <w:autoSpaceDN/>
                    <w:bidi w:val="0"/>
                    <w:spacing w:line="240" w:lineRule="auto"/>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color w:val="auto"/>
                      <w:kern w:val="0"/>
                      <w:sz w:val="21"/>
                      <w:szCs w:val="21"/>
                      <w:lang w:val="en-US" w:eastAsia="zh-CN" w:bidi="ar-SA"/>
                    </w:rPr>
                    <w:t>0.02</w:t>
                  </w:r>
                </w:p>
              </w:tc>
            </w:tr>
            <w:tr w14:paraId="6AFA8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continue"/>
                  <w:vAlign w:val="center"/>
                </w:tcPr>
                <w:p w14:paraId="0B640C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14:textFill>
                        <w14:solidFill>
                          <w14:schemeClr w14:val="tx1"/>
                        </w14:solidFill>
                      </w14:textFill>
                    </w:rPr>
                  </w:pPr>
                </w:p>
              </w:tc>
              <w:tc>
                <w:tcPr>
                  <w:tcW w:w="1667" w:type="pct"/>
                  <w:vAlign w:val="center"/>
                </w:tcPr>
                <w:p w14:paraId="060DBE5B">
                  <w:pPr>
                    <w:jc w:val="center"/>
                    <w:rPr>
                      <w:rFonts w:hint="eastAsia"/>
                      <w:b w:val="0"/>
                      <w:bCs w:val="0"/>
                      <w:color w:val="000000" w:themeColor="text1"/>
                      <w:sz w:val="21"/>
                      <w:szCs w:val="21"/>
                      <w:vertAlign w:val="baseline"/>
                      <w14:textFill>
                        <w14:solidFill>
                          <w14:schemeClr w14:val="tx1"/>
                        </w14:solidFill>
                      </w14:textFill>
                    </w:rPr>
                  </w:pPr>
                  <w:r>
                    <w:rPr>
                      <w:rFonts w:hint="eastAsia"/>
                      <w:color w:val="auto"/>
                      <w:sz w:val="21"/>
                      <w:szCs w:val="21"/>
                      <w:lang w:eastAsia="zh-CN"/>
                    </w:rPr>
                    <w:t>废机油</w:t>
                  </w:r>
                </w:p>
              </w:tc>
              <w:tc>
                <w:tcPr>
                  <w:tcW w:w="1667" w:type="pct"/>
                  <w:vAlign w:val="center"/>
                </w:tcPr>
                <w:p w14:paraId="4DB57802">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eastAsiaTheme="minorEastAsia"/>
                      <w:color w:val="auto"/>
                      <w:sz w:val="21"/>
                      <w:szCs w:val="21"/>
                      <w:lang w:val="en-US" w:eastAsia="zh-CN"/>
                    </w:rPr>
                    <w:t>11.55</w:t>
                  </w:r>
                </w:p>
              </w:tc>
            </w:tr>
            <w:tr w14:paraId="6292E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5" w:type="pct"/>
                  <w:vMerge w:val="continue"/>
                  <w:vAlign w:val="center"/>
                </w:tcPr>
                <w:p w14:paraId="3FF48E4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b w:val="0"/>
                      <w:bCs w:val="0"/>
                      <w:color w:val="000000" w:themeColor="text1"/>
                      <w:sz w:val="21"/>
                      <w:szCs w:val="21"/>
                      <w:vertAlign w:val="baseline"/>
                      <w14:textFill>
                        <w14:solidFill>
                          <w14:schemeClr w14:val="tx1"/>
                        </w14:solidFill>
                      </w14:textFill>
                    </w:rPr>
                  </w:pPr>
                </w:p>
              </w:tc>
              <w:tc>
                <w:tcPr>
                  <w:tcW w:w="1667" w:type="pct"/>
                  <w:vAlign w:val="center"/>
                </w:tcPr>
                <w:p w14:paraId="609612E4">
                  <w:pPr>
                    <w:jc w:val="center"/>
                    <w:rPr>
                      <w:rFonts w:hint="eastAsia"/>
                      <w:b w:val="0"/>
                      <w:bCs w:val="0"/>
                      <w:color w:val="000000" w:themeColor="text1"/>
                      <w:sz w:val="21"/>
                      <w:szCs w:val="21"/>
                      <w:vertAlign w:val="baseline"/>
                      <w14:textFill>
                        <w14:solidFill>
                          <w14:schemeClr w14:val="tx1"/>
                        </w14:solidFill>
                      </w14:textFill>
                    </w:rPr>
                  </w:pPr>
                  <w:r>
                    <w:rPr>
                      <w:rFonts w:hint="eastAsia"/>
                      <w:color w:val="auto"/>
                      <w:sz w:val="21"/>
                      <w:szCs w:val="21"/>
                      <w:lang w:eastAsia="zh-CN"/>
                    </w:rPr>
                    <w:t>废机油桶</w:t>
                  </w:r>
                </w:p>
              </w:tc>
              <w:tc>
                <w:tcPr>
                  <w:tcW w:w="1667" w:type="pct"/>
                  <w:vAlign w:val="center"/>
                </w:tcPr>
                <w:p w14:paraId="10BFDFA6">
                  <w:pPr>
                    <w:keepNext w:val="0"/>
                    <w:keepLines w:val="0"/>
                    <w:pageBreakBefore w:val="0"/>
                    <w:kinsoku/>
                    <w:wordWrap/>
                    <w:overflowPunct/>
                    <w:topLinePunct w:val="0"/>
                    <w:autoSpaceDE/>
                    <w:autoSpaceDN/>
                    <w:bidi w:val="0"/>
                    <w:snapToGrid w:val="0"/>
                    <w:spacing w:line="240" w:lineRule="auto"/>
                    <w:ind w:firstLine="0" w:firstLineChars="0"/>
                    <w:jc w:val="center"/>
                    <w:textAlignment w:val="auto"/>
                    <w:rPr>
                      <w:rFonts w:hint="eastAsia"/>
                      <w:b w:val="0"/>
                      <w:bCs w:val="0"/>
                      <w:color w:val="000000" w:themeColor="text1"/>
                      <w:sz w:val="21"/>
                      <w:szCs w:val="21"/>
                      <w:vertAlign w:val="baseline"/>
                      <w14:textFill>
                        <w14:solidFill>
                          <w14:schemeClr w14:val="tx1"/>
                        </w14:solidFill>
                      </w14:textFill>
                    </w:rPr>
                  </w:pPr>
                  <w:r>
                    <w:rPr>
                      <w:rFonts w:hint="eastAsia" w:cs="Times New Roman" w:eastAsiaTheme="minorEastAsia"/>
                      <w:color w:val="auto"/>
                      <w:sz w:val="21"/>
                      <w:szCs w:val="21"/>
                      <w:lang w:val="en-US" w:eastAsia="zh-CN"/>
                    </w:rPr>
                    <w:t>3.4</w:t>
                  </w:r>
                </w:p>
              </w:tc>
            </w:tr>
          </w:tbl>
          <w:p w14:paraId="479325B5">
            <w:pPr>
              <w:adjustRightInd w:val="0"/>
              <w:snapToGrid w:val="0"/>
              <w:spacing w:before="120" w:beforeLines="50" w:line="360" w:lineRule="auto"/>
              <w:rPr>
                <w:color w:val="000000" w:themeColor="text1"/>
                <w:sz w:val="24"/>
                <w:szCs w:val="28"/>
                <w14:textFill>
                  <w14:solidFill>
                    <w14:schemeClr w14:val="tx1"/>
                  </w14:solidFill>
                </w14:textFill>
              </w:rPr>
            </w:pPr>
            <w:r>
              <w:rPr>
                <w:rFonts w:hint="eastAsia"/>
                <w:b/>
                <w:bCs/>
                <w:color w:val="000000" w:themeColor="text1"/>
                <w:sz w:val="24"/>
                <w:szCs w:val="28"/>
                <w:lang w:eastAsia="zh-CN"/>
                <w14:textFill>
                  <w14:solidFill>
                    <w14:schemeClr w14:val="tx1"/>
                  </w14:solidFill>
                </w14:textFill>
              </w:rPr>
              <w:t>3.</w:t>
            </w:r>
            <w:r>
              <w:rPr>
                <w:rFonts w:hint="eastAsia"/>
                <w:b/>
                <w:bCs/>
                <w:color w:val="000000" w:themeColor="text1"/>
                <w:sz w:val="24"/>
                <w:szCs w:val="28"/>
                <w14:textFill>
                  <w14:solidFill>
                    <w14:schemeClr w14:val="tx1"/>
                  </w14:solidFill>
                </w14:textFill>
              </w:rPr>
              <w:t>与该项目有关的主要环境问题及整改措施</w:t>
            </w:r>
          </w:p>
          <w:p w14:paraId="2224BB78">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eastAsia" w:cs="Times New Roman"/>
                <w:bCs/>
                <w:sz w:val="24"/>
                <w:szCs w:val="24"/>
                <w:lang w:val="en-US" w:eastAsia="zh-CN"/>
              </w:rPr>
            </w:pPr>
            <w:r>
              <w:rPr>
                <w:rFonts w:hint="eastAsia" w:cs="Times New Roman"/>
                <w:bCs/>
                <w:color w:val="auto"/>
                <w:sz w:val="24"/>
                <w:szCs w:val="24"/>
                <w:lang w:val="en-US" w:eastAsia="zh-CN"/>
              </w:rPr>
              <w:t>项目验收提出的整改要求均已改正，目前厂区无原有环境问题。</w:t>
            </w:r>
          </w:p>
        </w:tc>
      </w:tr>
    </w:tbl>
    <w:p w14:paraId="15F91B9E">
      <w:pPr>
        <w:pStyle w:val="22"/>
        <w:jc w:val="center"/>
        <w:rPr>
          <w:rFonts w:ascii="黑体" w:hAnsi="黑体" w:eastAsia="黑体"/>
          <w:snapToGrid w:val="0"/>
          <w:sz w:val="36"/>
          <w:szCs w:val="36"/>
        </w:rPr>
        <w:sectPr>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440B4F2F">
      <w:pPr>
        <w:pStyle w:val="22"/>
        <w:keepNext w:val="0"/>
        <w:keepLines w:val="0"/>
        <w:pageBreakBefore w:val="0"/>
        <w:widowControl/>
        <w:kinsoku/>
        <w:wordWrap/>
        <w:overflowPunct/>
        <w:topLinePunct w:val="0"/>
        <w:autoSpaceDE/>
        <w:autoSpaceDN/>
        <w:bidi w:val="0"/>
        <w:adjustRightInd/>
        <w:snapToGrid/>
        <w:spacing w:before="0" w:beforeAutospacing="0"/>
        <w:jc w:val="center"/>
        <w:textAlignment w:val="auto"/>
        <w:outlineLvl w:val="0"/>
        <w:rPr>
          <w:rFonts w:hint="eastAsia" w:ascii="宋体" w:hAnsi="宋体" w:eastAsia="宋体" w:cs="宋体"/>
          <w:b/>
          <w:bCs/>
          <w:snapToGrid w:val="0"/>
          <w:sz w:val="30"/>
          <w:szCs w:val="30"/>
        </w:rPr>
      </w:pPr>
      <w:r>
        <w:rPr>
          <w:rFonts w:hint="eastAsia" w:ascii="宋体" w:hAnsi="宋体" w:eastAsia="宋体" w:cs="宋体"/>
          <w:b/>
          <w:bCs/>
          <w:snapToGrid w:val="0"/>
          <w:sz w:val="30"/>
          <w:szCs w:val="30"/>
        </w:rPr>
        <w:t>三、区域环境质量现状、环境保护目标及评价标准</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28"/>
        <w:gridCol w:w="8462"/>
      </w:tblGrid>
      <w:tr w14:paraId="405AAE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34" w:hRule="atLeast"/>
          <w:jc w:val="center"/>
        </w:trPr>
        <w:tc>
          <w:tcPr>
            <w:tcW w:w="528" w:type="dxa"/>
            <w:tcBorders>
              <w:tl2br w:val="nil"/>
              <w:tr2bl w:val="nil"/>
            </w:tcBorders>
            <w:noWrap w:val="0"/>
            <w:vAlign w:val="center"/>
          </w:tcPr>
          <w:p w14:paraId="3D05A729">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区域</w:t>
            </w:r>
          </w:p>
          <w:p w14:paraId="761B6194">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环境</w:t>
            </w:r>
          </w:p>
          <w:p w14:paraId="2A783C69">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质量</w:t>
            </w:r>
          </w:p>
          <w:p w14:paraId="3B3DBDE1">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现状</w:t>
            </w:r>
          </w:p>
        </w:tc>
        <w:tc>
          <w:tcPr>
            <w:tcW w:w="8462" w:type="dxa"/>
            <w:tcBorders>
              <w:tl2br w:val="nil"/>
              <w:tr2bl w:val="nil"/>
            </w:tcBorders>
            <w:noWrap w:val="0"/>
            <w:vAlign w:val="center"/>
          </w:tcPr>
          <w:p w14:paraId="74800854">
            <w:pPr>
              <w:widowControl/>
              <w:adjustRightInd w:val="0"/>
              <w:snapToGrid w:val="0"/>
              <w:spacing w:before="120" w:beforeLines="50" w:line="360" w:lineRule="auto"/>
              <w:jc w:val="left"/>
              <w:rPr>
                <w:b/>
                <w:bCs/>
                <w:sz w:val="24"/>
              </w:rPr>
            </w:pPr>
            <w:r>
              <w:rPr>
                <w:rFonts w:hint="eastAsia"/>
                <w:b/>
                <w:bCs/>
                <w:sz w:val="24"/>
                <w:lang w:eastAsia="zh-CN"/>
              </w:rPr>
              <w:t>1.</w:t>
            </w:r>
            <w:r>
              <w:rPr>
                <w:b/>
                <w:bCs/>
                <w:sz w:val="24"/>
              </w:rPr>
              <w:t>大气环境</w:t>
            </w:r>
          </w:p>
          <w:p w14:paraId="1C4AE4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kern w:val="0"/>
                <w:sz w:val="24"/>
                <w:szCs w:val="24"/>
                <w:lang w:val="en-US" w:eastAsia="zh-CN"/>
              </w:rPr>
            </w:pPr>
            <w:r>
              <w:rPr>
                <w:rFonts w:hint="eastAsia"/>
                <w:b w:val="0"/>
                <w:bCs w:val="0"/>
                <w:color w:val="auto"/>
                <w:sz w:val="24"/>
                <w:lang w:eastAsia="zh-CN"/>
              </w:rPr>
              <w:t>（</w:t>
            </w:r>
            <w:r>
              <w:rPr>
                <w:rFonts w:hint="eastAsia"/>
                <w:b w:val="0"/>
                <w:bCs w:val="0"/>
                <w:color w:val="auto"/>
                <w:sz w:val="24"/>
                <w:lang w:val="en-US" w:eastAsia="zh-CN"/>
              </w:rPr>
              <w:t>1</w:t>
            </w:r>
            <w:r>
              <w:rPr>
                <w:rFonts w:hint="eastAsia"/>
                <w:b w:val="0"/>
                <w:bCs w:val="0"/>
                <w:color w:val="auto"/>
                <w:sz w:val="24"/>
                <w:lang w:eastAsia="zh-CN"/>
              </w:rPr>
              <w:t>）</w:t>
            </w:r>
            <w:r>
              <w:rPr>
                <w:rFonts w:hint="default" w:ascii="Times New Roman" w:hAnsi="Times New Roman" w:eastAsia="宋体" w:cs="Times New Roman"/>
                <w:color w:val="auto"/>
                <w:kern w:val="0"/>
                <w:sz w:val="24"/>
                <w:szCs w:val="24"/>
                <w:lang w:val="en-US" w:eastAsia="zh-CN"/>
              </w:rPr>
              <w:t xml:space="preserve">基本污染物环境质量现状评价 </w:t>
            </w:r>
          </w:p>
          <w:p w14:paraId="2CF32C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根据《环境影响评价技术导则  大气环境》（HJ2.2-2018），项目所在区域达标情况判定优先采用国家或地方生态环境主管部门公开发布的环境质量公告或环境质量报告中的数据或结论。</w:t>
            </w:r>
          </w:p>
          <w:p w14:paraId="51446E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本次评价选取202</w:t>
            </w:r>
            <w:r>
              <w:rPr>
                <w:rFonts w:hint="eastAsia" w:cs="Times New Roman"/>
                <w:color w:val="auto"/>
                <w:sz w:val="24"/>
                <w:lang w:val="en-US" w:eastAsia="zh-CN"/>
              </w:rPr>
              <w:t>4</w:t>
            </w:r>
            <w:r>
              <w:rPr>
                <w:rFonts w:hint="default" w:ascii="Times New Roman" w:hAnsi="Times New Roman" w:eastAsia="宋体" w:cs="Times New Roman"/>
                <w:color w:val="auto"/>
                <w:sz w:val="24"/>
                <w:lang w:val="en-US" w:eastAsia="zh-CN"/>
              </w:rPr>
              <w:t>年作为评价基准年。根据《宿州市202</w:t>
            </w:r>
            <w:r>
              <w:rPr>
                <w:rFonts w:hint="eastAsia" w:cs="Times New Roman"/>
                <w:color w:val="auto"/>
                <w:sz w:val="24"/>
                <w:lang w:val="en-US" w:eastAsia="zh-CN"/>
              </w:rPr>
              <w:t>4</w:t>
            </w:r>
            <w:r>
              <w:rPr>
                <w:rFonts w:hint="default" w:ascii="Times New Roman" w:hAnsi="Times New Roman" w:eastAsia="宋体" w:cs="Times New Roman"/>
                <w:color w:val="auto"/>
                <w:sz w:val="24"/>
                <w:lang w:val="en-US" w:eastAsia="zh-CN"/>
              </w:rPr>
              <w:t>年环境质量报告》，宿州市202</w:t>
            </w:r>
            <w:r>
              <w:rPr>
                <w:rFonts w:hint="eastAsia" w:cs="Times New Roman"/>
                <w:color w:val="auto"/>
                <w:sz w:val="24"/>
                <w:lang w:val="en-US" w:eastAsia="zh-CN"/>
              </w:rPr>
              <w:t>4</w:t>
            </w:r>
            <w:r>
              <w:rPr>
                <w:rFonts w:hint="default" w:ascii="Times New Roman" w:hAnsi="Times New Roman" w:eastAsia="宋体" w:cs="Times New Roman"/>
                <w:color w:val="auto"/>
                <w:sz w:val="24"/>
                <w:lang w:val="en-US" w:eastAsia="zh-CN"/>
              </w:rPr>
              <w:t>年环境空气质量基础污染物监测浓度项目区域空气质量达标判定见表3.1。</w:t>
            </w:r>
          </w:p>
          <w:p w14:paraId="0325E250">
            <w:pPr>
              <w:adjustRightInd w:val="0"/>
              <w:snapToGrid w:val="0"/>
              <w:spacing w:line="360" w:lineRule="auto"/>
              <w:jc w:val="center"/>
              <w:rPr>
                <w:b/>
                <w:bCs/>
                <w:color w:val="auto"/>
                <w:sz w:val="24"/>
              </w:rPr>
            </w:pPr>
            <w:r>
              <w:rPr>
                <w:b/>
                <w:bCs/>
                <w:color w:val="auto"/>
                <w:sz w:val="24"/>
              </w:rPr>
              <w:t>表3.1  区域空气质量现状评价表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1997"/>
              <w:gridCol w:w="1201"/>
              <w:gridCol w:w="1311"/>
              <w:gridCol w:w="1283"/>
              <w:gridCol w:w="1373"/>
            </w:tblGrid>
            <w:tr w14:paraId="3437F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0" w:type="pct"/>
                  <w:tcBorders>
                    <w:tl2br w:val="nil"/>
                    <w:tr2bl w:val="nil"/>
                  </w:tcBorders>
                  <w:vAlign w:val="center"/>
                </w:tcPr>
                <w:p w14:paraId="3DC4F6DC">
                  <w:pPr>
                    <w:pStyle w:val="43"/>
                    <w:widowControl w:val="0"/>
                    <w:rPr>
                      <w:color w:val="auto"/>
                      <w:lang w:eastAsia="zh-CN"/>
                    </w:rPr>
                  </w:pPr>
                  <w:r>
                    <w:rPr>
                      <w:color w:val="auto"/>
                      <w:lang w:eastAsia="zh-CN"/>
                    </w:rPr>
                    <w:t>污染物</w:t>
                  </w:r>
                </w:p>
              </w:tc>
              <w:tc>
                <w:tcPr>
                  <w:tcW w:w="1212" w:type="pct"/>
                  <w:tcBorders>
                    <w:tl2br w:val="nil"/>
                    <w:tr2bl w:val="nil"/>
                  </w:tcBorders>
                  <w:vAlign w:val="center"/>
                </w:tcPr>
                <w:p w14:paraId="433F4FAE">
                  <w:pPr>
                    <w:pStyle w:val="43"/>
                    <w:widowControl w:val="0"/>
                    <w:rPr>
                      <w:color w:val="auto"/>
                      <w:lang w:eastAsia="zh-CN"/>
                    </w:rPr>
                  </w:pPr>
                  <w:r>
                    <w:rPr>
                      <w:color w:val="auto"/>
                      <w:lang w:eastAsia="zh-CN"/>
                    </w:rPr>
                    <w:t>评价标准</w:t>
                  </w:r>
                </w:p>
              </w:tc>
              <w:tc>
                <w:tcPr>
                  <w:tcW w:w="729" w:type="pct"/>
                  <w:tcBorders>
                    <w:tl2br w:val="nil"/>
                    <w:tr2bl w:val="nil"/>
                  </w:tcBorders>
                  <w:vAlign w:val="center"/>
                </w:tcPr>
                <w:p w14:paraId="3827C4D7">
                  <w:pPr>
                    <w:pStyle w:val="43"/>
                    <w:widowControl w:val="0"/>
                    <w:rPr>
                      <w:color w:val="auto"/>
                      <w:lang w:eastAsia="zh-CN"/>
                    </w:rPr>
                  </w:pPr>
                  <w:r>
                    <w:rPr>
                      <w:color w:val="auto"/>
                      <w:lang w:eastAsia="zh-CN"/>
                    </w:rPr>
                    <w:t>年均浓度（μg/m</w:t>
                  </w:r>
                  <w:r>
                    <w:rPr>
                      <w:color w:val="auto"/>
                      <w:vertAlign w:val="superscript"/>
                      <w:lang w:eastAsia="zh-CN"/>
                    </w:rPr>
                    <w:t>3</w:t>
                  </w:r>
                  <w:r>
                    <w:rPr>
                      <w:color w:val="auto"/>
                      <w:lang w:eastAsia="zh-CN"/>
                    </w:rPr>
                    <w:t>）</w:t>
                  </w:r>
                </w:p>
              </w:tc>
              <w:tc>
                <w:tcPr>
                  <w:tcW w:w="796" w:type="pct"/>
                  <w:tcBorders>
                    <w:tl2br w:val="nil"/>
                    <w:tr2bl w:val="nil"/>
                  </w:tcBorders>
                  <w:vAlign w:val="center"/>
                </w:tcPr>
                <w:p w14:paraId="5699C3BF">
                  <w:pPr>
                    <w:pStyle w:val="43"/>
                    <w:widowControl w:val="0"/>
                    <w:rPr>
                      <w:color w:val="auto"/>
                      <w:lang w:eastAsia="zh-CN"/>
                    </w:rPr>
                  </w:pPr>
                  <w:r>
                    <w:rPr>
                      <w:color w:val="auto"/>
                      <w:lang w:eastAsia="zh-CN"/>
                    </w:rPr>
                    <w:t>标准值（μg/m</w:t>
                  </w:r>
                  <w:r>
                    <w:rPr>
                      <w:color w:val="auto"/>
                      <w:vertAlign w:val="superscript"/>
                      <w:lang w:eastAsia="zh-CN"/>
                    </w:rPr>
                    <w:t>3</w:t>
                  </w:r>
                  <w:r>
                    <w:rPr>
                      <w:color w:val="auto"/>
                      <w:lang w:eastAsia="zh-CN"/>
                    </w:rPr>
                    <w:t>）</w:t>
                  </w:r>
                </w:p>
              </w:tc>
              <w:tc>
                <w:tcPr>
                  <w:tcW w:w="779" w:type="pct"/>
                  <w:tcBorders>
                    <w:tl2br w:val="nil"/>
                    <w:tr2bl w:val="nil"/>
                  </w:tcBorders>
                  <w:vAlign w:val="center"/>
                </w:tcPr>
                <w:p w14:paraId="711DABF6">
                  <w:pPr>
                    <w:pStyle w:val="43"/>
                    <w:widowControl w:val="0"/>
                    <w:rPr>
                      <w:color w:val="auto"/>
                      <w:lang w:eastAsia="zh-CN"/>
                    </w:rPr>
                  </w:pPr>
                  <w:r>
                    <w:rPr>
                      <w:color w:val="auto"/>
                      <w:lang w:eastAsia="zh-CN"/>
                    </w:rPr>
                    <w:t>占标率%</w:t>
                  </w:r>
                </w:p>
              </w:tc>
              <w:tc>
                <w:tcPr>
                  <w:tcW w:w="833" w:type="pct"/>
                  <w:tcBorders>
                    <w:tl2br w:val="nil"/>
                    <w:tr2bl w:val="nil"/>
                  </w:tcBorders>
                  <w:vAlign w:val="center"/>
                </w:tcPr>
                <w:p w14:paraId="20C5E5D0">
                  <w:pPr>
                    <w:pStyle w:val="43"/>
                    <w:widowControl w:val="0"/>
                    <w:rPr>
                      <w:color w:val="auto"/>
                      <w:lang w:eastAsia="zh-CN"/>
                    </w:rPr>
                  </w:pPr>
                  <w:r>
                    <w:rPr>
                      <w:color w:val="auto"/>
                      <w:lang w:eastAsia="zh-CN"/>
                    </w:rPr>
                    <w:t>达标情况</w:t>
                  </w:r>
                </w:p>
              </w:tc>
            </w:tr>
            <w:tr w14:paraId="341C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8" w:type="dxa"/>
                  <w:tcBorders>
                    <w:tl2br w:val="nil"/>
                    <w:tr2bl w:val="nil"/>
                  </w:tcBorders>
                  <w:vAlign w:val="center"/>
                </w:tcPr>
                <w:p w14:paraId="73B7E571">
                  <w:pPr>
                    <w:adjustRightInd w:val="0"/>
                    <w:snapToGrid w:val="0"/>
                    <w:jc w:val="center"/>
                    <w:rPr>
                      <w:color w:val="auto"/>
                      <w:kern w:val="0"/>
                      <w:szCs w:val="21"/>
                    </w:rPr>
                  </w:pPr>
                  <w:r>
                    <w:rPr>
                      <w:color w:val="auto"/>
                      <w:szCs w:val="21"/>
                    </w:rPr>
                    <w:t>PM</w:t>
                  </w:r>
                  <w:r>
                    <w:rPr>
                      <w:rFonts w:hint="eastAsia"/>
                      <w:color w:val="auto"/>
                      <w:szCs w:val="21"/>
                      <w:vertAlign w:val="subscript"/>
                    </w:rPr>
                    <w:t>10</w:t>
                  </w:r>
                </w:p>
              </w:tc>
              <w:tc>
                <w:tcPr>
                  <w:tcW w:w="2252" w:type="dxa"/>
                  <w:tcBorders>
                    <w:tl2br w:val="nil"/>
                    <w:tr2bl w:val="nil"/>
                  </w:tcBorders>
                  <w:vAlign w:val="center"/>
                </w:tcPr>
                <w:p w14:paraId="6C804EEF">
                  <w:pPr>
                    <w:adjustRightInd w:val="0"/>
                    <w:snapToGrid w:val="0"/>
                    <w:jc w:val="center"/>
                    <w:rPr>
                      <w:color w:val="auto"/>
                      <w:kern w:val="0"/>
                      <w:szCs w:val="21"/>
                    </w:rPr>
                  </w:pPr>
                  <w:r>
                    <w:rPr>
                      <w:color w:val="auto"/>
                      <w:szCs w:val="21"/>
                    </w:rPr>
                    <w:t>年平均浓度</w:t>
                  </w:r>
                </w:p>
              </w:tc>
              <w:tc>
                <w:tcPr>
                  <w:tcW w:w="1355" w:type="dxa"/>
                  <w:tcBorders>
                    <w:tl2br w:val="nil"/>
                    <w:tr2bl w:val="nil"/>
                  </w:tcBorders>
                  <w:vAlign w:val="center"/>
                </w:tcPr>
                <w:p w14:paraId="7CE5326B">
                  <w:pPr>
                    <w:adjustRightInd w:val="0"/>
                    <w:snapToGrid w:val="0"/>
                    <w:jc w:val="center"/>
                    <w:rPr>
                      <w:color w:val="auto"/>
                      <w:szCs w:val="21"/>
                    </w:rPr>
                  </w:pPr>
                  <w:r>
                    <w:rPr>
                      <w:rFonts w:hint="eastAsia"/>
                      <w:color w:val="auto"/>
                      <w:kern w:val="0"/>
                      <w:szCs w:val="21"/>
                    </w:rPr>
                    <w:t>71</w:t>
                  </w:r>
                </w:p>
              </w:tc>
              <w:tc>
                <w:tcPr>
                  <w:tcW w:w="1479" w:type="dxa"/>
                  <w:tcBorders>
                    <w:tl2br w:val="nil"/>
                    <w:tr2bl w:val="nil"/>
                  </w:tcBorders>
                  <w:vAlign w:val="center"/>
                </w:tcPr>
                <w:p w14:paraId="5E5ECCB8">
                  <w:pPr>
                    <w:adjustRightInd w:val="0"/>
                    <w:snapToGrid w:val="0"/>
                    <w:jc w:val="center"/>
                    <w:rPr>
                      <w:rFonts w:hint="default" w:eastAsia="宋体"/>
                      <w:color w:val="auto"/>
                      <w:szCs w:val="21"/>
                      <w:lang w:val="en-US" w:eastAsia="zh-CN"/>
                    </w:rPr>
                  </w:pPr>
                  <w:r>
                    <w:rPr>
                      <w:rFonts w:hint="eastAsia"/>
                      <w:color w:val="auto"/>
                      <w:szCs w:val="21"/>
                      <w:lang w:val="en-US" w:eastAsia="zh-CN"/>
                    </w:rPr>
                    <w:t>60</w:t>
                  </w:r>
                </w:p>
              </w:tc>
              <w:tc>
                <w:tcPr>
                  <w:tcW w:w="1447" w:type="dxa"/>
                  <w:tcBorders>
                    <w:tl2br w:val="nil"/>
                    <w:tr2bl w:val="nil"/>
                  </w:tcBorders>
                  <w:vAlign w:val="center"/>
                </w:tcPr>
                <w:p w14:paraId="4303F5B7">
                  <w:pPr>
                    <w:adjustRightInd w:val="0"/>
                    <w:snapToGrid w:val="0"/>
                    <w:jc w:val="center"/>
                    <w:rPr>
                      <w:rFonts w:hint="default" w:eastAsia="宋体"/>
                      <w:color w:val="auto"/>
                      <w:szCs w:val="21"/>
                      <w:lang w:val="en-US" w:eastAsia="zh-CN"/>
                    </w:rPr>
                  </w:pPr>
                  <w:r>
                    <w:rPr>
                      <w:rFonts w:hint="eastAsia"/>
                      <w:color w:val="auto"/>
                      <w:szCs w:val="21"/>
                      <w:lang w:val="en-US" w:eastAsia="zh-CN"/>
                    </w:rPr>
                    <w:t>118.3</w:t>
                  </w:r>
                </w:p>
              </w:tc>
              <w:tc>
                <w:tcPr>
                  <w:tcW w:w="1548" w:type="dxa"/>
                  <w:tcBorders>
                    <w:tl2br w:val="nil"/>
                    <w:tr2bl w:val="nil"/>
                  </w:tcBorders>
                  <w:vAlign w:val="center"/>
                </w:tcPr>
                <w:p w14:paraId="53CFC0D0">
                  <w:pPr>
                    <w:adjustRightInd w:val="0"/>
                    <w:snapToGrid w:val="0"/>
                    <w:jc w:val="center"/>
                    <w:rPr>
                      <w:color w:val="auto"/>
                      <w:szCs w:val="21"/>
                    </w:rPr>
                  </w:pPr>
                  <w:r>
                    <w:rPr>
                      <w:color w:val="auto"/>
                      <w:szCs w:val="21"/>
                    </w:rPr>
                    <w:t>不达标</w:t>
                  </w:r>
                </w:p>
              </w:tc>
            </w:tr>
            <w:tr w14:paraId="7F3C6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8" w:type="dxa"/>
                  <w:tcBorders>
                    <w:tl2br w:val="nil"/>
                    <w:tr2bl w:val="nil"/>
                  </w:tcBorders>
                  <w:vAlign w:val="center"/>
                </w:tcPr>
                <w:p w14:paraId="440C1678">
                  <w:pPr>
                    <w:adjustRightInd w:val="0"/>
                    <w:snapToGrid w:val="0"/>
                    <w:jc w:val="center"/>
                    <w:rPr>
                      <w:color w:val="auto"/>
                      <w:kern w:val="0"/>
                      <w:szCs w:val="21"/>
                    </w:rPr>
                  </w:pPr>
                  <w:r>
                    <w:rPr>
                      <w:color w:val="auto"/>
                      <w:szCs w:val="21"/>
                    </w:rPr>
                    <w:t>PM</w:t>
                  </w:r>
                  <w:r>
                    <w:rPr>
                      <w:rFonts w:hint="eastAsia"/>
                      <w:color w:val="auto"/>
                      <w:szCs w:val="21"/>
                      <w:vertAlign w:val="subscript"/>
                    </w:rPr>
                    <w:t>2.5</w:t>
                  </w:r>
                </w:p>
              </w:tc>
              <w:tc>
                <w:tcPr>
                  <w:tcW w:w="2252" w:type="dxa"/>
                  <w:tcBorders>
                    <w:tl2br w:val="nil"/>
                    <w:tr2bl w:val="nil"/>
                  </w:tcBorders>
                  <w:vAlign w:val="center"/>
                </w:tcPr>
                <w:p w14:paraId="7496B7D0">
                  <w:pPr>
                    <w:adjustRightInd w:val="0"/>
                    <w:snapToGrid w:val="0"/>
                    <w:jc w:val="center"/>
                    <w:rPr>
                      <w:color w:val="auto"/>
                      <w:kern w:val="0"/>
                      <w:szCs w:val="21"/>
                    </w:rPr>
                  </w:pPr>
                  <w:r>
                    <w:rPr>
                      <w:color w:val="auto"/>
                      <w:szCs w:val="21"/>
                    </w:rPr>
                    <w:t>年平均浓度</w:t>
                  </w:r>
                </w:p>
              </w:tc>
              <w:tc>
                <w:tcPr>
                  <w:tcW w:w="1355" w:type="dxa"/>
                  <w:tcBorders>
                    <w:tl2br w:val="nil"/>
                    <w:tr2bl w:val="nil"/>
                  </w:tcBorders>
                  <w:vAlign w:val="center"/>
                </w:tcPr>
                <w:p w14:paraId="4F9EBA35">
                  <w:pPr>
                    <w:adjustRightInd w:val="0"/>
                    <w:snapToGrid w:val="0"/>
                    <w:jc w:val="center"/>
                    <w:rPr>
                      <w:color w:val="auto"/>
                      <w:szCs w:val="21"/>
                    </w:rPr>
                  </w:pPr>
                  <w:r>
                    <w:rPr>
                      <w:rFonts w:hint="eastAsia"/>
                      <w:color w:val="auto"/>
                      <w:kern w:val="0"/>
                      <w:szCs w:val="21"/>
                    </w:rPr>
                    <w:t>43</w:t>
                  </w:r>
                </w:p>
              </w:tc>
              <w:tc>
                <w:tcPr>
                  <w:tcW w:w="1479" w:type="dxa"/>
                  <w:tcBorders>
                    <w:tl2br w:val="nil"/>
                    <w:tr2bl w:val="nil"/>
                  </w:tcBorders>
                  <w:vAlign w:val="center"/>
                </w:tcPr>
                <w:p w14:paraId="53EBDB5E">
                  <w:pPr>
                    <w:adjustRightInd w:val="0"/>
                    <w:snapToGrid w:val="0"/>
                    <w:jc w:val="center"/>
                    <w:rPr>
                      <w:rFonts w:hint="default" w:eastAsia="宋体"/>
                      <w:color w:val="auto"/>
                      <w:szCs w:val="21"/>
                      <w:lang w:val="en-US" w:eastAsia="zh-CN"/>
                    </w:rPr>
                  </w:pPr>
                  <w:r>
                    <w:rPr>
                      <w:rFonts w:hint="eastAsia"/>
                      <w:color w:val="auto"/>
                      <w:szCs w:val="21"/>
                      <w:lang w:val="en-US" w:eastAsia="zh-CN"/>
                    </w:rPr>
                    <w:t>30</w:t>
                  </w:r>
                </w:p>
              </w:tc>
              <w:tc>
                <w:tcPr>
                  <w:tcW w:w="1447" w:type="dxa"/>
                  <w:tcBorders>
                    <w:tl2br w:val="nil"/>
                    <w:tr2bl w:val="nil"/>
                  </w:tcBorders>
                  <w:vAlign w:val="center"/>
                </w:tcPr>
                <w:p w14:paraId="7415F1EC">
                  <w:pPr>
                    <w:adjustRightInd w:val="0"/>
                    <w:snapToGrid w:val="0"/>
                    <w:jc w:val="center"/>
                    <w:rPr>
                      <w:rFonts w:hint="default" w:eastAsia="宋体"/>
                      <w:color w:val="auto"/>
                      <w:szCs w:val="21"/>
                      <w:lang w:val="en-US" w:eastAsia="zh-CN"/>
                    </w:rPr>
                  </w:pPr>
                  <w:r>
                    <w:rPr>
                      <w:rFonts w:hint="eastAsia"/>
                      <w:color w:val="auto"/>
                      <w:szCs w:val="21"/>
                      <w:lang w:val="en-US" w:eastAsia="zh-CN"/>
                    </w:rPr>
                    <w:t>143.3</w:t>
                  </w:r>
                </w:p>
              </w:tc>
              <w:tc>
                <w:tcPr>
                  <w:tcW w:w="1548" w:type="dxa"/>
                  <w:tcBorders>
                    <w:tl2br w:val="nil"/>
                    <w:tr2bl w:val="nil"/>
                  </w:tcBorders>
                  <w:vAlign w:val="center"/>
                </w:tcPr>
                <w:p w14:paraId="347A3FDF">
                  <w:pPr>
                    <w:adjustRightInd w:val="0"/>
                    <w:snapToGrid w:val="0"/>
                    <w:jc w:val="center"/>
                    <w:rPr>
                      <w:color w:val="auto"/>
                      <w:szCs w:val="21"/>
                    </w:rPr>
                  </w:pPr>
                  <w:r>
                    <w:rPr>
                      <w:color w:val="auto"/>
                      <w:szCs w:val="21"/>
                    </w:rPr>
                    <w:t>不达标</w:t>
                  </w:r>
                </w:p>
              </w:tc>
            </w:tr>
            <w:tr w14:paraId="2B476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8" w:type="dxa"/>
                  <w:tcBorders>
                    <w:tl2br w:val="nil"/>
                    <w:tr2bl w:val="nil"/>
                  </w:tcBorders>
                  <w:vAlign w:val="center"/>
                </w:tcPr>
                <w:p w14:paraId="70FD142A">
                  <w:pPr>
                    <w:adjustRightInd w:val="0"/>
                    <w:snapToGrid w:val="0"/>
                    <w:jc w:val="center"/>
                    <w:rPr>
                      <w:color w:val="auto"/>
                      <w:kern w:val="0"/>
                      <w:szCs w:val="21"/>
                    </w:rPr>
                  </w:pPr>
                  <w:r>
                    <w:rPr>
                      <w:color w:val="auto"/>
                      <w:szCs w:val="21"/>
                    </w:rPr>
                    <w:t>SO</w:t>
                  </w:r>
                  <w:r>
                    <w:rPr>
                      <w:rFonts w:hint="eastAsia"/>
                      <w:color w:val="auto"/>
                      <w:szCs w:val="21"/>
                      <w:vertAlign w:val="subscript"/>
                    </w:rPr>
                    <w:t>2</w:t>
                  </w:r>
                </w:p>
              </w:tc>
              <w:tc>
                <w:tcPr>
                  <w:tcW w:w="2252" w:type="dxa"/>
                  <w:tcBorders>
                    <w:tl2br w:val="nil"/>
                    <w:tr2bl w:val="nil"/>
                  </w:tcBorders>
                  <w:vAlign w:val="center"/>
                </w:tcPr>
                <w:p w14:paraId="2BA2213F">
                  <w:pPr>
                    <w:adjustRightInd w:val="0"/>
                    <w:snapToGrid w:val="0"/>
                    <w:jc w:val="center"/>
                    <w:rPr>
                      <w:color w:val="auto"/>
                      <w:kern w:val="0"/>
                      <w:szCs w:val="21"/>
                    </w:rPr>
                  </w:pPr>
                  <w:r>
                    <w:rPr>
                      <w:color w:val="auto"/>
                      <w:szCs w:val="21"/>
                    </w:rPr>
                    <w:t>年平均浓度</w:t>
                  </w:r>
                </w:p>
              </w:tc>
              <w:tc>
                <w:tcPr>
                  <w:tcW w:w="1355" w:type="dxa"/>
                  <w:tcBorders>
                    <w:tl2br w:val="nil"/>
                    <w:tr2bl w:val="nil"/>
                  </w:tcBorders>
                  <w:vAlign w:val="center"/>
                </w:tcPr>
                <w:p w14:paraId="1382A3B9">
                  <w:pPr>
                    <w:adjustRightInd w:val="0"/>
                    <w:snapToGrid w:val="0"/>
                    <w:jc w:val="center"/>
                    <w:rPr>
                      <w:color w:val="auto"/>
                      <w:szCs w:val="21"/>
                    </w:rPr>
                  </w:pPr>
                  <w:r>
                    <w:rPr>
                      <w:rFonts w:hint="eastAsia"/>
                      <w:color w:val="auto"/>
                      <w:kern w:val="0"/>
                      <w:szCs w:val="21"/>
                    </w:rPr>
                    <w:t>6</w:t>
                  </w:r>
                </w:p>
              </w:tc>
              <w:tc>
                <w:tcPr>
                  <w:tcW w:w="1479" w:type="dxa"/>
                  <w:tcBorders>
                    <w:tl2br w:val="nil"/>
                    <w:tr2bl w:val="nil"/>
                  </w:tcBorders>
                  <w:vAlign w:val="center"/>
                </w:tcPr>
                <w:p w14:paraId="460D3251">
                  <w:pPr>
                    <w:adjustRightInd w:val="0"/>
                    <w:snapToGrid w:val="0"/>
                    <w:jc w:val="center"/>
                    <w:rPr>
                      <w:color w:val="auto"/>
                      <w:szCs w:val="21"/>
                    </w:rPr>
                  </w:pPr>
                  <w:r>
                    <w:rPr>
                      <w:rFonts w:hint="eastAsia"/>
                      <w:color w:val="auto"/>
                      <w:szCs w:val="21"/>
                    </w:rPr>
                    <w:t>60</w:t>
                  </w:r>
                </w:p>
              </w:tc>
              <w:tc>
                <w:tcPr>
                  <w:tcW w:w="1447" w:type="dxa"/>
                  <w:tcBorders>
                    <w:tl2br w:val="nil"/>
                    <w:tr2bl w:val="nil"/>
                  </w:tcBorders>
                  <w:vAlign w:val="center"/>
                </w:tcPr>
                <w:p w14:paraId="50C22906">
                  <w:pPr>
                    <w:adjustRightInd w:val="0"/>
                    <w:snapToGrid w:val="0"/>
                    <w:jc w:val="center"/>
                    <w:rPr>
                      <w:color w:val="auto"/>
                      <w:szCs w:val="21"/>
                    </w:rPr>
                  </w:pPr>
                  <w:r>
                    <w:rPr>
                      <w:rFonts w:hint="eastAsia"/>
                      <w:color w:val="auto"/>
                      <w:szCs w:val="21"/>
                    </w:rPr>
                    <w:t>10.0</w:t>
                  </w:r>
                </w:p>
              </w:tc>
              <w:tc>
                <w:tcPr>
                  <w:tcW w:w="1548" w:type="dxa"/>
                  <w:tcBorders>
                    <w:tl2br w:val="nil"/>
                    <w:tr2bl w:val="nil"/>
                  </w:tcBorders>
                  <w:vAlign w:val="center"/>
                </w:tcPr>
                <w:p w14:paraId="431D1E07">
                  <w:pPr>
                    <w:adjustRightInd w:val="0"/>
                    <w:snapToGrid w:val="0"/>
                    <w:jc w:val="center"/>
                    <w:rPr>
                      <w:color w:val="auto"/>
                      <w:szCs w:val="21"/>
                    </w:rPr>
                  </w:pPr>
                  <w:r>
                    <w:rPr>
                      <w:color w:val="auto"/>
                      <w:szCs w:val="21"/>
                    </w:rPr>
                    <w:t>达标</w:t>
                  </w:r>
                </w:p>
              </w:tc>
            </w:tr>
            <w:tr w14:paraId="39E31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8" w:type="dxa"/>
                  <w:tcBorders>
                    <w:tl2br w:val="nil"/>
                    <w:tr2bl w:val="nil"/>
                  </w:tcBorders>
                  <w:vAlign w:val="center"/>
                </w:tcPr>
                <w:p w14:paraId="451A42D6">
                  <w:pPr>
                    <w:adjustRightInd w:val="0"/>
                    <w:snapToGrid w:val="0"/>
                    <w:jc w:val="center"/>
                    <w:rPr>
                      <w:color w:val="auto"/>
                      <w:kern w:val="0"/>
                      <w:szCs w:val="21"/>
                    </w:rPr>
                  </w:pPr>
                  <w:r>
                    <w:rPr>
                      <w:color w:val="auto"/>
                      <w:szCs w:val="21"/>
                    </w:rPr>
                    <w:t>NO</w:t>
                  </w:r>
                  <w:r>
                    <w:rPr>
                      <w:rFonts w:hint="eastAsia"/>
                      <w:color w:val="auto"/>
                      <w:szCs w:val="21"/>
                      <w:vertAlign w:val="subscript"/>
                    </w:rPr>
                    <w:t>2</w:t>
                  </w:r>
                </w:p>
              </w:tc>
              <w:tc>
                <w:tcPr>
                  <w:tcW w:w="2252" w:type="dxa"/>
                  <w:tcBorders>
                    <w:tl2br w:val="nil"/>
                    <w:tr2bl w:val="nil"/>
                  </w:tcBorders>
                  <w:vAlign w:val="center"/>
                </w:tcPr>
                <w:p w14:paraId="0624B458">
                  <w:pPr>
                    <w:adjustRightInd w:val="0"/>
                    <w:snapToGrid w:val="0"/>
                    <w:jc w:val="center"/>
                    <w:rPr>
                      <w:color w:val="auto"/>
                      <w:kern w:val="0"/>
                      <w:szCs w:val="21"/>
                    </w:rPr>
                  </w:pPr>
                  <w:r>
                    <w:rPr>
                      <w:color w:val="auto"/>
                      <w:szCs w:val="21"/>
                    </w:rPr>
                    <w:t>年平均浓度</w:t>
                  </w:r>
                </w:p>
              </w:tc>
              <w:tc>
                <w:tcPr>
                  <w:tcW w:w="1355" w:type="dxa"/>
                  <w:tcBorders>
                    <w:tl2br w:val="nil"/>
                    <w:tr2bl w:val="nil"/>
                  </w:tcBorders>
                  <w:vAlign w:val="center"/>
                </w:tcPr>
                <w:p w14:paraId="30459257">
                  <w:pPr>
                    <w:adjustRightInd w:val="0"/>
                    <w:snapToGrid w:val="0"/>
                    <w:jc w:val="center"/>
                    <w:rPr>
                      <w:color w:val="auto"/>
                      <w:szCs w:val="21"/>
                    </w:rPr>
                  </w:pPr>
                  <w:r>
                    <w:rPr>
                      <w:rFonts w:hint="eastAsia"/>
                      <w:color w:val="auto"/>
                      <w:kern w:val="0"/>
                      <w:szCs w:val="21"/>
                    </w:rPr>
                    <w:t>18</w:t>
                  </w:r>
                </w:p>
              </w:tc>
              <w:tc>
                <w:tcPr>
                  <w:tcW w:w="1479" w:type="dxa"/>
                  <w:tcBorders>
                    <w:tl2br w:val="nil"/>
                    <w:tr2bl w:val="nil"/>
                  </w:tcBorders>
                  <w:vAlign w:val="center"/>
                </w:tcPr>
                <w:p w14:paraId="5A6BAF89">
                  <w:pPr>
                    <w:adjustRightInd w:val="0"/>
                    <w:snapToGrid w:val="0"/>
                    <w:jc w:val="center"/>
                    <w:rPr>
                      <w:color w:val="auto"/>
                      <w:szCs w:val="21"/>
                    </w:rPr>
                  </w:pPr>
                  <w:r>
                    <w:rPr>
                      <w:rFonts w:hint="eastAsia"/>
                      <w:color w:val="auto"/>
                      <w:szCs w:val="21"/>
                    </w:rPr>
                    <w:t>40</w:t>
                  </w:r>
                </w:p>
              </w:tc>
              <w:tc>
                <w:tcPr>
                  <w:tcW w:w="1447" w:type="dxa"/>
                  <w:tcBorders>
                    <w:tl2br w:val="nil"/>
                    <w:tr2bl w:val="nil"/>
                  </w:tcBorders>
                  <w:vAlign w:val="center"/>
                </w:tcPr>
                <w:p w14:paraId="7BD7F29F">
                  <w:pPr>
                    <w:adjustRightInd w:val="0"/>
                    <w:snapToGrid w:val="0"/>
                    <w:jc w:val="center"/>
                    <w:rPr>
                      <w:color w:val="auto"/>
                      <w:szCs w:val="21"/>
                    </w:rPr>
                  </w:pPr>
                  <w:r>
                    <w:rPr>
                      <w:rFonts w:hint="eastAsia"/>
                      <w:color w:val="auto"/>
                      <w:szCs w:val="21"/>
                    </w:rPr>
                    <w:t>45.0</w:t>
                  </w:r>
                </w:p>
              </w:tc>
              <w:tc>
                <w:tcPr>
                  <w:tcW w:w="1548" w:type="dxa"/>
                  <w:tcBorders>
                    <w:tl2br w:val="nil"/>
                    <w:tr2bl w:val="nil"/>
                  </w:tcBorders>
                  <w:vAlign w:val="center"/>
                </w:tcPr>
                <w:p w14:paraId="238CEAB1">
                  <w:pPr>
                    <w:adjustRightInd w:val="0"/>
                    <w:snapToGrid w:val="0"/>
                    <w:jc w:val="center"/>
                    <w:rPr>
                      <w:color w:val="auto"/>
                      <w:szCs w:val="21"/>
                    </w:rPr>
                  </w:pPr>
                  <w:r>
                    <w:rPr>
                      <w:color w:val="auto"/>
                      <w:szCs w:val="21"/>
                    </w:rPr>
                    <w:t>达标</w:t>
                  </w:r>
                </w:p>
              </w:tc>
            </w:tr>
            <w:tr w14:paraId="7021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8" w:type="dxa"/>
                  <w:tcBorders>
                    <w:tl2br w:val="nil"/>
                    <w:tr2bl w:val="nil"/>
                  </w:tcBorders>
                  <w:vAlign w:val="center"/>
                </w:tcPr>
                <w:p w14:paraId="2B339C8C">
                  <w:pPr>
                    <w:adjustRightInd w:val="0"/>
                    <w:snapToGrid w:val="0"/>
                    <w:jc w:val="center"/>
                    <w:rPr>
                      <w:color w:val="auto"/>
                      <w:kern w:val="0"/>
                      <w:szCs w:val="21"/>
                    </w:rPr>
                  </w:pPr>
                  <w:r>
                    <w:rPr>
                      <w:color w:val="auto"/>
                      <w:szCs w:val="21"/>
                    </w:rPr>
                    <w:t>CO</w:t>
                  </w:r>
                </w:p>
              </w:tc>
              <w:tc>
                <w:tcPr>
                  <w:tcW w:w="2252" w:type="dxa"/>
                  <w:tcBorders>
                    <w:tl2br w:val="nil"/>
                    <w:tr2bl w:val="nil"/>
                  </w:tcBorders>
                  <w:vAlign w:val="center"/>
                </w:tcPr>
                <w:p w14:paraId="313F5CE9">
                  <w:pPr>
                    <w:adjustRightInd w:val="0"/>
                    <w:snapToGrid w:val="0"/>
                    <w:jc w:val="center"/>
                    <w:rPr>
                      <w:color w:val="auto"/>
                      <w:kern w:val="0"/>
                      <w:szCs w:val="21"/>
                    </w:rPr>
                  </w:pPr>
                  <w:r>
                    <w:rPr>
                      <w:color w:val="auto"/>
                      <w:szCs w:val="21"/>
                    </w:rPr>
                    <w:t>日平均第95百分位质量浓度</w:t>
                  </w:r>
                </w:p>
              </w:tc>
              <w:tc>
                <w:tcPr>
                  <w:tcW w:w="1355" w:type="dxa"/>
                  <w:tcBorders>
                    <w:tl2br w:val="nil"/>
                    <w:tr2bl w:val="nil"/>
                  </w:tcBorders>
                  <w:vAlign w:val="center"/>
                </w:tcPr>
                <w:p w14:paraId="26653DA5">
                  <w:pPr>
                    <w:adjustRightInd w:val="0"/>
                    <w:snapToGrid w:val="0"/>
                    <w:jc w:val="center"/>
                    <w:rPr>
                      <w:color w:val="auto"/>
                      <w:szCs w:val="21"/>
                    </w:rPr>
                  </w:pPr>
                  <w:r>
                    <w:rPr>
                      <w:rFonts w:hint="eastAsia"/>
                      <w:color w:val="auto"/>
                      <w:szCs w:val="21"/>
                    </w:rPr>
                    <w:t>0.9mg/m</w:t>
                  </w:r>
                  <w:r>
                    <w:rPr>
                      <w:rFonts w:hint="eastAsia"/>
                      <w:color w:val="auto"/>
                      <w:szCs w:val="21"/>
                      <w:vertAlign w:val="superscript"/>
                    </w:rPr>
                    <w:t>3</w:t>
                  </w:r>
                </w:p>
              </w:tc>
              <w:tc>
                <w:tcPr>
                  <w:tcW w:w="1479" w:type="dxa"/>
                  <w:tcBorders>
                    <w:tl2br w:val="nil"/>
                    <w:tr2bl w:val="nil"/>
                  </w:tcBorders>
                  <w:vAlign w:val="center"/>
                </w:tcPr>
                <w:p w14:paraId="66ABD9BB">
                  <w:pPr>
                    <w:adjustRightInd w:val="0"/>
                    <w:snapToGrid w:val="0"/>
                    <w:jc w:val="center"/>
                    <w:rPr>
                      <w:color w:val="auto"/>
                      <w:szCs w:val="21"/>
                    </w:rPr>
                  </w:pPr>
                  <w:r>
                    <w:rPr>
                      <w:rFonts w:hint="eastAsia"/>
                      <w:color w:val="auto"/>
                      <w:szCs w:val="21"/>
                    </w:rPr>
                    <w:t>4mg/m</w:t>
                  </w:r>
                  <w:r>
                    <w:rPr>
                      <w:rFonts w:hint="eastAsia"/>
                      <w:color w:val="auto"/>
                      <w:szCs w:val="21"/>
                      <w:vertAlign w:val="superscript"/>
                    </w:rPr>
                    <w:t>3</w:t>
                  </w:r>
                </w:p>
              </w:tc>
              <w:tc>
                <w:tcPr>
                  <w:tcW w:w="1447" w:type="dxa"/>
                  <w:tcBorders>
                    <w:tl2br w:val="nil"/>
                    <w:tr2bl w:val="nil"/>
                  </w:tcBorders>
                  <w:vAlign w:val="center"/>
                </w:tcPr>
                <w:p w14:paraId="656ABEEE">
                  <w:pPr>
                    <w:adjustRightInd w:val="0"/>
                    <w:snapToGrid w:val="0"/>
                    <w:jc w:val="center"/>
                    <w:rPr>
                      <w:color w:val="auto"/>
                      <w:szCs w:val="21"/>
                    </w:rPr>
                  </w:pPr>
                  <w:r>
                    <w:rPr>
                      <w:rFonts w:hint="eastAsia"/>
                      <w:color w:val="auto"/>
                      <w:szCs w:val="21"/>
                    </w:rPr>
                    <w:t>22.5</w:t>
                  </w:r>
                </w:p>
              </w:tc>
              <w:tc>
                <w:tcPr>
                  <w:tcW w:w="1548" w:type="dxa"/>
                  <w:tcBorders>
                    <w:tl2br w:val="nil"/>
                    <w:tr2bl w:val="nil"/>
                  </w:tcBorders>
                  <w:vAlign w:val="center"/>
                </w:tcPr>
                <w:p w14:paraId="5C4D3B3E">
                  <w:pPr>
                    <w:adjustRightInd w:val="0"/>
                    <w:snapToGrid w:val="0"/>
                    <w:jc w:val="center"/>
                    <w:rPr>
                      <w:color w:val="auto"/>
                      <w:szCs w:val="21"/>
                    </w:rPr>
                  </w:pPr>
                  <w:r>
                    <w:rPr>
                      <w:color w:val="auto"/>
                      <w:szCs w:val="21"/>
                    </w:rPr>
                    <w:t>达标</w:t>
                  </w:r>
                </w:p>
              </w:tc>
            </w:tr>
            <w:tr w14:paraId="6195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8" w:type="dxa"/>
                  <w:tcBorders>
                    <w:tl2br w:val="nil"/>
                    <w:tr2bl w:val="nil"/>
                  </w:tcBorders>
                  <w:vAlign w:val="center"/>
                </w:tcPr>
                <w:p w14:paraId="399D754C">
                  <w:pPr>
                    <w:adjustRightInd w:val="0"/>
                    <w:snapToGrid w:val="0"/>
                    <w:jc w:val="center"/>
                    <w:rPr>
                      <w:color w:val="auto"/>
                      <w:kern w:val="0"/>
                      <w:szCs w:val="21"/>
                    </w:rPr>
                  </w:pPr>
                  <w:r>
                    <w:rPr>
                      <w:color w:val="auto"/>
                      <w:szCs w:val="21"/>
                    </w:rPr>
                    <w:t>O</w:t>
                  </w:r>
                  <w:r>
                    <w:rPr>
                      <w:rFonts w:hint="eastAsia"/>
                      <w:color w:val="auto"/>
                      <w:szCs w:val="21"/>
                      <w:vertAlign w:val="subscript"/>
                    </w:rPr>
                    <w:t>3</w:t>
                  </w:r>
                </w:p>
              </w:tc>
              <w:tc>
                <w:tcPr>
                  <w:tcW w:w="2252" w:type="dxa"/>
                  <w:tcBorders>
                    <w:tl2br w:val="nil"/>
                    <w:tr2bl w:val="nil"/>
                  </w:tcBorders>
                  <w:vAlign w:val="center"/>
                </w:tcPr>
                <w:p w14:paraId="30AF6685">
                  <w:pPr>
                    <w:adjustRightInd w:val="0"/>
                    <w:snapToGrid w:val="0"/>
                    <w:jc w:val="center"/>
                    <w:rPr>
                      <w:color w:val="auto"/>
                      <w:kern w:val="0"/>
                      <w:szCs w:val="21"/>
                    </w:rPr>
                  </w:pPr>
                  <w:r>
                    <w:rPr>
                      <w:color w:val="auto"/>
                      <w:szCs w:val="21"/>
                    </w:rPr>
                    <w:t>日最大8小时平均第90百分位质量浓度</w:t>
                  </w:r>
                </w:p>
              </w:tc>
              <w:tc>
                <w:tcPr>
                  <w:tcW w:w="1355" w:type="dxa"/>
                  <w:tcBorders>
                    <w:tl2br w:val="nil"/>
                    <w:tr2bl w:val="nil"/>
                  </w:tcBorders>
                  <w:vAlign w:val="center"/>
                </w:tcPr>
                <w:p w14:paraId="0B896037">
                  <w:pPr>
                    <w:adjustRightInd w:val="0"/>
                    <w:snapToGrid w:val="0"/>
                    <w:jc w:val="center"/>
                    <w:rPr>
                      <w:color w:val="auto"/>
                      <w:szCs w:val="21"/>
                    </w:rPr>
                  </w:pPr>
                  <w:r>
                    <w:rPr>
                      <w:rFonts w:hint="eastAsia"/>
                      <w:color w:val="auto"/>
                      <w:szCs w:val="21"/>
                    </w:rPr>
                    <w:t>170</w:t>
                  </w:r>
                </w:p>
              </w:tc>
              <w:tc>
                <w:tcPr>
                  <w:tcW w:w="1479" w:type="dxa"/>
                  <w:tcBorders>
                    <w:tl2br w:val="nil"/>
                    <w:tr2bl w:val="nil"/>
                  </w:tcBorders>
                  <w:vAlign w:val="center"/>
                </w:tcPr>
                <w:p w14:paraId="63AB97E0">
                  <w:pPr>
                    <w:adjustRightInd w:val="0"/>
                    <w:snapToGrid w:val="0"/>
                    <w:jc w:val="center"/>
                    <w:rPr>
                      <w:color w:val="auto"/>
                      <w:szCs w:val="21"/>
                    </w:rPr>
                  </w:pPr>
                  <w:r>
                    <w:rPr>
                      <w:rFonts w:hint="eastAsia"/>
                      <w:color w:val="auto"/>
                      <w:szCs w:val="21"/>
                    </w:rPr>
                    <w:t>160</w:t>
                  </w:r>
                </w:p>
              </w:tc>
              <w:tc>
                <w:tcPr>
                  <w:tcW w:w="1447" w:type="dxa"/>
                  <w:tcBorders>
                    <w:tl2br w:val="nil"/>
                    <w:tr2bl w:val="nil"/>
                  </w:tcBorders>
                  <w:vAlign w:val="center"/>
                </w:tcPr>
                <w:p w14:paraId="11A4DD40">
                  <w:pPr>
                    <w:adjustRightInd w:val="0"/>
                    <w:snapToGrid w:val="0"/>
                    <w:jc w:val="center"/>
                    <w:rPr>
                      <w:color w:val="auto"/>
                      <w:szCs w:val="21"/>
                    </w:rPr>
                  </w:pPr>
                  <w:r>
                    <w:rPr>
                      <w:rFonts w:hint="eastAsia"/>
                      <w:color w:val="auto"/>
                      <w:szCs w:val="21"/>
                    </w:rPr>
                    <w:t>106.3</w:t>
                  </w:r>
                </w:p>
              </w:tc>
              <w:tc>
                <w:tcPr>
                  <w:tcW w:w="1548" w:type="dxa"/>
                  <w:tcBorders>
                    <w:tl2br w:val="nil"/>
                    <w:tr2bl w:val="nil"/>
                  </w:tcBorders>
                  <w:vAlign w:val="center"/>
                </w:tcPr>
                <w:p w14:paraId="0D1C4042">
                  <w:pPr>
                    <w:adjustRightInd w:val="0"/>
                    <w:snapToGrid w:val="0"/>
                    <w:jc w:val="center"/>
                    <w:rPr>
                      <w:color w:val="auto"/>
                      <w:szCs w:val="21"/>
                    </w:rPr>
                  </w:pPr>
                  <w:r>
                    <w:rPr>
                      <w:rFonts w:hint="eastAsia"/>
                      <w:color w:val="auto"/>
                      <w:szCs w:val="21"/>
                    </w:rPr>
                    <w:t>不</w:t>
                  </w:r>
                  <w:r>
                    <w:rPr>
                      <w:color w:val="auto"/>
                      <w:szCs w:val="21"/>
                    </w:rPr>
                    <w:t>达标</w:t>
                  </w:r>
                </w:p>
              </w:tc>
            </w:tr>
          </w:tbl>
          <w:p w14:paraId="2D9F3AEB">
            <w:pPr>
              <w:widowControl/>
              <w:adjustRightInd w:val="0"/>
              <w:snapToGrid w:val="0"/>
              <w:spacing w:line="360" w:lineRule="auto"/>
              <w:ind w:firstLine="480" w:firstLineChars="200"/>
              <w:jc w:val="left"/>
              <w:rPr>
                <w:color w:val="auto"/>
                <w:kern w:val="0"/>
                <w:sz w:val="24"/>
              </w:rPr>
            </w:pPr>
            <w:r>
              <w:rPr>
                <w:color w:val="auto"/>
                <w:kern w:val="0"/>
                <w:sz w:val="24"/>
              </w:rPr>
              <w:t>宿州市</w:t>
            </w:r>
            <w:r>
              <w:rPr>
                <w:rFonts w:hint="eastAsia"/>
                <w:color w:val="auto"/>
                <w:kern w:val="0"/>
                <w:sz w:val="24"/>
              </w:rPr>
              <w:t>2024</w:t>
            </w:r>
            <w:r>
              <w:rPr>
                <w:color w:val="auto"/>
                <w:kern w:val="0"/>
                <w:sz w:val="24"/>
              </w:rPr>
              <w:t>年PM</w:t>
            </w:r>
            <w:r>
              <w:rPr>
                <w:color w:val="auto"/>
                <w:kern w:val="0"/>
                <w:sz w:val="24"/>
                <w:vertAlign w:val="subscript"/>
              </w:rPr>
              <w:t>10</w:t>
            </w:r>
            <w:r>
              <w:rPr>
                <w:color w:val="auto"/>
                <w:kern w:val="0"/>
                <w:sz w:val="24"/>
              </w:rPr>
              <w:t>、PM</w:t>
            </w:r>
            <w:r>
              <w:rPr>
                <w:color w:val="auto"/>
                <w:kern w:val="0"/>
                <w:sz w:val="24"/>
                <w:vertAlign w:val="subscript"/>
              </w:rPr>
              <w:t>2.5</w:t>
            </w:r>
            <w:r>
              <w:rPr>
                <w:rFonts w:hint="eastAsia"/>
                <w:color w:val="auto"/>
                <w:kern w:val="0"/>
                <w:sz w:val="24"/>
              </w:rPr>
              <w:t>、</w:t>
            </w:r>
            <w:r>
              <w:rPr>
                <w:color w:val="auto"/>
                <w:kern w:val="0"/>
                <w:sz w:val="24"/>
              </w:rPr>
              <w:t>SO</w:t>
            </w:r>
            <w:r>
              <w:rPr>
                <w:color w:val="auto"/>
                <w:kern w:val="0"/>
                <w:sz w:val="24"/>
                <w:vertAlign w:val="subscript"/>
              </w:rPr>
              <w:t>2</w:t>
            </w:r>
            <w:r>
              <w:rPr>
                <w:color w:val="auto"/>
                <w:kern w:val="0"/>
                <w:sz w:val="24"/>
              </w:rPr>
              <w:t>、NO</w:t>
            </w:r>
            <w:r>
              <w:rPr>
                <w:color w:val="auto"/>
                <w:kern w:val="0"/>
                <w:sz w:val="24"/>
                <w:vertAlign w:val="subscript"/>
              </w:rPr>
              <w:t>2</w:t>
            </w:r>
            <w:r>
              <w:rPr>
                <w:color w:val="auto"/>
                <w:kern w:val="0"/>
                <w:sz w:val="24"/>
              </w:rPr>
              <w:t>年均浓度分别为</w:t>
            </w:r>
            <w:r>
              <w:rPr>
                <w:rFonts w:hint="eastAsia"/>
                <w:color w:val="auto"/>
                <w:kern w:val="0"/>
                <w:sz w:val="24"/>
              </w:rPr>
              <w:t>71</w:t>
            </w:r>
            <w:r>
              <w:rPr>
                <w:color w:val="auto"/>
                <w:kern w:val="0"/>
                <w:sz w:val="24"/>
              </w:rPr>
              <w:t>μg/m</w:t>
            </w:r>
            <w:r>
              <w:rPr>
                <w:color w:val="auto"/>
                <w:kern w:val="0"/>
                <w:sz w:val="24"/>
                <w:vertAlign w:val="superscript"/>
              </w:rPr>
              <w:t>3</w:t>
            </w:r>
            <w:r>
              <w:rPr>
                <w:color w:val="auto"/>
                <w:kern w:val="0"/>
                <w:sz w:val="24"/>
              </w:rPr>
              <w:t>、</w:t>
            </w:r>
            <w:r>
              <w:rPr>
                <w:rFonts w:hint="eastAsia"/>
                <w:color w:val="auto"/>
                <w:kern w:val="0"/>
                <w:sz w:val="24"/>
              </w:rPr>
              <w:t>43</w:t>
            </w:r>
            <w:r>
              <w:rPr>
                <w:color w:val="auto"/>
                <w:kern w:val="0"/>
                <w:sz w:val="24"/>
              </w:rPr>
              <w:t>μg/m</w:t>
            </w:r>
            <w:r>
              <w:rPr>
                <w:color w:val="auto"/>
                <w:kern w:val="0"/>
                <w:sz w:val="24"/>
                <w:vertAlign w:val="superscript"/>
              </w:rPr>
              <w:t>3</w:t>
            </w:r>
            <w:r>
              <w:rPr>
                <w:color w:val="auto"/>
                <w:kern w:val="0"/>
                <w:sz w:val="24"/>
              </w:rPr>
              <w:t>、</w:t>
            </w:r>
            <w:r>
              <w:rPr>
                <w:rFonts w:hint="eastAsia"/>
                <w:color w:val="auto"/>
                <w:kern w:val="0"/>
                <w:sz w:val="24"/>
              </w:rPr>
              <w:t>6</w:t>
            </w:r>
            <w:r>
              <w:rPr>
                <w:color w:val="auto"/>
                <w:kern w:val="0"/>
                <w:sz w:val="24"/>
              </w:rPr>
              <w:t>μg/m</w:t>
            </w:r>
            <w:r>
              <w:rPr>
                <w:color w:val="auto"/>
                <w:kern w:val="0"/>
                <w:sz w:val="24"/>
                <w:vertAlign w:val="superscript"/>
              </w:rPr>
              <w:t>3</w:t>
            </w:r>
            <w:r>
              <w:rPr>
                <w:color w:val="auto"/>
                <w:kern w:val="0"/>
                <w:sz w:val="24"/>
              </w:rPr>
              <w:t>、</w:t>
            </w:r>
            <w:r>
              <w:rPr>
                <w:rFonts w:hint="eastAsia"/>
                <w:color w:val="auto"/>
                <w:kern w:val="0"/>
                <w:sz w:val="24"/>
              </w:rPr>
              <w:t>18</w:t>
            </w:r>
            <w:r>
              <w:rPr>
                <w:color w:val="auto"/>
                <w:kern w:val="0"/>
                <w:sz w:val="24"/>
              </w:rPr>
              <w:t>μg/m</w:t>
            </w:r>
            <w:r>
              <w:rPr>
                <w:color w:val="auto"/>
                <w:kern w:val="0"/>
                <w:sz w:val="24"/>
                <w:vertAlign w:val="superscript"/>
              </w:rPr>
              <w:t>3</w:t>
            </w:r>
            <w:r>
              <w:rPr>
                <w:color w:val="auto"/>
                <w:kern w:val="0"/>
                <w:sz w:val="24"/>
              </w:rPr>
              <w:t>；CO24小时平均第95百分位数为</w:t>
            </w:r>
            <w:r>
              <w:rPr>
                <w:rFonts w:hint="eastAsia"/>
                <w:color w:val="auto"/>
                <w:kern w:val="0"/>
                <w:sz w:val="24"/>
              </w:rPr>
              <w:t>0.9</w:t>
            </w:r>
            <w:r>
              <w:rPr>
                <w:color w:val="auto"/>
                <w:kern w:val="0"/>
                <w:sz w:val="24"/>
              </w:rPr>
              <w:t>mg/m</w:t>
            </w:r>
            <w:r>
              <w:rPr>
                <w:color w:val="auto"/>
                <w:kern w:val="0"/>
                <w:sz w:val="24"/>
                <w:vertAlign w:val="superscript"/>
              </w:rPr>
              <w:t>3</w:t>
            </w:r>
            <w:r>
              <w:rPr>
                <w:color w:val="auto"/>
                <w:kern w:val="0"/>
                <w:sz w:val="24"/>
              </w:rPr>
              <w:t>，O</w:t>
            </w:r>
            <w:r>
              <w:rPr>
                <w:color w:val="auto"/>
                <w:kern w:val="0"/>
                <w:sz w:val="24"/>
                <w:vertAlign w:val="subscript"/>
              </w:rPr>
              <w:t>3</w:t>
            </w:r>
            <w:r>
              <w:rPr>
                <w:color w:val="auto"/>
                <w:kern w:val="0"/>
                <w:sz w:val="24"/>
              </w:rPr>
              <w:t>日最大8小时平均第90百分位数为</w:t>
            </w:r>
            <w:r>
              <w:rPr>
                <w:rFonts w:hint="eastAsia"/>
                <w:color w:val="auto"/>
                <w:kern w:val="0"/>
                <w:sz w:val="24"/>
              </w:rPr>
              <w:t>170</w:t>
            </w:r>
            <w:r>
              <w:rPr>
                <w:color w:val="auto"/>
                <w:kern w:val="0"/>
                <w:sz w:val="24"/>
              </w:rPr>
              <w:t>μg/m</w:t>
            </w:r>
            <w:r>
              <w:rPr>
                <w:color w:val="auto"/>
                <w:kern w:val="0"/>
                <w:sz w:val="24"/>
                <w:vertAlign w:val="superscript"/>
              </w:rPr>
              <w:t>3</w:t>
            </w:r>
            <w:r>
              <w:rPr>
                <w:color w:val="auto"/>
                <w:kern w:val="0"/>
                <w:sz w:val="24"/>
              </w:rPr>
              <w:t>；超过《环境空气质量标准》（GB3095-20</w:t>
            </w:r>
            <w:r>
              <w:rPr>
                <w:rFonts w:hint="eastAsia"/>
                <w:color w:val="auto"/>
                <w:kern w:val="0"/>
                <w:sz w:val="24"/>
                <w:lang w:val="en-US" w:eastAsia="zh-CN"/>
              </w:rPr>
              <w:t>26</w:t>
            </w:r>
            <w:r>
              <w:rPr>
                <w:color w:val="auto"/>
                <w:kern w:val="0"/>
                <w:sz w:val="24"/>
              </w:rPr>
              <w:t>）中二级标准限值的污染物为O</w:t>
            </w:r>
            <w:r>
              <w:rPr>
                <w:color w:val="auto"/>
                <w:kern w:val="0"/>
                <w:sz w:val="24"/>
                <w:vertAlign w:val="subscript"/>
              </w:rPr>
              <w:t>3</w:t>
            </w:r>
            <w:r>
              <w:rPr>
                <w:color w:val="auto"/>
                <w:kern w:val="0"/>
                <w:sz w:val="24"/>
              </w:rPr>
              <w:t>、PM</w:t>
            </w:r>
            <w:r>
              <w:rPr>
                <w:color w:val="auto"/>
                <w:kern w:val="0"/>
                <w:sz w:val="24"/>
                <w:vertAlign w:val="subscript"/>
              </w:rPr>
              <w:t>2.5</w:t>
            </w:r>
            <w:r>
              <w:rPr>
                <w:color w:val="auto"/>
                <w:kern w:val="0"/>
                <w:sz w:val="24"/>
              </w:rPr>
              <w:t>、PM</w:t>
            </w:r>
            <w:r>
              <w:rPr>
                <w:rFonts w:hint="eastAsia"/>
                <w:color w:val="auto"/>
                <w:kern w:val="0"/>
                <w:sz w:val="24"/>
                <w:vertAlign w:val="subscript"/>
              </w:rPr>
              <w:t>10</w:t>
            </w:r>
            <w:r>
              <w:rPr>
                <w:rFonts w:hint="eastAsia"/>
                <w:color w:val="auto"/>
                <w:kern w:val="0"/>
                <w:sz w:val="24"/>
              </w:rPr>
              <w:t>。</w:t>
            </w:r>
            <w:r>
              <w:rPr>
                <w:color w:val="auto"/>
                <w:kern w:val="0"/>
                <w:sz w:val="24"/>
              </w:rPr>
              <w:t>所以项目所在地为大气环境空气质量不达标区。</w:t>
            </w:r>
          </w:p>
          <w:p w14:paraId="347C34A1">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480" w:firstLineChars="200"/>
              <w:jc w:val="both"/>
              <w:textAlignment w:val="auto"/>
              <w:rPr>
                <w:rFonts w:hint="eastAsia"/>
                <w:sz w:val="24"/>
                <w:szCs w:val="32"/>
              </w:rPr>
            </w:pPr>
            <w:r>
              <w:rPr>
                <w:rFonts w:hint="eastAsia"/>
                <w:sz w:val="24"/>
                <w:szCs w:val="32"/>
              </w:rPr>
              <w:t>特征污染因子</w:t>
            </w:r>
            <w:r>
              <w:rPr>
                <w:rFonts w:hint="default" w:ascii="Times New Roman" w:hAnsi="Times New Roman" w:eastAsia="宋体" w:cs="Times New Roman"/>
                <w:color w:val="auto"/>
                <w:kern w:val="0"/>
                <w:sz w:val="24"/>
                <w:szCs w:val="24"/>
                <w:lang w:val="en-US" w:eastAsia="zh-CN"/>
              </w:rPr>
              <w:t>环境质量现状评价</w:t>
            </w:r>
          </w:p>
          <w:p w14:paraId="25A2F0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000000" w:themeColor="text1"/>
                <w:sz w:val="24"/>
                <w:szCs w:val="24"/>
                <w:highlight w:val="yellow"/>
                <w:lang w:val="en-US" w:eastAsia="zh-CN"/>
                <w14:textFill>
                  <w14:solidFill>
                    <w14:schemeClr w14:val="tx1"/>
                  </w14:solidFill>
                </w14:textFill>
              </w:rPr>
            </w:pPr>
            <w:r>
              <w:rPr>
                <w:rFonts w:hint="eastAsia"/>
                <w:color w:val="auto"/>
                <w:sz w:val="24"/>
                <w:szCs w:val="24"/>
                <w:lang w:val="en-US" w:eastAsia="zh-CN"/>
              </w:rPr>
              <w:t>扩建</w:t>
            </w:r>
            <w:r>
              <w:rPr>
                <w:rFonts w:hint="default"/>
                <w:color w:val="auto"/>
                <w:sz w:val="24"/>
                <w:szCs w:val="24"/>
                <w:lang w:val="en-US" w:eastAsia="zh-CN"/>
              </w:rPr>
              <w:t>项目位于</w:t>
            </w:r>
            <w:r>
              <w:rPr>
                <w:rFonts w:ascii="宋体" w:hAnsi="宋体" w:eastAsia="宋体" w:cs="宋体"/>
                <w:color w:val="auto"/>
                <w:sz w:val="24"/>
                <w:szCs w:val="24"/>
              </w:rPr>
              <w:t>宿州</w:t>
            </w:r>
            <w:r>
              <w:rPr>
                <w:rFonts w:hint="eastAsia" w:ascii="宋体" w:hAnsi="宋体" w:cs="宋体"/>
                <w:color w:val="auto"/>
                <w:sz w:val="24"/>
                <w:szCs w:val="24"/>
                <w:lang w:eastAsia="zh-CN"/>
              </w:rPr>
              <w:t>市</w:t>
            </w:r>
            <w:r>
              <w:rPr>
                <w:rFonts w:ascii="宋体" w:hAnsi="宋体" w:eastAsia="宋体" w:cs="宋体"/>
                <w:color w:val="auto"/>
                <w:sz w:val="24"/>
                <w:szCs w:val="24"/>
              </w:rPr>
              <w:t>埇桥</w:t>
            </w:r>
            <w:r>
              <w:rPr>
                <w:rFonts w:hint="eastAsia" w:ascii="宋体" w:hAnsi="宋体" w:cs="宋体"/>
                <w:color w:val="auto"/>
                <w:sz w:val="24"/>
                <w:szCs w:val="24"/>
                <w:lang w:eastAsia="zh-CN"/>
              </w:rPr>
              <w:t>区</w:t>
            </w:r>
            <w:r>
              <w:rPr>
                <w:rFonts w:ascii="宋体" w:hAnsi="宋体" w:eastAsia="宋体" w:cs="宋体"/>
                <w:color w:val="auto"/>
                <w:sz w:val="24"/>
                <w:szCs w:val="24"/>
              </w:rPr>
              <w:t>循环经济示范园东二环西侧</w:t>
            </w:r>
            <w:r>
              <w:rPr>
                <w:rFonts w:hint="default"/>
                <w:color w:val="auto"/>
                <w:sz w:val="24"/>
                <w:szCs w:val="24"/>
                <w:lang w:val="en-US" w:eastAsia="zh-CN"/>
              </w:rPr>
              <w:t>，</w:t>
            </w:r>
            <w:r>
              <w:rPr>
                <w:rFonts w:hint="eastAsia"/>
                <w:color w:val="auto"/>
                <w:sz w:val="24"/>
                <w:szCs w:val="24"/>
                <w:lang w:val="en-US" w:eastAsia="zh-CN"/>
              </w:rPr>
              <w:t>东南</w:t>
            </w:r>
            <w:r>
              <w:rPr>
                <w:rFonts w:hint="default" w:ascii="Times New Roman" w:hAnsi="Times New Roman" w:eastAsia="宋体" w:cs="Times New Roman"/>
                <w:color w:val="auto"/>
                <w:sz w:val="24"/>
                <w:szCs w:val="24"/>
                <w:highlight w:val="none"/>
                <w:lang w:val="en-US" w:eastAsia="zh-CN"/>
              </w:rPr>
              <w:t>侧</w:t>
            </w:r>
            <w:r>
              <w:rPr>
                <w:rFonts w:hint="eastAsia" w:cs="Times New Roman"/>
                <w:color w:val="auto"/>
                <w:sz w:val="24"/>
                <w:szCs w:val="24"/>
                <w:highlight w:val="none"/>
                <w:lang w:val="en-US" w:eastAsia="zh-CN"/>
              </w:rPr>
              <w:t>2943</w:t>
            </w:r>
            <w:r>
              <w:rPr>
                <w:rFonts w:hint="default" w:ascii="Times New Roman" w:hAnsi="Times New Roman" w:eastAsia="宋体" w:cs="Times New Roman"/>
                <w:color w:val="auto"/>
                <w:sz w:val="24"/>
                <w:szCs w:val="24"/>
                <w:highlight w:val="none"/>
                <w:lang w:val="en-US" w:eastAsia="zh-CN"/>
              </w:rPr>
              <w:t>米为</w:t>
            </w:r>
            <w:r>
              <w:rPr>
                <w:rFonts w:hint="eastAsia" w:cs="Times New Roman"/>
                <w:color w:val="auto"/>
                <w:sz w:val="24"/>
                <w:szCs w:val="24"/>
                <w:highlight w:val="none"/>
                <w:lang w:val="en-US" w:eastAsia="zh-CN"/>
              </w:rPr>
              <w:t>宿州市新曙光塑料制品有限公司</w:t>
            </w:r>
            <w:r>
              <w:rPr>
                <w:rFonts w:hint="default" w:ascii="Times New Roman" w:hAnsi="Times New Roman" w:eastAsia="宋体" w:cs="Times New Roman"/>
                <w:color w:val="auto"/>
                <w:sz w:val="24"/>
                <w:szCs w:val="24"/>
                <w:highlight w:val="none"/>
                <w:lang w:val="en-US" w:eastAsia="zh-CN"/>
              </w:rPr>
              <w:t>，因此本项目特征因子</w:t>
            </w:r>
            <w:r>
              <w:rPr>
                <w:rFonts w:hint="eastAsia" w:cs="Times New Roman"/>
                <w:color w:val="auto"/>
                <w:sz w:val="24"/>
                <w:szCs w:val="24"/>
                <w:highlight w:val="none"/>
                <w:lang w:val="en-US" w:eastAsia="zh-CN"/>
              </w:rPr>
              <w:t>TSP、</w:t>
            </w:r>
            <w:r>
              <w:rPr>
                <w:rFonts w:hint="eastAsia" w:ascii="Times New Roman" w:hAnsi="Times New Roman" w:eastAsia="宋体" w:cs="Times New Roman"/>
                <w:color w:val="auto"/>
                <w:sz w:val="24"/>
                <w:szCs w:val="24"/>
                <w:highlight w:val="none"/>
                <w:lang w:val="en-US" w:eastAsia="zh-CN"/>
              </w:rPr>
              <w:t>非甲烷总烃</w:t>
            </w:r>
            <w:r>
              <w:rPr>
                <w:rFonts w:hint="default" w:ascii="Times New Roman" w:hAnsi="Times New Roman" w:eastAsia="宋体" w:cs="Times New Roman"/>
                <w:color w:val="auto"/>
                <w:sz w:val="24"/>
                <w:szCs w:val="24"/>
                <w:highlight w:val="none"/>
                <w:lang w:val="en-US" w:eastAsia="zh-CN"/>
              </w:rPr>
              <w:t>现状质量引用202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月安徽精检分析股份有限公司检测的《宿州市新曙光塑料制品有限公司年产30000吨再生塑料颗粒及塑料制品项目》中数据进行评价</w:t>
            </w:r>
            <w:r>
              <w:rPr>
                <w:rFonts w:hint="eastAsia" w:ascii="Times New Roman" w:hAnsi="Times New Roman" w:eastAsia="宋体" w:cs="Times New Roman"/>
                <w:color w:val="auto"/>
                <w:sz w:val="24"/>
                <w:szCs w:val="24"/>
                <w:highlight w:val="none"/>
                <w:lang w:val="en-US" w:eastAsia="zh-CN"/>
              </w:rPr>
              <w:t>，</w:t>
            </w:r>
            <w:r>
              <w:rPr>
                <w:rFonts w:hint="eastAsia"/>
                <w:color w:val="auto"/>
                <w:sz w:val="24"/>
              </w:rPr>
              <w:t>符合“引用建设项目周边5千米范围内近3年的现有监测数据”的要求</w:t>
            </w:r>
            <w:r>
              <w:rPr>
                <w:rFonts w:hint="eastAsia"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引用数据</w:t>
            </w:r>
            <w:r>
              <w:rPr>
                <w:rFonts w:hint="default" w:ascii="Times New Roman" w:hAnsi="Times New Roman" w:eastAsia="宋体" w:cs="Times New Roman"/>
                <w:color w:val="auto"/>
                <w:sz w:val="24"/>
                <w:szCs w:val="24"/>
                <w:highlight w:val="none"/>
                <w:lang w:val="en-US" w:eastAsia="zh-CN"/>
              </w:rPr>
              <w:t>见表3.</w:t>
            </w:r>
            <w:r>
              <w:rPr>
                <w:rFonts w:hint="eastAsia" w:cs="Times New Roman"/>
                <w:color w:val="auto"/>
                <w:sz w:val="24"/>
                <w:szCs w:val="24"/>
                <w:highlight w:val="none"/>
                <w:lang w:val="en-US" w:eastAsia="zh-CN"/>
              </w:rPr>
              <w:t>2。</w:t>
            </w:r>
          </w:p>
          <w:p w14:paraId="09A0E483">
            <w:pPr>
              <w:pStyle w:val="31"/>
              <w:keepNext w:val="0"/>
              <w:keepLines w:val="0"/>
              <w:pageBreakBefore w:val="0"/>
              <w:widowControl w:val="0"/>
              <w:kinsoku/>
              <w:wordWrap/>
              <w:overflowPunct/>
              <w:topLinePunct w:val="0"/>
              <w:autoSpaceDE w:val="0"/>
              <w:autoSpaceDN w:val="0"/>
              <w:bidi w:val="0"/>
              <w:adjustRightInd w:val="0"/>
              <w:snapToGrid w:val="0"/>
              <w:ind w:firstLine="0" w:firstLineChars="0"/>
              <w:textAlignment w:val="auto"/>
              <w:rPr>
                <w:rFonts w:hint="default"/>
                <w:lang w:val="en-US" w:eastAsia="zh-CN"/>
              </w:rPr>
            </w:pPr>
            <w:r>
              <w:drawing>
                <wp:inline distT="0" distB="0" distL="114300" distR="114300">
                  <wp:extent cx="5233670" cy="4636135"/>
                  <wp:effectExtent l="0" t="0" r="5080" b="12065"/>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3"/>
                          <a:stretch>
                            <a:fillRect/>
                          </a:stretch>
                        </pic:blipFill>
                        <pic:spPr>
                          <a:xfrm>
                            <a:off x="0" y="0"/>
                            <a:ext cx="5233670" cy="4636135"/>
                          </a:xfrm>
                          <a:prstGeom prst="rect">
                            <a:avLst/>
                          </a:prstGeom>
                          <a:noFill/>
                          <a:ln>
                            <a:noFill/>
                          </a:ln>
                        </pic:spPr>
                      </pic:pic>
                    </a:graphicData>
                  </a:graphic>
                </wp:inline>
              </w:drawing>
            </w:r>
          </w:p>
          <w:p w14:paraId="0715236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b/>
                <w:bCs/>
                <w:color w:val="auto"/>
                <w:sz w:val="24"/>
                <w:szCs w:val="24"/>
                <w:lang w:val="en-US" w:eastAsia="zh-CN"/>
              </w:rPr>
            </w:pPr>
            <w:r>
              <w:rPr>
                <w:rFonts w:hint="default"/>
                <w:b/>
                <w:bCs/>
                <w:color w:val="auto"/>
                <w:sz w:val="24"/>
                <w:szCs w:val="24"/>
                <w:lang w:val="en-US" w:eastAsia="zh-CN"/>
              </w:rPr>
              <w:t>图3.1 引用数据相对位置图</w:t>
            </w:r>
          </w:p>
          <w:p w14:paraId="7DA6F7F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b/>
                <w:bCs/>
                <w:color w:val="auto"/>
                <w:sz w:val="24"/>
                <w:szCs w:val="24"/>
                <w:lang w:val="en-US" w:eastAsia="zh-CN"/>
              </w:rPr>
            </w:pPr>
            <w:r>
              <w:rPr>
                <w:rFonts w:hint="default"/>
                <w:b/>
                <w:bCs/>
                <w:color w:val="auto"/>
                <w:sz w:val="24"/>
                <w:szCs w:val="24"/>
                <w:lang w:val="en-US" w:eastAsia="zh-CN"/>
              </w:rPr>
              <w:t>表3.</w:t>
            </w:r>
            <w:r>
              <w:rPr>
                <w:rFonts w:hint="eastAsia"/>
                <w:b/>
                <w:bCs/>
                <w:color w:val="auto"/>
                <w:sz w:val="24"/>
                <w:szCs w:val="24"/>
                <w:lang w:val="en-US" w:eastAsia="zh-CN"/>
              </w:rPr>
              <w:t>2</w:t>
            </w:r>
            <w:r>
              <w:rPr>
                <w:rFonts w:hint="default"/>
                <w:b/>
                <w:bCs/>
                <w:color w:val="auto"/>
                <w:sz w:val="24"/>
                <w:szCs w:val="24"/>
                <w:lang w:val="en-US" w:eastAsia="zh-CN"/>
              </w:rPr>
              <w:t xml:space="preserve"> </w:t>
            </w:r>
            <w:r>
              <w:rPr>
                <w:rFonts w:hint="eastAsia"/>
                <w:b/>
                <w:bCs/>
                <w:color w:val="auto"/>
                <w:sz w:val="24"/>
                <w:szCs w:val="24"/>
                <w:lang w:val="en-US" w:eastAsia="zh-CN"/>
              </w:rPr>
              <w:t xml:space="preserve"> </w:t>
            </w:r>
            <w:r>
              <w:rPr>
                <w:rFonts w:hint="default"/>
                <w:b/>
                <w:bCs/>
                <w:color w:val="auto"/>
                <w:sz w:val="24"/>
                <w:szCs w:val="24"/>
                <w:lang w:val="en-US" w:eastAsia="zh-CN"/>
              </w:rPr>
              <w:t>大气环境质量监测结果一览表</w:t>
            </w:r>
          </w:p>
          <w:tbl>
            <w:tblPr>
              <w:tblStyle w:val="24"/>
              <w:tblW w:w="82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649"/>
              <w:gridCol w:w="4949"/>
            </w:tblGrid>
            <w:tr w14:paraId="0E4D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247" w:type="dxa"/>
                  <w:gridSpan w:val="3"/>
                  <w:tcBorders>
                    <w:tl2br w:val="nil"/>
                    <w:tr2bl w:val="nil"/>
                  </w:tcBorders>
                  <w:noWrap w:val="0"/>
                  <w:vAlign w:val="center"/>
                </w:tcPr>
                <w:p w14:paraId="1634E46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TSP测点位置及结果（</w:t>
                  </w:r>
                  <w:r>
                    <w:rPr>
                      <w:rFonts w:hint="default" w:ascii="Times New Roman" w:hAnsi="Times New Roman" w:cs="Times New Roman"/>
                      <w:b w:val="0"/>
                      <w:bCs w:val="0"/>
                      <w:color w:val="auto"/>
                      <w:sz w:val="21"/>
                      <w:szCs w:val="21"/>
                      <w:lang w:val="en-US" w:eastAsia="zh-CN"/>
                    </w:rPr>
                    <w:t>μ</w:t>
                  </w:r>
                  <w:r>
                    <w:rPr>
                      <w:rFonts w:hint="eastAsia" w:ascii="Times New Roman" w:hAnsi="Times New Roman" w:cs="Times New Roman"/>
                      <w:b w:val="0"/>
                      <w:bCs w:val="0"/>
                      <w:color w:val="auto"/>
                      <w:sz w:val="21"/>
                      <w:szCs w:val="21"/>
                      <w:lang w:val="en-US" w:eastAsia="zh-CN"/>
                    </w:rPr>
                    <w:t>g/m</w:t>
                  </w:r>
                  <w:r>
                    <w:rPr>
                      <w:rFonts w:hint="eastAsia" w:ascii="Times New Roman" w:hAnsi="Times New Roman" w:cs="Times New Roman"/>
                      <w:b w:val="0"/>
                      <w:bCs w:val="0"/>
                      <w:color w:val="auto"/>
                      <w:sz w:val="21"/>
                      <w:szCs w:val="21"/>
                      <w:vertAlign w:val="superscript"/>
                      <w:lang w:val="en-US" w:eastAsia="zh-CN"/>
                    </w:rPr>
                    <w:t>3</w:t>
                  </w:r>
                  <w:r>
                    <w:rPr>
                      <w:rFonts w:hint="eastAsia" w:ascii="Times New Roman" w:hAnsi="Times New Roman" w:cs="Times New Roman"/>
                      <w:b w:val="0"/>
                      <w:bCs w:val="0"/>
                      <w:color w:val="auto"/>
                      <w:sz w:val="21"/>
                      <w:szCs w:val="21"/>
                      <w:lang w:val="en-US" w:eastAsia="zh-CN"/>
                    </w:rPr>
                    <w:t>）</w:t>
                  </w:r>
                </w:p>
              </w:tc>
            </w:tr>
            <w:tr w14:paraId="59DFB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noWrap w:val="0"/>
                  <w:vAlign w:val="center"/>
                </w:tcPr>
                <w:p w14:paraId="681A0BC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outlineLvl w:val="9"/>
                    <w:rPr>
                      <w:rFonts w:hint="eastAsia" w:ascii="Times New Roman" w:hAnsi="Times New Roman" w:eastAsia="宋体" w:cs="Times New Roman"/>
                      <w:b w:val="0"/>
                      <w:bCs w:val="0"/>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SA"/>
                    </w:rPr>
                    <w:t>采样日期</w:t>
                  </w:r>
                </w:p>
              </w:tc>
              <w:tc>
                <w:tcPr>
                  <w:tcW w:w="1649" w:type="dxa"/>
                  <w:tcBorders>
                    <w:tl2br w:val="nil"/>
                    <w:tr2bl w:val="nil"/>
                  </w:tcBorders>
                  <w:noWrap w:val="0"/>
                  <w:vAlign w:val="center"/>
                </w:tcPr>
                <w:p w14:paraId="7F38D4E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outlineLvl w:val="9"/>
                    <w:rPr>
                      <w:rFonts w:hint="eastAsia" w:ascii="Times New Roman" w:hAnsi="Times New Roman" w:eastAsia="宋体" w:cs="Times New Roman"/>
                      <w:b w:val="0"/>
                      <w:bCs w:val="0"/>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SA"/>
                    </w:rPr>
                    <w:t>采样</w:t>
                  </w:r>
                  <w:r>
                    <w:rPr>
                      <w:rFonts w:hint="eastAsia" w:ascii="Times New Roman" w:hAnsi="Times New Roman" w:cs="Times New Roman"/>
                      <w:b w:val="0"/>
                      <w:bCs w:val="0"/>
                      <w:color w:val="auto"/>
                      <w:kern w:val="0"/>
                      <w:sz w:val="21"/>
                      <w:szCs w:val="21"/>
                      <w:lang w:val="en-US" w:eastAsia="zh-CN" w:bidi="ar-SA"/>
                    </w:rPr>
                    <w:t>起止时间</w:t>
                  </w:r>
                </w:p>
              </w:tc>
              <w:tc>
                <w:tcPr>
                  <w:tcW w:w="4949" w:type="dxa"/>
                  <w:tcBorders>
                    <w:tl2br w:val="nil"/>
                    <w:tr2bl w:val="nil"/>
                  </w:tcBorders>
                  <w:noWrap w:val="0"/>
                  <w:vAlign w:val="center"/>
                </w:tcPr>
                <w:p w14:paraId="6E32E2B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outlineLvl w:val="9"/>
                    <w:rPr>
                      <w:rFonts w:hint="eastAsia" w:ascii="宋体" w:hAnsi="宋体" w:eastAsia="宋体" w:cs="宋体"/>
                      <w:color w:val="auto"/>
                      <w:spacing w:val="-2"/>
                      <w:sz w:val="21"/>
                      <w:szCs w:val="21"/>
                      <w:vertAlign w:val="baseline"/>
                      <w:lang w:val="en-US" w:eastAsia="zh-CN" w:bidi="ar-SA"/>
                    </w:rPr>
                  </w:pPr>
                  <w:r>
                    <w:rPr>
                      <w:rFonts w:hint="eastAsia" w:ascii="Times New Roman" w:hAnsi="Times New Roman" w:eastAsia="宋体" w:cs="Times New Roman"/>
                      <w:b w:val="0"/>
                      <w:bCs w:val="0"/>
                      <w:color w:val="auto"/>
                      <w:kern w:val="2"/>
                      <w:sz w:val="21"/>
                      <w:szCs w:val="21"/>
                      <w:lang w:val="en-US" w:eastAsia="zh-CN" w:bidi="ar-SA"/>
                    </w:rPr>
                    <w:t>项目所在地</w:t>
                  </w:r>
                  <w:r>
                    <w:rPr>
                      <w:rFonts w:hint="eastAsia" w:ascii="Times New Roman" w:hAnsi="Times New Roman" w:cs="Times New Roman"/>
                      <w:b w:val="0"/>
                      <w:bCs w:val="0"/>
                      <w:color w:val="auto"/>
                      <w:kern w:val="2"/>
                      <w:sz w:val="21"/>
                      <w:szCs w:val="21"/>
                      <w:lang w:val="en-US" w:eastAsia="zh-CN" w:bidi="ar-SA"/>
                    </w:rPr>
                    <w:t>G1</w:t>
                  </w:r>
                </w:p>
              </w:tc>
            </w:tr>
            <w:tr w14:paraId="477D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shd w:val="clear" w:color="auto" w:fill="auto"/>
                  <w:noWrap w:val="0"/>
                  <w:vAlign w:val="center"/>
                </w:tcPr>
                <w:p w14:paraId="78CC2C2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2025.7.10-7.11</w:t>
                  </w:r>
                </w:p>
              </w:tc>
              <w:tc>
                <w:tcPr>
                  <w:tcW w:w="1649" w:type="dxa"/>
                  <w:tcBorders>
                    <w:tl2br w:val="nil"/>
                    <w:tr2bl w:val="nil"/>
                  </w:tcBorders>
                  <w:shd w:val="clear" w:color="auto" w:fill="auto"/>
                  <w:noWrap w:val="0"/>
                  <w:vAlign w:val="center"/>
                </w:tcPr>
                <w:p w14:paraId="01A0467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09:00-09:00</w:t>
                  </w:r>
                </w:p>
              </w:tc>
              <w:tc>
                <w:tcPr>
                  <w:tcW w:w="4949" w:type="dxa"/>
                  <w:tcBorders>
                    <w:tl2br w:val="nil"/>
                    <w:tr2bl w:val="nil"/>
                  </w:tcBorders>
                  <w:shd w:val="clear" w:color="auto" w:fill="auto"/>
                  <w:noWrap w:val="0"/>
                  <w:vAlign w:val="center"/>
                </w:tcPr>
                <w:p w14:paraId="47BBD10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178</w:t>
                  </w:r>
                </w:p>
              </w:tc>
            </w:tr>
            <w:tr w14:paraId="21EA0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shd w:val="clear" w:color="auto" w:fill="auto"/>
                  <w:noWrap w:val="0"/>
                  <w:vAlign w:val="center"/>
                </w:tcPr>
                <w:p w14:paraId="7164A6D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2025.7.11-7.12</w:t>
                  </w:r>
                </w:p>
              </w:tc>
              <w:tc>
                <w:tcPr>
                  <w:tcW w:w="1649" w:type="dxa"/>
                  <w:tcBorders>
                    <w:tl2br w:val="nil"/>
                    <w:tr2bl w:val="nil"/>
                  </w:tcBorders>
                  <w:shd w:val="clear" w:color="auto" w:fill="auto"/>
                  <w:noWrap w:val="0"/>
                  <w:vAlign w:val="center"/>
                </w:tcPr>
                <w:p w14:paraId="39FB46E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09:20-09:20</w:t>
                  </w:r>
                </w:p>
              </w:tc>
              <w:tc>
                <w:tcPr>
                  <w:tcW w:w="4949" w:type="dxa"/>
                  <w:tcBorders>
                    <w:tl2br w:val="nil"/>
                    <w:tr2bl w:val="nil"/>
                  </w:tcBorders>
                  <w:shd w:val="clear" w:color="auto" w:fill="auto"/>
                  <w:noWrap w:val="0"/>
                  <w:vAlign w:val="center"/>
                </w:tcPr>
                <w:p w14:paraId="23D10A9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190</w:t>
                  </w:r>
                </w:p>
              </w:tc>
            </w:tr>
            <w:tr w14:paraId="1B30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shd w:val="clear" w:color="auto" w:fill="auto"/>
                  <w:noWrap w:val="0"/>
                  <w:vAlign w:val="center"/>
                </w:tcPr>
                <w:p w14:paraId="16A3555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2025.7.12-7.13</w:t>
                  </w:r>
                </w:p>
              </w:tc>
              <w:tc>
                <w:tcPr>
                  <w:tcW w:w="1649" w:type="dxa"/>
                  <w:tcBorders>
                    <w:tl2br w:val="nil"/>
                    <w:tr2bl w:val="nil"/>
                  </w:tcBorders>
                  <w:shd w:val="clear" w:color="auto" w:fill="auto"/>
                  <w:noWrap w:val="0"/>
                  <w:vAlign w:val="center"/>
                </w:tcPr>
                <w:p w14:paraId="19EE274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09:40-09:40</w:t>
                  </w:r>
                </w:p>
              </w:tc>
              <w:tc>
                <w:tcPr>
                  <w:tcW w:w="4949" w:type="dxa"/>
                  <w:tcBorders>
                    <w:tl2br w:val="nil"/>
                    <w:tr2bl w:val="nil"/>
                  </w:tcBorders>
                  <w:shd w:val="clear" w:color="auto" w:fill="auto"/>
                  <w:noWrap w:val="0"/>
                  <w:vAlign w:val="center"/>
                </w:tcPr>
                <w:p w14:paraId="615F69D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192</w:t>
                  </w:r>
                </w:p>
              </w:tc>
            </w:tr>
            <w:tr w14:paraId="5CD0E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shd w:val="clear" w:color="auto" w:fill="auto"/>
                  <w:noWrap w:val="0"/>
                  <w:vAlign w:val="center"/>
                </w:tcPr>
                <w:p w14:paraId="3C5427D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2025.7.13-7.14</w:t>
                  </w:r>
                </w:p>
              </w:tc>
              <w:tc>
                <w:tcPr>
                  <w:tcW w:w="1649" w:type="dxa"/>
                  <w:tcBorders>
                    <w:tl2br w:val="nil"/>
                    <w:tr2bl w:val="nil"/>
                  </w:tcBorders>
                  <w:shd w:val="clear" w:color="auto" w:fill="auto"/>
                  <w:noWrap w:val="0"/>
                  <w:vAlign w:val="center"/>
                </w:tcPr>
                <w:p w14:paraId="3EF4E51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10:00-10:00</w:t>
                  </w:r>
                </w:p>
              </w:tc>
              <w:tc>
                <w:tcPr>
                  <w:tcW w:w="4949" w:type="dxa"/>
                  <w:tcBorders>
                    <w:tl2br w:val="nil"/>
                    <w:tr2bl w:val="nil"/>
                  </w:tcBorders>
                  <w:shd w:val="clear" w:color="auto" w:fill="auto"/>
                  <w:noWrap w:val="0"/>
                  <w:vAlign w:val="center"/>
                </w:tcPr>
                <w:p w14:paraId="4D79AD1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187</w:t>
                  </w:r>
                </w:p>
              </w:tc>
            </w:tr>
            <w:tr w14:paraId="042C0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shd w:val="clear" w:color="auto" w:fill="auto"/>
                  <w:noWrap w:val="0"/>
                  <w:vAlign w:val="center"/>
                </w:tcPr>
                <w:p w14:paraId="4E80DD2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2025.7.14-7.15</w:t>
                  </w:r>
                </w:p>
              </w:tc>
              <w:tc>
                <w:tcPr>
                  <w:tcW w:w="1649" w:type="dxa"/>
                  <w:tcBorders>
                    <w:tl2br w:val="nil"/>
                    <w:tr2bl w:val="nil"/>
                  </w:tcBorders>
                  <w:shd w:val="clear" w:color="auto" w:fill="auto"/>
                  <w:noWrap w:val="0"/>
                  <w:vAlign w:val="center"/>
                </w:tcPr>
                <w:p w14:paraId="2094E40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11:00-11:00</w:t>
                  </w:r>
                </w:p>
              </w:tc>
              <w:tc>
                <w:tcPr>
                  <w:tcW w:w="4949" w:type="dxa"/>
                  <w:tcBorders>
                    <w:tl2br w:val="nil"/>
                    <w:tr2bl w:val="nil"/>
                  </w:tcBorders>
                  <w:shd w:val="clear" w:color="auto" w:fill="auto"/>
                  <w:noWrap w:val="0"/>
                  <w:vAlign w:val="center"/>
                </w:tcPr>
                <w:p w14:paraId="7F6EB99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184</w:t>
                  </w:r>
                </w:p>
              </w:tc>
            </w:tr>
            <w:tr w14:paraId="5E59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shd w:val="clear" w:color="auto" w:fill="auto"/>
                  <w:noWrap w:val="0"/>
                  <w:vAlign w:val="center"/>
                </w:tcPr>
                <w:p w14:paraId="4198FB9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2025.7.15-7.16</w:t>
                  </w:r>
                </w:p>
              </w:tc>
              <w:tc>
                <w:tcPr>
                  <w:tcW w:w="1649" w:type="dxa"/>
                  <w:tcBorders>
                    <w:tl2br w:val="nil"/>
                    <w:tr2bl w:val="nil"/>
                  </w:tcBorders>
                  <w:shd w:val="clear" w:color="auto" w:fill="auto"/>
                  <w:noWrap w:val="0"/>
                  <w:vAlign w:val="center"/>
                </w:tcPr>
                <w:p w14:paraId="5BCECBF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13:00-13:00</w:t>
                  </w:r>
                </w:p>
              </w:tc>
              <w:tc>
                <w:tcPr>
                  <w:tcW w:w="4949" w:type="dxa"/>
                  <w:tcBorders>
                    <w:tl2br w:val="nil"/>
                    <w:tr2bl w:val="nil"/>
                  </w:tcBorders>
                  <w:shd w:val="clear" w:color="auto" w:fill="auto"/>
                  <w:noWrap w:val="0"/>
                  <w:vAlign w:val="center"/>
                </w:tcPr>
                <w:p w14:paraId="363BED3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185</w:t>
                  </w:r>
                </w:p>
              </w:tc>
            </w:tr>
            <w:tr w14:paraId="5F06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shd w:val="clear" w:color="auto" w:fill="auto"/>
                  <w:noWrap w:val="0"/>
                  <w:vAlign w:val="center"/>
                </w:tcPr>
                <w:p w14:paraId="50BA085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2025.7.16-7.17</w:t>
                  </w:r>
                </w:p>
              </w:tc>
              <w:tc>
                <w:tcPr>
                  <w:tcW w:w="1649" w:type="dxa"/>
                  <w:tcBorders>
                    <w:tl2br w:val="nil"/>
                    <w:tr2bl w:val="nil"/>
                  </w:tcBorders>
                  <w:shd w:val="clear" w:color="auto" w:fill="auto"/>
                  <w:noWrap w:val="0"/>
                  <w:vAlign w:val="center"/>
                </w:tcPr>
                <w:p w14:paraId="79D1D70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14:00-14:00</w:t>
                  </w:r>
                </w:p>
              </w:tc>
              <w:tc>
                <w:tcPr>
                  <w:tcW w:w="4949" w:type="dxa"/>
                  <w:tcBorders>
                    <w:tl2br w:val="nil"/>
                    <w:tr2bl w:val="nil"/>
                  </w:tcBorders>
                  <w:shd w:val="clear" w:color="auto" w:fill="auto"/>
                  <w:noWrap w:val="0"/>
                  <w:vAlign w:val="center"/>
                </w:tcPr>
                <w:p w14:paraId="798AC88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179</w:t>
                  </w:r>
                </w:p>
              </w:tc>
            </w:tr>
            <w:tr w14:paraId="1437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247" w:type="dxa"/>
                  <w:gridSpan w:val="3"/>
                  <w:tcBorders>
                    <w:tl2br w:val="nil"/>
                    <w:tr2bl w:val="nil"/>
                  </w:tcBorders>
                  <w:noWrap w:val="0"/>
                  <w:vAlign w:val="center"/>
                </w:tcPr>
                <w:p w14:paraId="55FAA2F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kern w:val="0"/>
                      <w:sz w:val="21"/>
                      <w:szCs w:val="21"/>
                      <w:lang w:val="en-US" w:eastAsia="zh-CN" w:bidi="ar-SA"/>
                    </w:rPr>
                    <w:t>非甲烷总烃</w:t>
                  </w:r>
                  <w:r>
                    <w:rPr>
                      <w:rFonts w:hint="default" w:ascii="Times New Roman" w:hAnsi="Times New Roman" w:eastAsia="宋体" w:cs="Times New Roman"/>
                      <w:b w:val="0"/>
                      <w:bCs w:val="0"/>
                      <w:color w:val="auto"/>
                      <w:kern w:val="0"/>
                      <w:sz w:val="21"/>
                      <w:szCs w:val="21"/>
                      <w:lang w:val="en-US" w:eastAsia="zh-CN" w:bidi="ar-SA"/>
                    </w:rPr>
                    <w:t>测点位置及结果（</w:t>
                  </w:r>
                  <w:r>
                    <w:rPr>
                      <w:rFonts w:hint="eastAsia" w:ascii="Times New Roman" w:hAnsi="Times New Roman" w:eastAsia="宋体" w:cs="Times New Roman"/>
                      <w:b w:val="0"/>
                      <w:bCs w:val="0"/>
                      <w:color w:val="auto"/>
                      <w:kern w:val="0"/>
                      <w:sz w:val="21"/>
                      <w:szCs w:val="21"/>
                      <w:lang w:val="en-US" w:eastAsia="zh-CN" w:bidi="ar-SA"/>
                    </w:rPr>
                    <w:t>m</w:t>
                  </w:r>
                  <w:r>
                    <w:rPr>
                      <w:rFonts w:hint="default" w:ascii="Times New Roman" w:hAnsi="Times New Roman" w:eastAsia="宋体" w:cs="Times New Roman"/>
                      <w:b w:val="0"/>
                      <w:bCs w:val="0"/>
                      <w:color w:val="auto"/>
                      <w:kern w:val="0"/>
                      <w:sz w:val="21"/>
                      <w:szCs w:val="21"/>
                      <w:lang w:val="en-US" w:eastAsia="zh-CN" w:bidi="ar-SA"/>
                    </w:rPr>
                    <w:t>g/m</w:t>
                  </w:r>
                  <w:r>
                    <w:rPr>
                      <w:rFonts w:hint="default" w:ascii="Times New Roman" w:hAnsi="Times New Roman" w:eastAsia="宋体" w:cs="Times New Roman"/>
                      <w:b w:val="0"/>
                      <w:bCs w:val="0"/>
                      <w:color w:val="auto"/>
                      <w:kern w:val="0"/>
                      <w:sz w:val="21"/>
                      <w:szCs w:val="21"/>
                      <w:vertAlign w:val="superscript"/>
                      <w:lang w:val="en-US" w:eastAsia="zh-CN" w:bidi="ar-SA"/>
                    </w:rPr>
                    <w:t>3</w:t>
                  </w:r>
                  <w:r>
                    <w:rPr>
                      <w:rFonts w:hint="default" w:ascii="Times New Roman" w:hAnsi="Times New Roman" w:eastAsia="宋体" w:cs="Times New Roman"/>
                      <w:b w:val="0"/>
                      <w:bCs w:val="0"/>
                      <w:color w:val="auto"/>
                      <w:kern w:val="0"/>
                      <w:sz w:val="21"/>
                      <w:szCs w:val="21"/>
                      <w:lang w:val="en-US" w:eastAsia="zh-CN" w:bidi="ar-SA"/>
                    </w:rPr>
                    <w:t>）</w:t>
                  </w:r>
                </w:p>
              </w:tc>
            </w:tr>
            <w:tr w14:paraId="04CC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tcBorders>
                    <w:tl2br w:val="nil"/>
                    <w:tr2bl w:val="nil"/>
                  </w:tcBorders>
                  <w:shd w:val="clear" w:color="auto" w:fill="auto"/>
                  <w:noWrap w:val="0"/>
                  <w:vAlign w:val="center"/>
                </w:tcPr>
                <w:p w14:paraId="12DB86C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outlineLvl w:val="9"/>
                    <w:rPr>
                      <w:rFonts w:hint="eastAsia" w:ascii="Times New Roman" w:hAnsi="Times New Roman" w:eastAsia="宋体" w:cs="Times New Roman"/>
                      <w:b w:val="0"/>
                      <w:bCs w:val="0"/>
                      <w:color w:val="auto"/>
                      <w:spacing w:val="-2"/>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SA"/>
                    </w:rPr>
                    <w:t>采样日期</w:t>
                  </w:r>
                </w:p>
              </w:tc>
              <w:tc>
                <w:tcPr>
                  <w:tcW w:w="1649" w:type="dxa"/>
                  <w:tcBorders>
                    <w:tl2br w:val="nil"/>
                    <w:tr2bl w:val="nil"/>
                  </w:tcBorders>
                  <w:shd w:val="clear" w:color="auto" w:fill="auto"/>
                  <w:noWrap w:val="0"/>
                  <w:vAlign w:val="center"/>
                </w:tcPr>
                <w:p w14:paraId="51E253F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outlineLvl w:val="9"/>
                    <w:rPr>
                      <w:rFonts w:hint="eastAsia" w:ascii="Times New Roman" w:hAnsi="Times New Roman" w:eastAsia="宋体" w:cs="Times New Roman"/>
                      <w:b w:val="0"/>
                      <w:bCs w:val="0"/>
                      <w:color w:val="auto"/>
                      <w:spacing w:val="-2"/>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SA"/>
                    </w:rPr>
                    <w:t>采样</w:t>
                  </w:r>
                  <w:r>
                    <w:rPr>
                      <w:rFonts w:hint="eastAsia" w:ascii="Times New Roman" w:hAnsi="Times New Roman" w:cs="Times New Roman"/>
                      <w:b w:val="0"/>
                      <w:bCs w:val="0"/>
                      <w:color w:val="auto"/>
                      <w:kern w:val="0"/>
                      <w:sz w:val="21"/>
                      <w:szCs w:val="21"/>
                      <w:lang w:val="en-US" w:eastAsia="zh-CN" w:bidi="ar-SA"/>
                    </w:rPr>
                    <w:t>起止时间</w:t>
                  </w:r>
                </w:p>
              </w:tc>
              <w:tc>
                <w:tcPr>
                  <w:tcW w:w="4949" w:type="dxa"/>
                  <w:tcBorders>
                    <w:tl2br w:val="nil"/>
                    <w:tr2bl w:val="nil"/>
                  </w:tcBorders>
                  <w:shd w:val="clear" w:color="auto" w:fill="auto"/>
                  <w:noWrap w:val="0"/>
                  <w:vAlign w:val="center"/>
                </w:tcPr>
                <w:p w14:paraId="0AFBE44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outlineLvl w:val="9"/>
                    <w:rPr>
                      <w:rFonts w:hint="eastAsia" w:ascii="宋体" w:hAnsi="宋体" w:eastAsia="宋体" w:cs="宋体"/>
                      <w:color w:val="auto"/>
                      <w:spacing w:val="-2"/>
                      <w:sz w:val="21"/>
                      <w:szCs w:val="21"/>
                      <w:vertAlign w:val="baseline"/>
                      <w:lang w:val="en-US" w:eastAsia="zh-CN" w:bidi="ar-SA"/>
                    </w:rPr>
                  </w:pPr>
                  <w:r>
                    <w:rPr>
                      <w:rFonts w:hint="eastAsia" w:ascii="Times New Roman" w:hAnsi="Times New Roman" w:eastAsia="宋体" w:cs="Times New Roman"/>
                      <w:b w:val="0"/>
                      <w:bCs w:val="0"/>
                      <w:color w:val="auto"/>
                      <w:kern w:val="2"/>
                      <w:sz w:val="21"/>
                      <w:szCs w:val="21"/>
                      <w:lang w:val="en-US" w:eastAsia="zh-CN" w:bidi="ar-SA"/>
                    </w:rPr>
                    <w:t>项目所在地</w:t>
                  </w:r>
                  <w:r>
                    <w:rPr>
                      <w:rFonts w:hint="eastAsia" w:ascii="Times New Roman" w:hAnsi="Times New Roman" w:cs="Times New Roman"/>
                      <w:b w:val="0"/>
                      <w:bCs w:val="0"/>
                      <w:color w:val="auto"/>
                      <w:kern w:val="2"/>
                      <w:sz w:val="21"/>
                      <w:szCs w:val="21"/>
                      <w:lang w:val="en-US" w:eastAsia="zh-CN" w:bidi="ar-SA"/>
                    </w:rPr>
                    <w:t>G1</w:t>
                  </w:r>
                </w:p>
              </w:tc>
            </w:tr>
            <w:tr w14:paraId="170C9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restart"/>
                  <w:tcBorders>
                    <w:tl2br w:val="nil"/>
                    <w:tr2bl w:val="nil"/>
                  </w:tcBorders>
                  <w:shd w:val="clear" w:color="auto" w:fill="auto"/>
                  <w:noWrap w:val="0"/>
                  <w:vAlign w:val="center"/>
                </w:tcPr>
                <w:p w14:paraId="7F9F865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2025.7.10-7.11</w:t>
                  </w:r>
                </w:p>
              </w:tc>
              <w:tc>
                <w:tcPr>
                  <w:tcW w:w="1649" w:type="dxa"/>
                  <w:tcBorders>
                    <w:tl2br w:val="nil"/>
                    <w:tr2bl w:val="nil"/>
                  </w:tcBorders>
                  <w:shd w:val="clear" w:color="auto" w:fill="auto"/>
                  <w:noWrap w:val="0"/>
                  <w:vAlign w:val="center"/>
                </w:tcPr>
                <w:p w14:paraId="2F476A3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i w:val="0"/>
                      <w:iCs w:val="0"/>
                      <w:color w:val="auto"/>
                      <w:kern w:val="0"/>
                      <w:sz w:val="21"/>
                      <w:szCs w:val="21"/>
                      <w:u w:val="none"/>
                      <w:lang w:val="en-US" w:eastAsia="zh-CN" w:bidi="ar"/>
                    </w:rPr>
                    <w:t>15:00-15:02</w:t>
                  </w:r>
                </w:p>
              </w:tc>
              <w:tc>
                <w:tcPr>
                  <w:tcW w:w="4949" w:type="dxa"/>
                  <w:vMerge w:val="restart"/>
                  <w:tcBorders>
                    <w:tl2br w:val="nil"/>
                    <w:tr2bl w:val="nil"/>
                  </w:tcBorders>
                  <w:shd w:val="clear" w:color="auto" w:fill="auto"/>
                  <w:noWrap w:val="0"/>
                  <w:vAlign w:val="center"/>
                </w:tcPr>
                <w:p w14:paraId="15B4E96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0.81</w:t>
                  </w:r>
                </w:p>
              </w:tc>
            </w:tr>
            <w:tr w14:paraId="55701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18DF6F4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7CDD597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i w:val="0"/>
                      <w:iCs w:val="0"/>
                      <w:color w:val="auto"/>
                      <w:kern w:val="0"/>
                      <w:sz w:val="21"/>
                      <w:szCs w:val="21"/>
                      <w:u w:val="none"/>
                      <w:lang w:val="en-US" w:eastAsia="zh-CN" w:bidi="ar"/>
                    </w:rPr>
                    <w:t>15:15-15:17</w:t>
                  </w:r>
                </w:p>
              </w:tc>
              <w:tc>
                <w:tcPr>
                  <w:tcW w:w="4949" w:type="dxa"/>
                  <w:vMerge w:val="continue"/>
                  <w:tcBorders>
                    <w:tl2br w:val="nil"/>
                    <w:tr2bl w:val="nil"/>
                  </w:tcBorders>
                  <w:shd w:val="clear" w:color="auto" w:fill="auto"/>
                  <w:noWrap w:val="0"/>
                  <w:vAlign w:val="center"/>
                </w:tcPr>
                <w:p w14:paraId="7CBD417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6DA7A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62BCA90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41D552F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i w:val="0"/>
                      <w:iCs w:val="0"/>
                      <w:color w:val="auto"/>
                      <w:kern w:val="0"/>
                      <w:sz w:val="21"/>
                      <w:szCs w:val="21"/>
                      <w:u w:val="none"/>
                      <w:lang w:val="en-US" w:eastAsia="zh-CN" w:bidi="ar"/>
                    </w:rPr>
                    <w:t>15:30-15:32</w:t>
                  </w:r>
                </w:p>
              </w:tc>
              <w:tc>
                <w:tcPr>
                  <w:tcW w:w="4949" w:type="dxa"/>
                  <w:vMerge w:val="continue"/>
                  <w:tcBorders>
                    <w:tl2br w:val="nil"/>
                    <w:tr2bl w:val="nil"/>
                  </w:tcBorders>
                  <w:shd w:val="clear" w:color="auto" w:fill="auto"/>
                  <w:noWrap w:val="0"/>
                  <w:vAlign w:val="center"/>
                </w:tcPr>
                <w:p w14:paraId="3CD877C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02DA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5997618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4FD6077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i w:val="0"/>
                      <w:iCs w:val="0"/>
                      <w:color w:val="auto"/>
                      <w:kern w:val="0"/>
                      <w:sz w:val="21"/>
                      <w:szCs w:val="21"/>
                      <w:u w:val="none"/>
                      <w:lang w:val="en-US" w:eastAsia="zh-CN" w:bidi="ar"/>
                    </w:rPr>
                    <w:t>15:45-15:47</w:t>
                  </w:r>
                </w:p>
              </w:tc>
              <w:tc>
                <w:tcPr>
                  <w:tcW w:w="4949" w:type="dxa"/>
                  <w:vMerge w:val="continue"/>
                  <w:tcBorders>
                    <w:tl2br w:val="nil"/>
                    <w:tr2bl w:val="nil"/>
                  </w:tcBorders>
                  <w:shd w:val="clear" w:color="auto" w:fill="auto"/>
                  <w:noWrap w:val="0"/>
                  <w:vAlign w:val="center"/>
                </w:tcPr>
                <w:p w14:paraId="0DD8D14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3379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restart"/>
                  <w:tcBorders>
                    <w:tl2br w:val="nil"/>
                    <w:tr2bl w:val="nil"/>
                  </w:tcBorders>
                  <w:shd w:val="clear" w:color="auto" w:fill="auto"/>
                  <w:noWrap w:val="0"/>
                  <w:vAlign w:val="center"/>
                </w:tcPr>
                <w:p w14:paraId="6D98D1C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2025.7.11-7.12</w:t>
                  </w:r>
                </w:p>
              </w:tc>
              <w:tc>
                <w:tcPr>
                  <w:tcW w:w="1649" w:type="dxa"/>
                  <w:tcBorders>
                    <w:tl2br w:val="nil"/>
                    <w:tr2bl w:val="nil"/>
                  </w:tcBorders>
                  <w:shd w:val="clear" w:color="auto" w:fill="auto"/>
                  <w:noWrap w:val="0"/>
                  <w:vAlign w:val="center"/>
                </w:tcPr>
                <w:p w14:paraId="40D8345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09:10-09:12</w:t>
                  </w:r>
                </w:p>
              </w:tc>
              <w:tc>
                <w:tcPr>
                  <w:tcW w:w="4949" w:type="dxa"/>
                  <w:vMerge w:val="restart"/>
                  <w:tcBorders>
                    <w:tl2br w:val="nil"/>
                    <w:tr2bl w:val="nil"/>
                  </w:tcBorders>
                  <w:shd w:val="clear" w:color="auto" w:fill="auto"/>
                  <w:noWrap w:val="0"/>
                  <w:vAlign w:val="center"/>
                </w:tcPr>
                <w:p w14:paraId="5A1AA4E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eastAsia="宋体" w:cs="Times New Roman"/>
                      <w:i w:val="0"/>
                      <w:iCs w:val="0"/>
                      <w:color w:val="auto"/>
                      <w:spacing w:val="-2"/>
                      <w:kern w:val="0"/>
                      <w:sz w:val="21"/>
                      <w:szCs w:val="21"/>
                      <w:u w:val="none"/>
                      <w:lang w:val="en-US" w:eastAsia="zh-CN" w:bidi="ar"/>
                    </w:rPr>
                    <w:t>0.71</w:t>
                  </w:r>
                </w:p>
              </w:tc>
            </w:tr>
            <w:tr w14:paraId="7658D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5955C77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4D4D511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09:25-09:27</w:t>
                  </w:r>
                </w:p>
              </w:tc>
              <w:tc>
                <w:tcPr>
                  <w:tcW w:w="4949" w:type="dxa"/>
                  <w:vMerge w:val="continue"/>
                  <w:tcBorders>
                    <w:tl2br w:val="nil"/>
                    <w:tr2bl w:val="nil"/>
                  </w:tcBorders>
                  <w:shd w:val="clear" w:color="auto" w:fill="auto"/>
                  <w:noWrap w:val="0"/>
                  <w:vAlign w:val="center"/>
                </w:tcPr>
                <w:p w14:paraId="5A88581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5FCE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0D100CA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0378E73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09:40-09:42</w:t>
                  </w:r>
                </w:p>
              </w:tc>
              <w:tc>
                <w:tcPr>
                  <w:tcW w:w="4949" w:type="dxa"/>
                  <w:vMerge w:val="continue"/>
                  <w:tcBorders>
                    <w:tl2br w:val="nil"/>
                    <w:tr2bl w:val="nil"/>
                  </w:tcBorders>
                  <w:shd w:val="clear" w:color="auto" w:fill="auto"/>
                  <w:noWrap w:val="0"/>
                  <w:vAlign w:val="center"/>
                </w:tcPr>
                <w:p w14:paraId="42F6F21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2A8F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46BB9E7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0800D20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09:55-09:57</w:t>
                  </w:r>
                </w:p>
              </w:tc>
              <w:tc>
                <w:tcPr>
                  <w:tcW w:w="4949" w:type="dxa"/>
                  <w:vMerge w:val="continue"/>
                  <w:tcBorders>
                    <w:tl2br w:val="nil"/>
                    <w:tr2bl w:val="nil"/>
                  </w:tcBorders>
                  <w:shd w:val="clear" w:color="auto" w:fill="auto"/>
                  <w:noWrap w:val="0"/>
                  <w:vAlign w:val="center"/>
                </w:tcPr>
                <w:p w14:paraId="0C380CD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4D9D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restart"/>
                  <w:tcBorders>
                    <w:tl2br w:val="nil"/>
                    <w:tr2bl w:val="nil"/>
                  </w:tcBorders>
                  <w:shd w:val="clear" w:color="auto" w:fill="auto"/>
                  <w:noWrap w:val="0"/>
                  <w:vAlign w:val="center"/>
                </w:tcPr>
                <w:p w14:paraId="59CBEE4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2025.7.12-7.13</w:t>
                  </w:r>
                </w:p>
              </w:tc>
              <w:tc>
                <w:tcPr>
                  <w:tcW w:w="1649" w:type="dxa"/>
                  <w:tcBorders>
                    <w:tl2br w:val="nil"/>
                    <w:tr2bl w:val="nil"/>
                  </w:tcBorders>
                  <w:shd w:val="clear" w:color="auto" w:fill="auto"/>
                  <w:noWrap w:val="0"/>
                  <w:vAlign w:val="center"/>
                </w:tcPr>
                <w:p w14:paraId="407650A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09:40-09:42</w:t>
                  </w:r>
                </w:p>
              </w:tc>
              <w:tc>
                <w:tcPr>
                  <w:tcW w:w="4949" w:type="dxa"/>
                  <w:vMerge w:val="restart"/>
                  <w:tcBorders>
                    <w:tl2br w:val="nil"/>
                    <w:tr2bl w:val="nil"/>
                  </w:tcBorders>
                  <w:shd w:val="clear" w:color="auto" w:fill="auto"/>
                  <w:noWrap w:val="0"/>
                  <w:vAlign w:val="center"/>
                </w:tcPr>
                <w:p w14:paraId="5C9EFE4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eastAsia="宋体" w:cs="Times New Roman"/>
                      <w:i w:val="0"/>
                      <w:iCs w:val="0"/>
                      <w:color w:val="auto"/>
                      <w:spacing w:val="-2"/>
                      <w:kern w:val="0"/>
                      <w:sz w:val="21"/>
                      <w:szCs w:val="21"/>
                      <w:u w:val="none"/>
                      <w:lang w:val="en-US" w:eastAsia="zh-CN" w:bidi="ar"/>
                    </w:rPr>
                    <w:t>0.58</w:t>
                  </w:r>
                </w:p>
              </w:tc>
            </w:tr>
            <w:tr w14:paraId="0FC16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6131A1D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5B781B8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09:55-09:57</w:t>
                  </w:r>
                </w:p>
              </w:tc>
              <w:tc>
                <w:tcPr>
                  <w:tcW w:w="4949" w:type="dxa"/>
                  <w:vMerge w:val="continue"/>
                  <w:tcBorders>
                    <w:tl2br w:val="nil"/>
                    <w:tr2bl w:val="nil"/>
                  </w:tcBorders>
                  <w:shd w:val="clear" w:color="auto" w:fill="auto"/>
                  <w:noWrap w:val="0"/>
                  <w:vAlign w:val="center"/>
                </w:tcPr>
                <w:p w14:paraId="04EE181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6F38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73CF140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3E211AE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10:10-10:12</w:t>
                  </w:r>
                </w:p>
              </w:tc>
              <w:tc>
                <w:tcPr>
                  <w:tcW w:w="4949" w:type="dxa"/>
                  <w:vMerge w:val="continue"/>
                  <w:tcBorders>
                    <w:tl2br w:val="nil"/>
                    <w:tr2bl w:val="nil"/>
                  </w:tcBorders>
                  <w:shd w:val="clear" w:color="auto" w:fill="auto"/>
                  <w:noWrap w:val="0"/>
                  <w:vAlign w:val="center"/>
                </w:tcPr>
                <w:p w14:paraId="4F811CB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65A1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26277E2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4A9DD18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10:25-10:27</w:t>
                  </w:r>
                </w:p>
              </w:tc>
              <w:tc>
                <w:tcPr>
                  <w:tcW w:w="4949" w:type="dxa"/>
                  <w:vMerge w:val="continue"/>
                  <w:tcBorders>
                    <w:tl2br w:val="nil"/>
                    <w:tr2bl w:val="nil"/>
                  </w:tcBorders>
                  <w:shd w:val="clear" w:color="auto" w:fill="auto"/>
                  <w:noWrap w:val="0"/>
                  <w:vAlign w:val="center"/>
                </w:tcPr>
                <w:p w14:paraId="2F04159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7A98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restart"/>
                  <w:tcBorders>
                    <w:tl2br w:val="nil"/>
                    <w:tr2bl w:val="nil"/>
                  </w:tcBorders>
                  <w:shd w:val="clear" w:color="auto" w:fill="auto"/>
                  <w:noWrap w:val="0"/>
                  <w:vAlign w:val="center"/>
                </w:tcPr>
                <w:p w14:paraId="0A9D349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2025.7.13-7.14</w:t>
                  </w:r>
                </w:p>
              </w:tc>
              <w:tc>
                <w:tcPr>
                  <w:tcW w:w="1649" w:type="dxa"/>
                  <w:tcBorders>
                    <w:tl2br w:val="nil"/>
                    <w:tr2bl w:val="nil"/>
                  </w:tcBorders>
                  <w:shd w:val="clear" w:color="auto" w:fill="auto"/>
                  <w:noWrap w:val="0"/>
                  <w:vAlign w:val="center"/>
                </w:tcPr>
                <w:p w14:paraId="1A80A2B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09:00-09:02</w:t>
                  </w:r>
                </w:p>
              </w:tc>
              <w:tc>
                <w:tcPr>
                  <w:tcW w:w="4949" w:type="dxa"/>
                  <w:vMerge w:val="restart"/>
                  <w:tcBorders>
                    <w:tl2br w:val="nil"/>
                    <w:tr2bl w:val="nil"/>
                  </w:tcBorders>
                  <w:shd w:val="clear" w:color="auto" w:fill="auto"/>
                  <w:noWrap w:val="0"/>
                  <w:vAlign w:val="center"/>
                </w:tcPr>
                <w:p w14:paraId="5D1FB55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eastAsia="宋体" w:cs="Times New Roman"/>
                      <w:i w:val="0"/>
                      <w:iCs w:val="0"/>
                      <w:color w:val="auto"/>
                      <w:spacing w:val="-2"/>
                      <w:kern w:val="0"/>
                      <w:sz w:val="21"/>
                      <w:szCs w:val="21"/>
                      <w:u w:val="none"/>
                      <w:lang w:val="en-US" w:eastAsia="zh-CN" w:bidi="ar"/>
                    </w:rPr>
                    <w:t>0.72</w:t>
                  </w:r>
                </w:p>
              </w:tc>
            </w:tr>
            <w:tr w14:paraId="4ED3E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1CCEBB1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15D0CB7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09:15-09:17</w:t>
                  </w:r>
                </w:p>
              </w:tc>
              <w:tc>
                <w:tcPr>
                  <w:tcW w:w="4949" w:type="dxa"/>
                  <w:vMerge w:val="continue"/>
                  <w:tcBorders>
                    <w:tl2br w:val="nil"/>
                    <w:tr2bl w:val="nil"/>
                  </w:tcBorders>
                  <w:shd w:val="clear" w:color="auto" w:fill="auto"/>
                  <w:noWrap w:val="0"/>
                  <w:vAlign w:val="center"/>
                </w:tcPr>
                <w:p w14:paraId="76C4BD3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11920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7D6AC6F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1CBCD1E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09:30-09:32</w:t>
                  </w:r>
                </w:p>
              </w:tc>
              <w:tc>
                <w:tcPr>
                  <w:tcW w:w="4949" w:type="dxa"/>
                  <w:vMerge w:val="continue"/>
                  <w:tcBorders>
                    <w:tl2br w:val="nil"/>
                    <w:tr2bl w:val="nil"/>
                  </w:tcBorders>
                  <w:shd w:val="clear" w:color="auto" w:fill="auto"/>
                  <w:noWrap w:val="0"/>
                  <w:vAlign w:val="center"/>
                </w:tcPr>
                <w:p w14:paraId="627BEDA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670A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6B496F5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2E8E398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09:45-09:47</w:t>
                  </w:r>
                </w:p>
              </w:tc>
              <w:tc>
                <w:tcPr>
                  <w:tcW w:w="4949" w:type="dxa"/>
                  <w:vMerge w:val="continue"/>
                  <w:tcBorders>
                    <w:tl2br w:val="nil"/>
                    <w:tr2bl w:val="nil"/>
                  </w:tcBorders>
                  <w:shd w:val="clear" w:color="auto" w:fill="auto"/>
                  <w:noWrap w:val="0"/>
                  <w:vAlign w:val="center"/>
                </w:tcPr>
                <w:p w14:paraId="0E8E5D7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781F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restart"/>
                  <w:tcBorders>
                    <w:tl2br w:val="nil"/>
                    <w:tr2bl w:val="nil"/>
                  </w:tcBorders>
                  <w:shd w:val="clear" w:color="auto" w:fill="auto"/>
                  <w:noWrap w:val="0"/>
                  <w:vAlign w:val="center"/>
                </w:tcPr>
                <w:p w14:paraId="79AEAFE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2025.7.14-7.15</w:t>
                  </w:r>
                </w:p>
              </w:tc>
              <w:tc>
                <w:tcPr>
                  <w:tcW w:w="1649" w:type="dxa"/>
                  <w:tcBorders>
                    <w:tl2br w:val="nil"/>
                    <w:tr2bl w:val="nil"/>
                  </w:tcBorders>
                  <w:shd w:val="clear" w:color="auto" w:fill="auto"/>
                  <w:noWrap w:val="0"/>
                  <w:vAlign w:val="center"/>
                </w:tcPr>
                <w:p w14:paraId="3A92722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15:00-15:02</w:t>
                  </w:r>
                </w:p>
              </w:tc>
              <w:tc>
                <w:tcPr>
                  <w:tcW w:w="4949" w:type="dxa"/>
                  <w:vMerge w:val="restart"/>
                  <w:tcBorders>
                    <w:tl2br w:val="nil"/>
                    <w:tr2bl w:val="nil"/>
                  </w:tcBorders>
                  <w:shd w:val="clear" w:color="auto" w:fill="auto"/>
                  <w:noWrap w:val="0"/>
                  <w:vAlign w:val="center"/>
                </w:tcPr>
                <w:p w14:paraId="4BBBB34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eastAsia="宋体" w:cs="Times New Roman"/>
                      <w:i w:val="0"/>
                      <w:iCs w:val="0"/>
                      <w:color w:val="auto"/>
                      <w:spacing w:val="-2"/>
                      <w:kern w:val="0"/>
                      <w:sz w:val="21"/>
                      <w:szCs w:val="21"/>
                      <w:u w:val="none"/>
                      <w:lang w:val="en-US" w:eastAsia="zh-CN" w:bidi="ar"/>
                    </w:rPr>
                    <w:t>0.70</w:t>
                  </w:r>
                </w:p>
              </w:tc>
            </w:tr>
            <w:tr w14:paraId="4AE6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1804904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2994BCE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15:15-15:17</w:t>
                  </w:r>
                </w:p>
              </w:tc>
              <w:tc>
                <w:tcPr>
                  <w:tcW w:w="4949" w:type="dxa"/>
                  <w:vMerge w:val="continue"/>
                  <w:tcBorders>
                    <w:tl2br w:val="nil"/>
                    <w:tr2bl w:val="nil"/>
                  </w:tcBorders>
                  <w:shd w:val="clear" w:color="auto" w:fill="auto"/>
                  <w:noWrap w:val="0"/>
                  <w:vAlign w:val="center"/>
                </w:tcPr>
                <w:p w14:paraId="0FB957A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52D3B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2826F0C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30397CC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15:30-15:32</w:t>
                  </w:r>
                </w:p>
              </w:tc>
              <w:tc>
                <w:tcPr>
                  <w:tcW w:w="4949" w:type="dxa"/>
                  <w:vMerge w:val="continue"/>
                  <w:tcBorders>
                    <w:tl2br w:val="nil"/>
                    <w:tr2bl w:val="nil"/>
                  </w:tcBorders>
                  <w:shd w:val="clear" w:color="auto" w:fill="auto"/>
                  <w:noWrap w:val="0"/>
                  <w:vAlign w:val="center"/>
                </w:tcPr>
                <w:p w14:paraId="731BFEC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1853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5C52BD0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7E96FD7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15:45-15:47</w:t>
                  </w:r>
                </w:p>
              </w:tc>
              <w:tc>
                <w:tcPr>
                  <w:tcW w:w="4949" w:type="dxa"/>
                  <w:vMerge w:val="continue"/>
                  <w:tcBorders>
                    <w:tl2br w:val="nil"/>
                    <w:tr2bl w:val="nil"/>
                  </w:tcBorders>
                  <w:shd w:val="clear" w:color="auto" w:fill="auto"/>
                  <w:noWrap w:val="0"/>
                  <w:vAlign w:val="center"/>
                </w:tcPr>
                <w:p w14:paraId="0938EE6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507DE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restart"/>
                  <w:tcBorders>
                    <w:tl2br w:val="nil"/>
                    <w:tr2bl w:val="nil"/>
                  </w:tcBorders>
                  <w:shd w:val="clear" w:color="auto" w:fill="auto"/>
                  <w:noWrap w:val="0"/>
                  <w:vAlign w:val="center"/>
                </w:tcPr>
                <w:p w14:paraId="7638A82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2025.7.15-7.16</w:t>
                  </w:r>
                </w:p>
              </w:tc>
              <w:tc>
                <w:tcPr>
                  <w:tcW w:w="1649" w:type="dxa"/>
                  <w:tcBorders>
                    <w:tl2br w:val="nil"/>
                    <w:tr2bl w:val="nil"/>
                  </w:tcBorders>
                  <w:shd w:val="clear" w:color="auto" w:fill="auto"/>
                  <w:noWrap w:val="0"/>
                  <w:vAlign w:val="center"/>
                </w:tcPr>
                <w:p w14:paraId="7618CDD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09:02-09:04</w:t>
                  </w:r>
                </w:p>
              </w:tc>
              <w:tc>
                <w:tcPr>
                  <w:tcW w:w="4949" w:type="dxa"/>
                  <w:vMerge w:val="restart"/>
                  <w:tcBorders>
                    <w:tl2br w:val="nil"/>
                    <w:tr2bl w:val="nil"/>
                  </w:tcBorders>
                  <w:shd w:val="clear" w:color="auto" w:fill="auto"/>
                  <w:noWrap w:val="0"/>
                  <w:vAlign w:val="center"/>
                </w:tcPr>
                <w:p w14:paraId="36A958E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i w:val="0"/>
                      <w:iCs w:val="0"/>
                      <w:color w:val="auto"/>
                      <w:spacing w:val="-2"/>
                      <w:kern w:val="0"/>
                      <w:sz w:val="21"/>
                      <w:szCs w:val="21"/>
                      <w:u w:val="none"/>
                      <w:lang w:val="en-US" w:eastAsia="zh-CN" w:bidi="ar"/>
                    </w:rPr>
                  </w:pPr>
                  <w:r>
                    <w:rPr>
                      <w:rFonts w:hint="eastAsia" w:ascii="Times New Roman" w:hAnsi="Times New Roman" w:eastAsia="宋体" w:cs="Times New Roman"/>
                      <w:i w:val="0"/>
                      <w:iCs w:val="0"/>
                      <w:color w:val="auto"/>
                      <w:spacing w:val="-2"/>
                      <w:kern w:val="0"/>
                      <w:sz w:val="21"/>
                      <w:szCs w:val="21"/>
                      <w:u w:val="none"/>
                      <w:lang w:val="en-US" w:eastAsia="zh-CN" w:bidi="ar"/>
                    </w:rPr>
                    <w:t>0.66</w:t>
                  </w:r>
                </w:p>
              </w:tc>
            </w:tr>
            <w:tr w14:paraId="3EE12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6F0D08C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15B71A3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09:19-09:21</w:t>
                  </w:r>
                </w:p>
              </w:tc>
              <w:tc>
                <w:tcPr>
                  <w:tcW w:w="4949" w:type="dxa"/>
                  <w:vMerge w:val="continue"/>
                  <w:tcBorders>
                    <w:tl2br w:val="nil"/>
                    <w:tr2bl w:val="nil"/>
                  </w:tcBorders>
                  <w:shd w:val="clear" w:color="auto" w:fill="auto"/>
                  <w:noWrap w:val="0"/>
                  <w:vAlign w:val="center"/>
                </w:tcPr>
                <w:p w14:paraId="63A269D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1C39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17DB2D4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249A85B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09:36-09:38</w:t>
                  </w:r>
                </w:p>
              </w:tc>
              <w:tc>
                <w:tcPr>
                  <w:tcW w:w="4949" w:type="dxa"/>
                  <w:vMerge w:val="continue"/>
                  <w:tcBorders>
                    <w:tl2br w:val="nil"/>
                    <w:tr2bl w:val="nil"/>
                  </w:tcBorders>
                  <w:shd w:val="clear" w:color="auto" w:fill="auto"/>
                  <w:noWrap w:val="0"/>
                  <w:vAlign w:val="center"/>
                </w:tcPr>
                <w:p w14:paraId="346A13F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658C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5407599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37D3BDE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09:52-09:54</w:t>
                  </w:r>
                </w:p>
              </w:tc>
              <w:tc>
                <w:tcPr>
                  <w:tcW w:w="4949" w:type="dxa"/>
                  <w:vMerge w:val="continue"/>
                  <w:tcBorders>
                    <w:tl2br w:val="nil"/>
                    <w:tr2bl w:val="nil"/>
                  </w:tcBorders>
                  <w:shd w:val="clear" w:color="auto" w:fill="auto"/>
                  <w:noWrap w:val="0"/>
                  <w:vAlign w:val="center"/>
                </w:tcPr>
                <w:p w14:paraId="2C22E77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i w:val="0"/>
                      <w:iCs w:val="0"/>
                      <w:color w:val="auto"/>
                      <w:kern w:val="0"/>
                      <w:sz w:val="21"/>
                      <w:szCs w:val="21"/>
                      <w:u w:val="none"/>
                      <w:lang w:val="en-US" w:eastAsia="zh-CN" w:bidi="ar"/>
                    </w:rPr>
                  </w:pPr>
                </w:p>
              </w:tc>
            </w:tr>
            <w:tr w14:paraId="0756B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restart"/>
                  <w:tcBorders>
                    <w:tl2br w:val="nil"/>
                    <w:tr2bl w:val="nil"/>
                  </w:tcBorders>
                  <w:shd w:val="clear" w:color="auto" w:fill="auto"/>
                  <w:noWrap w:val="0"/>
                  <w:vAlign w:val="center"/>
                </w:tcPr>
                <w:p w14:paraId="6C57A9D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宋体"/>
                      <w:color w:val="auto"/>
                      <w:spacing w:val="-2"/>
                      <w:sz w:val="21"/>
                      <w:szCs w:val="21"/>
                      <w:lang w:val="en-US" w:eastAsia="zh-CN" w:bidi="ar-SA"/>
                    </w:rPr>
                  </w:pPr>
                  <w:r>
                    <w:rPr>
                      <w:rFonts w:hint="eastAsia"/>
                      <w:color w:val="auto"/>
                      <w:sz w:val="21"/>
                      <w:szCs w:val="21"/>
                      <w:lang w:val="en-US" w:eastAsia="zh-CN"/>
                    </w:rPr>
                    <w:t>2025.7.16-7.17</w:t>
                  </w:r>
                </w:p>
              </w:tc>
              <w:tc>
                <w:tcPr>
                  <w:tcW w:w="1649" w:type="dxa"/>
                  <w:tcBorders>
                    <w:tl2br w:val="nil"/>
                    <w:tr2bl w:val="nil"/>
                  </w:tcBorders>
                  <w:shd w:val="clear" w:color="auto" w:fill="auto"/>
                  <w:noWrap w:val="0"/>
                  <w:vAlign w:val="center"/>
                </w:tcPr>
                <w:p w14:paraId="1E25E3C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14:34-14:36</w:t>
                  </w:r>
                </w:p>
              </w:tc>
              <w:tc>
                <w:tcPr>
                  <w:tcW w:w="4949" w:type="dxa"/>
                  <w:vMerge w:val="restart"/>
                  <w:tcBorders>
                    <w:tl2br w:val="nil"/>
                    <w:tr2bl w:val="nil"/>
                  </w:tcBorders>
                  <w:shd w:val="clear" w:color="auto" w:fill="auto"/>
                  <w:noWrap w:val="0"/>
                  <w:vAlign w:val="center"/>
                </w:tcPr>
                <w:p w14:paraId="5627FFD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default"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eastAsia="宋体" w:cs="Times New Roman"/>
                      <w:i w:val="0"/>
                      <w:iCs w:val="0"/>
                      <w:color w:val="auto"/>
                      <w:spacing w:val="-2"/>
                      <w:kern w:val="0"/>
                      <w:sz w:val="21"/>
                      <w:szCs w:val="21"/>
                      <w:u w:val="none"/>
                      <w:lang w:val="en-US" w:eastAsia="zh-CN" w:bidi="ar"/>
                    </w:rPr>
                    <w:t>0.60</w:t>
                  </w:r>
                </w:p>
              </w:tc>
            </w:tr>
            <w:tr w14:paraId="5E99D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4BA4D0E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547D235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14:49-14:51</w:t>
                  </w:r>
                </w:p>
              </w:tc>
              <w:tc>
                <w:tcPr>
                  <w:tcW w:w="4949" w:type="dxa"/>
                  <w:vMerge w:val="continue"/>
                  <w:tcBorders>
                    <w:tl2br w:val="nil"/>
                    <w:tr2bl w:val="nil"/>
                  </w:tcBorders>
                  <w:shd w:val="clear" w:color="auto" w:fill="auto"/>
                  <w:noWrap w:val="0"/>
                  <w:vAlign w:val="center"/>
                </w:tcPr>
                <w:p w14:paraId="297094A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b w:val="0"/>
                      <w:bCs w:val="0"/>
                      <w:color w:val="auto"/>
                      <w:kern w:val="2"/>
                      <w:sz w:val="21"/>
                      <w:szCs w:val="21"/>
                      <w:lang w:val="en-US" w:eastAsia="zh-CN" w:bidi="ar-SA"/>
                    </w:rPr>
                  </w:pPr>
                </w:p>
              </w:tc>
            </w:tr>
            <w:tr w14:paraId="5111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4D06A35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2FBEF1B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15:04-15:06</w:t>
                  </w:r>
                </w:p>
              </w:tc>
              <w:tc>
                <w:tcPr>
                  <w:tcW w:w="4949" w:type="dxa"/>
                  <w:vMerge w:val="continue"/>
                  <w:tcBorders>
                    <w:tl2br w:val="nil"/>
                    <w:tr2bl w:val="nil"/>
                  </w:tcBorders>
                  <w:shd w:val="clear" w:color="auto" w:fill="auto"/>
                  <w:noWrap w:val="0"/>
                  <w:vAlign w:val="center"/>
                </w:tcPr>
                <w:p w14:paraId="08201EE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b w:val="0"/>
                      <w:bCs w:val="0"/>
                      <w:color w:val="auto"/>
                      <w:kern w:val="2"/>
                      <w:sz w:val="21"/>
                      <w:szCs w:val="21"/>
                      <w:lang w:val="en-US" w:eastAsia="zh-CN" w:bidi="ar-SA"/>
                    </w:rPr>
                  </w:pPr>
                </w:p>
              </w:tc>
            </w:tr>
            <w:tr w14:paraId="3683C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49" w:type="dxa"/>
                  <w:vMerge w:val="continue"/>
                  <w:tcBorders>
                    <w:tl2br w:val="nil"/>
                    <w:tr2bl w:val="nil"/>
                  </w:tcBorders>
                  <w:shd w:val="clear" w:color="auto" w:fill="auto"/>
                  <w:noWrap w:val="0"/>
                  <w:vAlign w:val="center"/>
                </w:tcPr>
                <w:p w14:paraId="14DD8DA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color w:val="auto"/>
                      <w:sz w:val="21"/>
                      <w:szCs w:val="21"/>
                      <w:lang w:val="en-US" w:eastAsia="zh-CN"/>
                    </w:rPr>
                  </w:pPr>
                </w:p>
              </w:tc>
              <w:tc>
                <w:tcPr>
                  <w:tcW w:w="1649" w:type="dxa"/>
                  <w:tcBorders>
                    <w:tl2br w:val="nil"/>
                    <w:tr2bl w:val="nil"/>
                  </w:tcBorders>
                  <w:shd w:val="clear" w:color="auto" w:fill="auto"/>
                  <w:noWrap w:val="0"/>
                  <w:vAlign w:val="center"/>
                </w:tcPr>
                <w:p w14:paraId="3F13C0A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eastAsia="宋体" w:cs="Times New Roman"/>
                      <w:b w:val="0"/>
                      <w:bCs w:val="0"/>
                      <w:color w:val="auto"/>
                      <w:spacing w:val="-2"/>
                      <w:kern w:val="2"/>
                      <w:sz w:val="21"/>
                      <w:szCs w:val="21"/>
                      <w:lang w:val="en-US" w:eastAsia="zh-CN" w:bidi="ar-SA"/>
                    </w:rPr>
                  </w:pPr>
                  <w:r>
                    <w:rPr>
                      <w:rFonts w:hint="eastAsia" w:ascii="Times New Roman" w:hAnsi="Times New Roman" w:cs="Times New Roman"/>
                      <w:b w:val="0"/>
                      <w:bCs w:val="0"/>
                      <w:color w:val="auto"/>
                      <w:kern w:val="2"/>
                      <w:sz w:val="21"/>
                      <w:szCs w:val="21"/>
                      <w:lang w:val="en-US" w:eastAsia="zh-CN" w:bidi="ar-SA"/>
                    </w:rPr>
                    <w:t>15:19-15:21</w:t>
                  </w:r>
                </w:p>
              </w:tc>
              <w:tc>
                <w:tcPr>
                  <w:tcW w:w="4949" w:type="dxa"/>
                  <w:vMerge w:val="continue"/>
                  <w:tcBorders>
                    <w:tl2br w:val="nil"/>
                    <w:tr2bl w:val="nil"/>
                  </w:tcBorders>
                  <w:shd w:val="clear" w:color="auto" w:fill="auto"/>
                  <w:noWrap w:val="0"/>
                  <w:vAlign w:val="center"/>
                </w:tcPr>
                <w:p w14:paraId="4BE18FD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center"/>
                    <w:textAlignment w:val="center"/>
                    <w:rPr>
                      <w:rFonts w:hint="eastAsia" w:ascii="Times New Roman" w:hAnsi="Times New Roman" w:cs="Times New Roman"/>
                      <w:b w:val="0"/>
                      <w:bCs w:val="0"/>
                      <w:color w:val="auto"/>
                      <w:kern w:val="2"/>
                      <w:sz w:val="21"/>
                      <w:szCs w:val="21"/>
                      <w:lang w:val="en-US" w:eastAsia="zh-CN" w:bidi="ar-SA"/>
                    </w:rPr>
                  </w:pPr>
                </w:p>
              </w:tc>
            </w:tr>
            <w:tr w14:paraId="4E17B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247" w:type="dxa"/>
                  <w:gridSpan w:val="3"/>
                  <w:tcBorders>
                    <w:tl2br w:val="nil"/>
                    <w:tr2bl w:val="nil"/>
                  </w:tcBorders>
                  <w:noWrap w:val="0"/>
                  <w:vAlign w:val="center"/>
                </w:tcPr>
                <w:p w14:paraId="3C97C221">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outlineLvl w:val="9"/>
                    <w:rPr>
                      <w:rFonts w:hint="eastAsia" w:ascii="Times New Roman" w:hAnsi="Times New Roman" w:cs="Times New Roman" w:eastAsiaTheme="minorEastAsia"/>
                      <w:color w:val="auto"/>
                      <w:kern w:val="2"/>
                      <w:sz w:val="21"/>
                      <w:szCs w:val="21"/>
                      <w:lang w:val="en-US" w:eastAsia="zh-CN" w:bidi="ar-SA"/>
                    </w:rPr>
                  </w:pPr>
                  <w:r>
                    <w:rPr>
                      <w:rFonts w:hint="eastAsia" w:ascii="Times New Roman" w:hAnsi="Times New Roman" w:cs="Times New Roman" w:eastAsiaTheme="minorEastAsia"/>
                      <w:color w:val="auto"/>
                      <w:kern w:val="2"/>
                      <w:sz w:val="21"/>
                      <w:szCs w:val="21"/>
                      <w:lang w:val="en-US" w:eastAsia="zh-CN" w:bidi="ar-SA"/>
                    </w:rPr>
                    <w:t>注：1、“ND”表示未检出。</w:t>
                  </w:r>
                </w:p>
                <w:p w14:paraId="1478166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firstLine="0" w:firstLineChars="0"/>
                    <w:jc w:val="both"/>
                    <w:textAlignment w:val="center"/>
                    <w:rPr>
                      <w:rFonts w:hint="eastAsia" w:ascii="Times New Roman" w:hAnsi="Times New Roman" w:cs="Times New Roman"/>
                      <w:i w:val="0"/>
                      <w:iCs w:val="0"/>
                      <w:color w:val="auto"/>
                      <w:kern w:val="0"/>
                      <w:sz w:val="21"/>
                      <w:szCs w:val="21"/>
                      <w:u w:val="none"/>
                      <w:lang w:val="en-US" w:eastAsia="zh-CN" w:bidi="ar"/>
                    </w:rPr>
                  </w:pPr>
                  <w:r>
                    <w:rPr>
                      <w:rFonts w:hint="eastAsia" w:cs="Times New Roman" w:eastAsiaTheme="minorEastAsia"/>
                      <w:color w:val="auto"/>
                      <w:kern w:val="2"/>
                      <w:sz w:val="21"/>
                      <w:szCs w:val="21"/>
                      <w:lang w:val="en-US" w:eastAsia="zh-CN" w:bidi="ar-SA"/>
                    </w:rPr>
                    <w:t>2.</w:t>
                  </w:r>
                  <w:r>
                    <w:rPr>
                      <w:rFonts w:hint="eastAsia" w:ascii="Times New Roman" w:hAnsi="Times New Roman" w:cs="Times New Roman" w:eastAsiaTheme="minorEastAsia"/>
                      <w:color w:val="auto"/>
                      <w:kern w:val="2"/>
                      <w:sz w:val="21"/>
                      <w:szCs w:val="21"/>
                      <w:lang w:val="en-US" w:eastAsia="zh-CN" w:bidi="ar-SA"/>
                    </w:rPr>
                    <w:t>含“*”表示外包，外包单位：江苏康达检测技术股份有限公司，报告编号：KDWT254184。</w:t>
                  </w:r>
                </w:p>
              </w:tc>
            </w:tr>
          </w:tbl>
          <w:p w14:paraId="37FB798D">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jc w:val="left"/>
              <w:textAlignment w:val="auto"/>
              <w:rPr>
                <w:rFonts w:hint="eastAsia"/>
                <w:color w:val="auto"/>
                <w:lang w:val="en-US" w:eastAsia="zh-CN"/>
              </w:rPr>
            </w:pPr>
            <w:r>
              <w:rPr>
                <w:rFonts w:hint="eastAsia"/>
                <w:color w:val="auto"/>
                <w:sz w:val="24"/>
                <w:szCs w:val="24"/>
                <w:lang w:val="en-US" w:eastAsia="zh-CN"/>
              </w:rPr>
              <w:t>由表3.2可知，</w:t>
            </w:r>
            <w:r>
              <w:rPr>
                <w:rFonts w:hint="eastAsia"/>
                <w:color w:val="auto"/>
                <w:kern w:val="0"/>
                <w:sz w:val="24"/>
                <w:szCs w:val="24"/>
              </w:rPr>
              <w:t>TSP</w:t>
            </w:r>
            <w:r>
              <w:rPr>
                <w:rFonts w:hint="eastAsia"/>
                <w:color w:val="auto"/>
                <w:kern w:val="0"/>
                <w:sz w:val="24"/>
                <w:szCs w:val="24"/>
                <w:lang w:eastAsia="zh-CN"/>
              </w:rPr>
              <w:t>满足</w:t>
            </w:r>
            <w:r>
              <w:rPr>
                <w:rFonts w:hint="eastAsia"/>
                <w:color w:val="auto"/>
                <w:sz w:val="24"/>
                <w:szCs w:val="24"/>
                <w:lang w:eastAsia="zh-CN"/>
              </w:rPr>
              <w:t>《</w:t>
            </w:r>
            <w:r>
              <w:rPr>
                <w:color w:val="auto"/>
                <w:sz w:val="24"/>
                <w:szCs w:val="24"/>
              </w:rPr>
              <w:t>环境空气质量标准》</w:t>
            </w:r>
            <w:r>
              <w:rPr>
                <w:rFonts w:hint="eastAsia"/>
                <w:color w:val="auto"/>
                <w:sz w:val="24"/>
                <w:szCs w:val="24"/>
                <w:lang w:eastAsia="zh-CN"/>
              </w:rPr>
              <w:t>（</w:t>
            </w:r>
            <w:r>
              <w:rPr>
                <w:color w:val="auto"/>
                <w:sz w:val="24"/>
                <w:szCs w:val="24"/>
              </w:rPr>
              <w:t>GB3095-20</w:t>
            </w:r>
            <w:r>
              <w:rPr>
                <w:rFonts w:hint="eastAsia"/>
                <w:color w:val="auto"/>
                <w:sz w:val="24"/>
                <w:szCs w:val="24"/>
                <w:lang w:val="en-US" w:eastAsia="zh-CN"/>
              </w:rPr>
              <w:t>26</w:t>
            </w:r>
            <w:r>
              <w:rPr>
                <w:rFonts w:hint="eastAsia"/>
                <w:color w:val="auto"/>
                <w:sz w:val="24"/>
                <w:szCs w:val="24"/>
                <w:lang w:eastAsia="zh-CN"/>
              </w:rPr>
              <w:t>）</w:t>
            </w:r>
            <w:r>
              <w:rPr>
                <w:color w:val="auto"/>
                <w:sz w:val="24"/>
                <w:szCs w:val="24"/>
              </w:rPr>
              <w:t>及其修改单中的二级标准</w:t>
            </w:r>
            <w:r>
              <w:rPr>
                <w:rFonts w:hint="eastAsia" w:cs="Times New Roman"/>
                <w:color w:val="auto"/>
                <w:sz w:val="24"/>
                <w:szCs w:val="24"/>
                <w:lang w:val="en-US" w:eastAsia="zh-CN"/>
              </w:rPr>
              <w:t>（</w:t>
            </w:r>
            <w:r>
              <w:rPr>
                <w:rFonts w:hint="eastAsia" w:ascii="Times New Roman" w:hAnsi="Times New Roman" w:cs="Times New Roman"/>
                <w:color w:val="auto"/>
                <w:sz w:val="24"/>
                <w:szCs w:val="24"/>
                <w:lang w:val="en-US" w:eastAsia="zh-CN"/>
              </w:rPr>
              <w:t>日</w:t>
            </w:r>
            <w:r>
              <w:rPr>
                <w:rFonts w:hint="eastAsia" w:ascii="Times New Roman" w:hAnsi="Times New Roman" w:cs="Times New Roman"/>
                <w:color w:val="auto"/>
                <w:sz w:val="24"/>
                <w:szCs w:val="24"/>
                <w:lang w:eastAsia="zh-CN"/>
              </w:rPr>
              <w:t>均值：</w:t>
            </w:r>
            <w:r>
              <w:rPr>
                <w:rFonts w:hint="eastAsia" w:ascii="Times New Roman" w:hAnsi="Times New Roman" w:cs="Times New Roman"/>
                <w:color w:val="auto"/>
                <w:sz w:val="24"/>
                <w:szCs w:val="24"/>
                <w:lang w:val="en-US" w:eastAsia="zh-CN"/>
              </w:rPr>
              <w:t>0.3</w:t>
            </w:r>
            <w:r>
              <w:rPr>
                <w:rFonts w:hint="default" w:ascii="Times New Roman" w:hAnsi="Times New Roman" w:eastAsia="宋体" w:cs="Times New Roman"/>
                <w:color w:val="auto"/>
                <w:sz w:val="24"/>
                <w:szCs w:val="24"/>
              </w:rPr>
              <w:t>mg/m</w:t>
            </w:r>
            <w:r>
              <w:rPr>
                <w:rFonts w:hint="default" w:ascii="Times New Roman" w:hAnsi="Times New Roman" w:eastAsia="宋体" w:cs="Times New Roman"/>
                <w:color w:val="auto"/>
                <w:sz w:val="24"/>
                <w:szCs w:val="24"/>
                <w:vertAlign w:val="superscript"/>
              </w:rPr>
              <w:t>3</w:t>
            </w:r>
            <w:r>
              <w:rPr>
                <w:rFonts w:hint="eastAsia" w:cs="Times New Roman"/>
                <w:color w:val="auto"/>
                <w:sz w:val="24"/>
                <w:szCs w:val="24"/>
                <w:lang w:val="en-US" w:eastAsia="zh-CN"/>
              </w:rPr>
              <w:t>）；</w:t>
            </w:r>
            <w:r>
              <w:rPr>
                <w:color w:val="auto"/>
                <w:sz w:val="24"/>
              </w:rPr>
              <w:t>非甲烷总烃满足《大气污染物综合排放标准详解》的数值规定（一次值：2.0mg/m</w:t>
            </w:r>
            <w:r>
              <w:rPr>
                <w:color w:val="auto"/>
                <w:sz w:val="24"/>
                <w:vertAlign w:val="superscript"/>
              </w:rPr>
              <w:t>3</w:t>
            </w:r>
            <w:r>
              <w:rPr>
                <w:color w:val="auto"/>
                <w:sz w:val="24"/>
              </w:rPr>
              <w:t>）</w:t>
            </w:r>
            <w:r>
              <w:rPr>
                <w:rFonts w:hint="eastAsia"/>
                <w:color w:val="auto"/>
                <w:sz w:val="24"/>
                <w:szCs w:val="24"/>
                <w:lang w:val="en-US" w:eastAsia="zh-CN"/>
              </w:rPr>
              <w:t>。</w:t>
            </w:r>
          </w:p>
          <w:p w14:paraId="36BE740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b/>
                <w:bCs/>
                <w:color w:val="000000" w:themeColor="text1"/>
                <w:kern w:val="0"/>
                <w:sz w:val="24"/>
                <w:szCs w:val="24"/>
                <w:lang w:val="en-US" w:eastAsia="zh-CN"/>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2.</w:t>
            </w:r>
            <w:r>
              <w:rPr>
                <w:rFonts w:hint="eastAsia" w:ascii="Times New Roman" w:hAnsi="Times New Roman" w:eastAsia="宋体" w:cs="Times New Roman"/>
                <w:b/>
                <w:bCs/>
                <w:color w:val="000000" w:themeColor="text1"/>
                <w:kern w:val="0"/>
                <w:sz w:val="24"/>
                <w:szCs w:val="24"/>
                <w:lang w:val="en-US" w:eastAsia="zh-CN"/>
                <w14:textFill>
                  <w14:solidFill>
                    <w14:schemeClr w14:val="tx1"/>
                  </w14:solidFill>
                </w14:textFill>
              </w:rPr>
              <w:t>地表</w:t>
            </w:r>
            <w:r>
              <w:rPr>
                <w:rFonts w:hint="default" w:ascii="Times New Roman" w:hAnsi="Times New Roman" w:eastAsia="宋体" w:cs="Times New Roman"/>
                <w:b/>
                <w:bCs/>
                <w:color w:val="000000" w:themeColor="text1"/>
                <w:kern w:val="0"/>
                <w:sz w:val="24"/>
                <w:szCs w:val="24"/>
                <w:lang w:val="en-US" w:eastAsia="zh-CN"/>
                <w14:textFill>
                  <w14:solidFill>
                    <w14:schemeClr w14:val="tx1"/>
                  </w14:solidFill>
                </w14:textFill>
              </w:rPr>
              <w:t>水环境</w:t>
            </w:r>
          </w:p>
          <w:p w14:paraId="2C48A8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0"/>
                <w:sz w:val="24"/>
                <w:szCs w:val="24"/>
                <w:lang w:val="en-US" w:eastAsia="zh-CN"/>
              </w:rPr>
              <w:t>2024年，宿州市水环境质量稳中向好、稳中趋优。全市13个地表水国家考核断面中10个水质达到Ⅲ类，水质优良比例为76.9%，较上一年同比提升7.7个百分点，超额完成省厅下达的年度力争考核目标；10个地表水省考核断面中5个断面水质为Ⅲ类，水质优良比例为50%，超出省年度考核目标20个百分点。9个县级及以上集中式饮用水水源地水质达标率保持100%</w:t>
            </w:r>
            <w:r>
              <w:rPr>
                <w:rFonts w:hint="eastAsia" w:cs="Times New Roman"/>
                <w:color w:val="auto"/>
                <w:kern w:val="0"/>
                <w:sz w:val="24"/>
                <w:szCs w:val="24"/>
                <w:lang w:val="en-US" w:eastAsia="zh-CN"/>
              </w:rPr>
              <w:t>。</w:t>
            </w:r>
          </w:p>
          <w:p w14:paraId="4B1CBC3B">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b/>
                <w:bCs/>
                <w:color w:val="auto"/>
                <w:kern w:val="0"/>
                <w:sz w:val="24"/>
                <w:szCs w:val="24"/>
                <w:lang w:val="en-US" w:eastAsia="zh-CN"/>
              </w:rPr>
            </w:pPr>
            <w:r>
              <w:rPr>
                <w:rFonts w:hint="eastAsia" w:cs="Times New Roman"/>
                <w:b/>
                <w:bCs/>
                <w:color w:val="auto"/>
                <w:kern w:val="0"/>
                <w:sz w:val="24"/>
                <w:szCs w:val="24"/>
                <w:lang w:val="en-US" w:eastAsia="zh-CN"/>
              </w:rPr>
              <w:t>3.</w:t>
            </w:r>
            <w:r>
              <w:rPr>
                <w:rFonts w:hint="default" w:ascii="Times New Roman" w:hAnsi="Times New Roman" w:eastAsia="宋体" w:cs="Times New Roman"/>
                <w:b/>
                <w:bCs/>
                <w:color w:val="auto"/>
                <w:kern w:val="0"/>
                <w:sz w:val="24"/>
                <w:szCs w:val="24"/>
                <w:lang w:val="en-US" w:eastAsia="zh-CN"/>
              </w:rPr>
              <w:t>声环境</w:t>
            </w:r>
          </w:p>
          <w:p w14:paraId="6D2946C9">
            <w:pPr>
              <w:keepNext w:val="0"/>
              <w:keepLines w:val="0"/>
              <w:pageBreakBefore w:val="0"/>
              <w:widowControl w:val="0"/>
              <w:kinsoku/>
              <w:wordWrap/>
              <w:overflowPunct/>
              <w:topLinePunct w:val="0"/>
              <w:autoSpaceDE/>
              <w:autoSpaceDN/>
              <w:bidi w:val="0"/>
              <w:adjustRightInd/>
              <w:snapToGrid/>
              <w:spacing w:line="360" w:lineRule="auto"/>
              <w:ind w:left="420" w:leftChars="200"/>
              <w:jc w:val="center"/>
              <w:textAlignment w:val="auto"/>
              <w:rPr>
                <w:rFonts w:hint="eastAsia" w:ascii="Times New Roman" w:hAnsi="Times New Roman" w:eastAsia="宋体" w:cs="Times New Roman"/>
                <w:color w:val="auto"/>
                <w:sz w:val="24"/>
                <w:szCs w:val="24"/>
                <w:lang w:val="en-US" w:eastAsia="zh-CN"/>
              </w:rPr>
            </w:pPr>
            <w:r>
              <w:rPr>
                <w:rFonts w:hint="eastAsia"/>
                <w:color w:val="auto"/>
                <w:sz w:val="24"/>
              </w:rPr>
              <w:t>本</w:t>
            </w:r>
            <w:r>
              <w:rPr>
                <w:color w:val="auto"/>
                <w:sz w:val="24"/>
              </w:rPr>
              <w:t>项目50m范围内</w:t>
            </w:r>
            <w:r>
              <w:rPr>
                <w:rFonts w:hint="eastAsia"/>
                <w:color w:val="auto"/>
                <w:sz w:val="24"/>
                <w:lang w:eastAsia="zh-CN"/>
              </w:rPr>
              <w:t>有</w:t>
            </w:r>
            <w:r>
              <w:rPr>
                <w:color w:val="auto"/>
                <w:sz w:val="24"/>
              </w:rPr>
              <w:t>声环境保护目标</w:t>
            </w:r>
            <w:r>
              <w:rPr>
                <w:rFonts w:hint="eastAsia"/>
                <w:color w:val="auto"/>
                <w:sz w:val="24"/>
              </w:rPr>
              <w:t>，</w:t>
            </w:r>
            <w:r>
              <w:rPr>
                <w:rFonts w:hint="eastAsia"/>
                <w:color w:val="auto"/>
                <w:sz w:val="24"/>
                <w:lang w:eastAsia="zh-CN"/>
              </w:rPr>
              <w:t>需要</w:t>
            </w:r>
            <w:r>
              <w:rPr>
                <w:color w:val="auto"/>
                <w:sz w:val="24"/>
              </w:rPr>
              <w:t>做现状监测。</w:t>
            </w:r>
            <w:r>
              <w:rPr>
                <w:rFonts w:hint="eastAsia" w:ascii="Times New Roman" w:hAnsi="Times New Roman" w:cs="Times New Roman"/>
                <w:color w:val="auto"/>
                <w:kern w:val="0"/>
                <w:sz w:val="24"/>
                <w:szCs w:val="24"/>
                <w:lang w:val="en-US" w:eastAsia="zh-CN"/>
              </w:rPr>
              <w:t>声环境委托</w:t>
            </w:r>
            <w:r>
              <w:rPr>
                <w:rFonts w:hint="eastAsia" w:ascii="Times New Roman" w:hAnsi="Times New Roman" w:eastAsia="宋体" w:cs="Times New Roman"/>
                <w:color w:val="auto"/>
                <w:sz w:val="24"/>
                <w:szCs w:val="24"/>
                <w:lang w:val="en-US" w:eastAsia="zh-CN"/>
              </w:rPr>
              <w:t>安徽</w:t>
            </w:r>
          </w:p>
          <w:p w14:paraId="5B7936B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精检</w:t>
            </w:r>
            <w:r>
              <w:rPr>
                <w:rFonts w:hint="eastAsia" w:ascii="Times New Roman" w:hAnsi="Times New Roman" w:cs="Times New Roman"/>
                <w:color w:val="auto"/>
                <w:sz w:val="24"/>
                <w:szCs w:val="24"/>
                <w:lang w:val="en-US" w:eastAsia="zh-CN"/>
              </w:rPr>
              <w:t>分析测试</w:t>
            </w:r>
            <w:r>
              <w:rPr>
                <w:rFonts w:hint="eastAsia" w:ascii="Times New Roman" w:hAnsi="Times New Roman" w:eastAsia="宋体" w:cs="Times New Roman"/>
                <w:color w:val="auto"/>
                <w:sz w:val="24"/>
                <w:szCs w:val="24"/>
                <w:lang w:val="en-US" w:eastAsia="zh-CN"/>
              </w:rPr>
              <w:t>有限公司进行</w:t>
            </w:r>
            <w:r>
              <w:rPr>
                <w:rFonts w:hint="eastAsia" w:ascii="Times New Roman" w:hAnsi="Times New Roman" w:cs="Times New Roman"/>
                <w:color w:val="auto"/>
                <w:sz w:val="24"/>
                <w:szCs w:val="24"/>
                <w:lang w:val="en-US" w:eastAsia="zh-CN"/>
              </w:rPr>
              <w:t>检</w:t>
            </w:r>
            <w:r>
              <w:rPr>
                <w:rFonts w:hint="eastAsia" w:ascii="Times New Roman" w:hAnsi="Times New Roman" w:eastAsia="宋体" w:cs="Times New Roman"/>
                <w:color w:val="auto"/>
                <w:sz w:val="24"/>
                <w:szCs w:val="24"/>
                <w:lang w:val="en-US" w:eastAsia="zh-CN"/>
              </w:rPr>
              <w:t>测</w:t>
            </w:r>
            <w:r>
              <w:rPr>
                <w:rFonts w:hint="eastAsia" w:cs="Times New Roman"/>
                <w:color w:val="auto"/>
                <w:sz w:val="24"/>
                <w:szCs w:val="24"/>
                <w:lang w:val="en-US" w:eastAsia="zh-CN"/>
              </w:rPr>
              <w:t>（检测日期为2025</w:t>
            </w:r>
            <w:r>
              <w:rPr>
                <w:rFonts w:hint="default" w:ascii="Times New Roman" w:hAnsi="Times New Roman" w:eastAsia="宋体" w:cs="Times New Roman"/>
                <w:b w:val="0"/>
                <w:bCs w:val="0"/>
                <w:color w:val="auto"/>
                <w:sz w:val="24"/>
                <w:szCs w:val="24"/>
                <w:lang w:val="en-US" w:eastAsia="zh-CN"/>
              </w:rPr>
              <w:t>年</w:t>
            </w:r>
            <w:r>
              <w:rPr>
                <w:rFonts w:hint="eastAsia" w:cs="Times New Roman"/>
                <w:b w:val="0"/>
                <w:bCs w:val="0"/>
                <w:color w:val="auto"/>
                <w:sz w:val="24"/>
                <w:szCs w:val="24"/>
                <w:lang w:val="en-US" w:eastAsia="zh-CN"/>
              </w:rPr>
              <w:t>11</w:t>
            </w:r>
            <w:r>
              <w:rPr>
                <w:rFonts w:hint="default" w:ascii="Times New Roman" w:hAnsi="Times New Roman" w:eastAsia="宋体" w:cs="Times New Roman"/>
                <w:b w:val="0"/>
                <w:bCs w:val="0"/>
                <w:color w:val="auto"/>
                <w:sz w:val="24"/>
                <w:szCs w:val="24"/>
                <w:lang w:val="en-US" w:eastAsia="zh-CN"/>
              </w:rPr>
              <w:t>月</w:t>
            </w:r>
            <w:r>
              <w:rPr>
                <w:rFonts w:hint="eastAsia" w:cs="Times New Roman"/>
                <w:b w:val="0"/>
                <w:bCs w:val="0"/>
                <w:color w:val="auto"/>
                <w:sz w:val="24"/>
                <w:szCs w:val="24"/>
                <w:lang w:val="en-US" w:eastAsia="zh-CN"/>
              </w:rPr>
              <w:t>13</w:t>
            </w:r>
            <w:r>
              <w:rPr>
                <w:rFonts w:hint="default" w:ascii="Times New Roman" w:hAnsi="Times New Roman" w:eastAsia="宋体" w:cs="Times New Roman"/>
                <w:b w:val="0"/>
                <w:bCs w:val="0"/>
                <w:color w:val="auto"/>
                <w:sz w:val="24"/>
                <w:szCs w:val="24"/>
                <w:lang w:val="en-US" w:eastAsia="zh-CN"/>
              </w:rPr>
              <w:t>日</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检测结果详见下表：</w:t>
            </w:r>
          </w:p>
          <w:p w14:paraId="0F7819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center"/>
              <w:textAlignment w:val="auto"/>
              <w:rPr>
                <w:rFonts w:hint="eastAsia" w:ascii="Times New Roman" w:hAnsi="Times New Roman" w:eastAsia="宋体" w:cs="Times New Roman"/>
                <w:b/>
                <w:bCs/>
                <w:color w:val="auto"/>
                <w:kern w:val="0"/>
                <w:sz w:val="24"/>
                <w:szCs w:val="24"/>
                <w:lang w:val="en-US" w:eastAsia="zh-CN"/>
              </w:rPr>
            </w:pPr>
            <w:r>
              <w:rPr>
                <w:rFonts w:hint="eastAsia" w:ascii="Times New Roman" w:hAnsi="Times New Roman" w:eastAsia="宋体" w:cs="Times New Roman"/>
                <w:b/>
                <w:bCs/>
                <w:color w:val="auto"/>
                <w:kern w:val="0"/>
                <w:sz w:val="24"/>
                <w:szCs w:val="24"/>
                <w:lang w:val="en-US" w:eastAsia="zh-CN"/>
              </w:rPr>
              <w:t>表3.</w:t>
            </w:r>
            <w:r>
              <w:rPr>
                <w:rFonts w:hint="eastAsia" w:cs="Times New Roman"/>
                <w:b/>
                <w:bCs/>
                <w:color w:val="auto"/>
                <w:kern w:val="0"/>
                <w:sz w:val="24"/>
                <w:szCs w:val="24"/>
                <w:lang w:val="en-US" w:eastAsia="zh-CN"/>
              </w:rPr>
              <w:t>3</w:t>
            </w:r>
            <w:r>
              <w:rPr>
                <w:rFonts w:hint="eastAsia" w:ascii="Times New Roman" w:hAnsi="Times New Roman" w:eastAsia="宋体" w:cs="Times New Roman"/>
                <w:b/>
                <w:bCs/>
                <w:color w:val="auto"/>
                <w:kern w:val="0"/>
                <w:sz w:val="24"/>
                <w:szCs w:val="24"/>
                <w:lang w:val="en-US" w:eastAsia="zh-CN"/>
              </w:rPr>
              <w:t xml:space="preserve">  </w:t>
            </w:r>
            <w:r>
              <w:rPr>
                <w:rFonts w:hint="eastAsia" w:cs="Times New Roman"/>
                <w:b/>
                <w:bCs/>
                <w:color w:val="auto"/>
                <w:kern w:val="0"/>
                <w:sz w:val="24"/>
                <w:szCs w:val="24"/>
                <w:lang w:val="en-US" w:eastAsia="zh-CN"/>
              </w:rPr>
              <w:t>声环境监测</w:t>
            </w:r>
            <w:r>
              <w:rPr>
                <w:rFonts w:hint="eastAsia" w:ascii="Times New Roman" w:hAnsi="Times New Roman" w:eastAsia="宋体" w:cs="Times New Roman"/>
                <w:b/>
                <w:bCs/>
                <w:color w:val="auto"/>
                <w:kern w:val="0"/>
                <w:sz w:val="24"/>
                <w:szCs w:val="24"/>
                <w:lang w:val="en-US" w:eastAsia="zh-CN"/>
              </w:rPr>
              <w:t>结果一览表   单位：dB（A）</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2881"/>
              <w:gridCol w:w="2064"/>
              <w:gridCol w:w="2057"/>
            </w:tblGrid>
            <w:tr w14:paraId="5962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4"/>
                  <w:tcBorders>
                    <w:tl2br w:val="nil"/>
                    <w:tr2bl w:val="nil"/>
                  </w:tcBorders>
                  <w:noWrap w:val="0"/>
                  <w:vAlign w:val="center"/>
                </w:tcPr>
                <w:p w14:paraId="139D23D9">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sz w:val="21"/>
                      <w:szCs w:val="21"/>
                      <w:lang w:val="en-US" w:eastAsia="zh-CN"/>
                    </w:rPr>
                  </w:pPr>
                  <w:r>
                    <w:rPr>
                      <w:rFonts w:hint="eastAsia" w:ascii="Times New Roman" w:hAnsi="Times New Roman" w:cs="Times New Roman" w:eastAsiaTheme="minorEastAsia"/>
                      <w:b w:val="0"/>
                      <w:bCs w:val="0"/>
                      <w:color w:val="auto"/>
                      <w:sz w:val="21"/>
                      <w:szCs w:val="21"/>
                      <w:lang w:val="en-US" w:eastAsia="zh-CN"/>
                    </w:rPr>
                    <w:t xml:space="preserve"> </w:t>
                  </w:r>
                  <w:r>
                    <w:rPr>
                      <w:rFonts w:hint="default" w:ascii="Times New Roman" w:hAnsi="Times New Roman" w:cs="Times New Roman" w:eastAsiaTheme="minorEastAsia"/>
                      <w:b w:val="0"/>
                      <w:bCs w:val="0"/>
                      <w:color w:val="auto"/>
                      <w:sz w:val="21"/>
                      <w:szCs w:val="21"/>
                      <w:lang w:val="en-US" w:eastAsia="zh-CN"/>
                    </w:rPr>
                    <w:t>噪声</w:t>
                  </w:r>
                  <w:r>
                    <w:rPr>
                      <w:rFonts w:hint="eastAsia" w:cs="Times New Roman" w:eastAsiaTheme="minorEastAsia"/>
                      <w:b w:val="0"/>
                      <w:bCs w:val="0"/>
                      <w:color w:val="auto"/>
                      <w:sz w:val="21"/>
                      <w:szCs w:val="21"/>
                      <w:lang w:val="en-US" w:eastAsia="zh-CN"/>
                    </w:rPr>
                    <w:t>监测</w:t>
                  </w:r>
                  <w:r>
                    <w:rPr>
                      <w:rFonts w:hint="default" w:ascii="Times New Roman" w:hAnsi="Times New Roman" w:cs="Times New Roman" w:eastAsiaTheme="minorEastAsia"/>
                      <w:b w:val="0"/>
                      <w:bCs w:val="0"/>
                      <w:color w:val="auto"/>
                      <w:sz w:val="21"/>
                      <w:szCs w:val="21"/>
                      <w:lang w:val="en-US" w:eastAsia="zh-CN"/>
                    </w:rPr>
                    <w:t>概况</w:t>
                  </w:r>
                </w:p>
              </w:tc>
            </w:tr>
            <w:tr w14:paraId="1C7CB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9" w:type="pct"/>
                  <w:tcBorders>
                    <w:tl2br w:val="nil"/>
                    <w:tr2bl w:val="nil"/>
                  </w:tcBorders>
                  <w:noWrap w:val="0"/>
                  <w:vAlign w:val="center"/>
                </w:tcPr>
                <w:p w14:paraId="42A5E738">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kern w:val="2"/>
                      <w:sz w:val="21"/>
                      <w:szCs w:val="21"/>
                      <w:lang w:val="en-US" w:eastAsia="zh-CN" w:bidi="ar"/>
                    </w:rPr>
                  </w:pPr>
                  <w:r>
                    <w:rPr>
                      <w:rFonts w:hint="default" w:ascii="Times New Roman" w:hAnsi="Times New Roman" w:cs="Times New Roman" w:eastAsiaTheme="minorEastAsia"/>
                      <w:b w:val="0"/>
                      <w:bCs w:val="0"/>
                      <w:color w:val="auto"/>
                      <w:sz w:val="21"/>
                      <w:szCs w:val="21"/>
                      <w:lang w:val="en-US" w:eastAsia="zh-CN" w:bidi="ar"/>
                    </w:rPr>
                    <w:t>气象条件</w:t>
                  </w:r>
                </w:p>
              </w:tc>
              <w:tc>
                <w:tcPr>
                  <w:tcW w:w="1749" w:type="pct"/>
                  <w:tcBorders>
                    <w:tl2br w:val="nil"/>
                    <w:tr2bl w:val="nil"/>
                  </w:tcBorders>
                  <w:noWrap w:val="0"/>
                  <w:vAlign w:val="center"/>
                </w:tcPr>
                <w:p w14:paraId="711F38F7">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sz w:val="21"/>
                      <w:szCs w:val="21"/>
                      <w:lang w:val="en-US" w:eastAsia="zh-CN"/>
                    </w:rPr>
                  </w:pPr>
                  <w:r>
                    <w:rPr>
                      <w:rFonts w:hint="eastAsia" w:ascii="Times New Roman" w:hAnsi="Times New Roman" w:cs="Times New Roman" w:eastAsiaTheme="minorEastAsia"/>
                      <w:b w:val="0"/>
                      <w:bCs w:val="0"/>
                      <w:color w:val="auto"/>
                      <w:sz w:val="21"/>
                      <w:szCs w:val="21"/>
                      <w:lang w:val="en-US" w:eastAsia="zh-CN"/>
                    </w:rPr>
                    <w:t xml:space="preserve">晴 </w:t>
                  </w:r>
                  <w:r>
                    <w:rPr>
                      <w:rFonts w:hint="default" w:ascii="Times New Roman" w:hAnsi="Times New Roman" w:cs="Times New Roman" w:eastAsiaTheme="minorEastAsia"/>
                      <w:b w:val="0"/>
                      <w:bCs w:val="0"/>
                      <w:color w:val="auto"/>
                      <w:sz w:val="21"/>
                      <w:szCs w:val="21"/>
                      <w:lang w:val="en-US" w:eastAsia="zh-CN"/>
                    </w:rPr>
                    <w:t xml:space="preserve">     风速</w:t>
                  </w:r>
                  <w:r>
                    <w:rPr>
                      <w:rFonts w:hint="eastAsia" w:ascii="Times New Roman" w:hAnsi="Times New Roman" w:cs="Times New Roman" w:eastAsiaTheme="minorEastAsia"/>
                      <w:b w:val="0"/>
                      <w:bCs w:val="0"/>
                      <w:color w:val="auto"/>
                      <w:sz w:val="21"/>
                      <w:szCs w:val="21"/>
                      <w:lang w:val="en-US" w:eastAsia="zh-CN"/>
                    </w:rPr>
                    <w:t xml:space="preserve"> 2.8 </w:t>
                  </w:r>
                  <w:r>
                    <w:rPr>
                      <w:rFonts w:hint="default" w:ascii="Times New Roman" w:hAnsi="Times New Roman" w:cs="Times New Roman" w:eastAsiaTheme="minorEastAsia"/>
                      <w:b w:val="0"/>
                      <w:bCs w:val="0"/>
                      <w:color w:val="auto"/>
                      <w:sz w:val="21"/>
                      <w:szCs w:val="21"/>
                      <w:lang w:val="en-US" w:eastAsia="zh-CN"/>
                    </w:rPr>
                    <w:t>m/s</w:t>
                  </w:r>
                </w:p>
              </w:tc>
              <w:tc>
                <w:tcPr>
                  <w:tcW w:w="1253" w:type="pct"/>
                  <w:tcBorders>
                    <w:tl2br w:val="nil"/>
                    <w:tr2bl w:val="nil"/>
                  </w:tcBorders>
                  <w:noWrap w:val="0"/>
                  <w:vAlign w:val="center"/>
                </w:tcPr>
                <w:p w14:paraId="7A872BD8">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sz w:val="21"/>
                      <w:szCs w:val="21"/>
                      <w:lang w:val="en-US" w:eastAsia="zh-CN" w:bidi="ar"/>
                    </w:rPr>
                    <w:t>检测频次</w:t>
                  </w:r>
                </w:p>
              </w:tc>
              <w:tc>
                <w:tcPr>
                  <w:tcW w:w="1247" w:type="pct"/>
                  <w:tcBorders>
                    <w:tl2br w:val="nil"/>
                    <w:tr2bl w:val="nil"/>
                  </w:tcBorders>
                  <w:noWrap w:val="0"/>
                  <w:vAlign w:val="center"/>
                </w:tcPr>
                <w:p w14:paraId="1F1F5A4D">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sz w:val="21"/>
                      <w:szCs w:val="21"/>
                      <w:lang w:val="en-US" w:eastAsia="zh-CN" w:bidi="ar"/>
                    </w:rPr>
                  </w:pPr>
                  <w:r>
                    <w:rPr>
                      <w:rFonts w:hint="eastAsia"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sz w:val="21"/>
                      <w:szCs w:val="21"/>
                      <w:lang w:val="en-US" w:eastAsia="zh-CN"/>
                    </w:rPr>
                    <w:t>次/天，共</w:t>
                  </w:r>
                  <w:r>
                    <w:rPr>
                      <w:rFonts w:hint="eastAsia"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sz w:val="21"/>
                      <w:szCs w:val="21"/>
                      <w:lang w:val="en-US" w:eastAsia="zh-CN"/>
                    </w:rPr>
                    <w:t>天</w:t>
                  </w:r>
                </w:p>
              </w:tc>
            </w:tr>
            <w:tr w14:paraId="68EC6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9" w:type="pct"/>
                  <w:tcBorders>
                    <w:tl2br w:val="nil"/>
                    <w:tr2bl w:val="nil"/>
                  </w:tcBorders>
                  <w:noWrap w:val="0"/>
                  <w:vAlign w:val="center"/>
                </w:tcPr>
                <w:p w14:paraId="6D310F40">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kern w:val="2"/>
                      <w:sz w:val="21"/>
                      <w:szCs w:val="21"/>
                      <w:lang w:val="en-US" w:eastAsia="zh-CN" w:bidi="ar"/>
                    </w:rPr>
                  </w:pPr>
                  <w:r>
                    <w:rPr>
                      <w:rFonts w:hint="default" w:ascii="Times New Roman" w:hAnsi="Times New Roman" w:cs="Times New Roman" w:eastAsiaTheme="minorEastAsia"/>
                      <w:b w:val="0"/>
                      <w:bCs w:val="0"/>
                      <w:color w:val="auto"/>
                      <w:sz w:val="21"/>
                      <w:szCs w:val="21"/>
                      <w:lang w:val="en-US" w:eastAsia="zh-CN" w:bidi="ar"/>
                    </w:rPr>
                    <w:t>仪器校正</w:t>
                  </w:r>
                </w:p>
              </w:tc>
              <w:tc>
                <w:tcPr>
                  <w:tcW w:w="1749" w:type="pct"/>
                  <w:tcBorders>
                    <w:tl2br w:val="nil"/>
                    <w:tr2bl w:val="nil"/>
                  </w:tcBorders>
                  <w:noWrap w:val="0"/>
                  <w:vAlign w:val="center"/>
                </w:tcPr>
                <w:p w14:paraId="2F610463">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sz w:val="21"/>
                      <w:szCs w:val="21"/>
                      <w:lang w:val="en-US" w:eastAsia="zh-CN"/>
                    </w:rPr>
                  </w:pPr>
                  <w:r>
                    <w:rPr>
                      <w:rFonts w:hint="default" w:ascii="Times New Roman" w:hAnsi="Times New Roman" w:cs="Times New Roman" w:eastAsiaTheme="minorEastAsia"/>
                      <w:b w:val="0"/>
                      <w:bCs w:val="0"/>
                      <w:color w:val="auto"/>
                      <w:sz w:val="21"/>
                      <w:szCs w:val="21"/>
                      <w:lang w:val="en-US" w:eastAsia="zh-CN"/>
                    </w:rPr>
                    <w:t>测前校</w:t>
                  </w:r>
                  <w:r>
                    <w:rPr>
                      <w:rFonts w:hint="eastAsia" w:ascii="Times New Roman" w:hAnsi="Times New Roman" w:cs="Times New Roman" w:eastAsiaTheme="minorEastAsia"/>
                      <w:b w:val="0"/>
                      <w:bCs w:val="0"/>
                      <w:color w:val="auto"/>
                      <w:sz w:val="21"/>
                      <w:szCs w:val="21"/>
                      <w:lang w:val="en-US" w:eastAsia="zh-CN"/>
                    </w:rPr>
                    <w:t>准</w:t>
                  </w:r>
                  <w:r>
                    <w:rPr>
                      <w:rFonts w:hint="default" w:ascii="Times New Roman" w:hAnsi="Times New Roman" w:cs="Times New Roman" w:eastAsiaTheme="minorEastAsia"/>
                      <w:b w:val="0"/>
                      <w:bCs w:val="0"/>
                      <w:color w:val="auto"/>
                      <w:sz w:val="21"/>
                      <w:szCs w:val="21"/>
                      <w:lang w:val="en-US" w:eastAsia="zh-CN"/>
                    </w:rPr>
                    <w:t>值9</w:t>
                  </w:r>
                  <w:r>
                    <w:rPr>
                      <w:rFonts w:hint="eastAsia" w:ascii="Times New Roman" w:hAnsi="Times New Roman" w:cs="Times New Roman" w:eastAsiaTheme="minorEastAsia"/>
                      <w:b w:val="0"/>
                      <w:bCs w:val="0"/>
                      <w:color w:val="auto"/>
                      <w:sz w:val="21"/>
                      <w:szCs w:val="21"/>
                      <w:lang w:val="en-US" w:eastAsia="zh-CN"/>
                    </w:rPr>
                    <w:t>3.8</w:t>
                  </w:r>
                  <w:r>
                    <w:rPr>
                      <w:rFonts w:hint="default" w:ascii="Times New Roman" w:hAnsi="Times New Roman" w:cs="Times New Roman" w:eastAsiaTheme="minorEastAsia"/>
                      <w:b w:val="0"/>
                      <w:bCs w:val="0"/>
                      <w:color w:val="auto"/>
                      <w:sz w:val="21"/>
                      <w:szCs w:val="21"/>
                      <w:lang w:val="en-US" w:eastAsia="zh-CN"/>
                    </w:rPr>
                    <w:t>dB 测后校</w:t>
                  </w:r>
                  <w:r>
                    <w:rPr>
                      <w:rFonts w:hint="eastAsia" w:ascii="Times New Roman" w:hAnsi="Times New Roman" w:cs="Times New Roman" w:eastAsiaTheme="minorEastAsia"/>
                      <w:b w:val="0"/>
                      <w:bCs w:val="0"/>
                      <w:color w:val="auto"/>
                      <w:sz w:val="21"/>
                      <w:szCs w:val="21"/>
                      <w:lang w:val="en-US" w:eastAsia="zh-CN"/>
                    </w:rPr>
                    <w:t>准值</w:t>
                  </w:r>
                  <w:r>
                    <w:rPr>
                      <w:rFonts w:hint="default" w:ascii="Times New Roman" w:hAnsi="Times New Roman" w:cs="Times New Roman" w:eastAsiaTheme="minorEastAsia"/>
                      <w:b w:val="0"/>
                      <w:bCs w:val="0"/>
                      <w:color w:val="auto"/>
                      <w:sz w:val="21"/>
                      <w:szCs w:val="21"/>
                      <w:lang w:val="en-US" w:eastAsia="zh-CN"/>
                    </w:rPr>
                    <w:t>9</w:t>
                  </w:r>
                  <w:r>
                    <w:rPr>
                      <w:rFonts w:hint="eastAsia" w:ascii="Times New Roman" w:hAnsi="Times New Roman" w:cs="Times New Roman" w:eastAsiaTheme="minorEastAsia"/>
                      <w:b w:val="0"/>
                      <w:bCs w:val="0"/>
                      <w:color w:val="auto"/>
                      <w:sz w:val="21"/>
                      <w:szCs w:val="21"/>
                      <w:lang w:val="en-US" w:eastAsia="zh-CN"/>
                    </w:rPr>
                    <w:t>3.9</w:t>
                  </w:r>
                  <w:r>
                    <w:rPr>
                      <w:rFonts w:hint="default" w:ascii="Times New Roman" w:hAnsi="Times New Roman" w:cs="Times New Roman" w:eastAsiaTheme="minorEastAsia"/>
                      <w:b w:val="0"/>
                      <w:bCs w:val="0"/>
                      <w:color w:val="auto"/>
                      <w:sz w:val="21"/>
                      <w:szCs w:val="21"/>
                      <w:lang w:val="en-US" w:eastAsia="zh-CN"/>
                    </w:rPr>
                    <w:t>dB</w:t>
                  </w:r>
                </w:p>
              </w:tc>
              <w:tc>
                <w:tcPr>
                  <w:tcW w:w="1253" w:type="pct"/>
                  <w:tcBorders>
                    <w:tl2br w:val="nil"/>
                    <w:tr2bl w:val="nil"/>
                  </w:tcBorders>
                  <w:noWrap w:val="0"/>
                  <w:vAlign w:val="center"/>
                </w:tcPr>
                <w:p w14:paraId="6F40842D">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eastAsiaTheme="minorEastAsia"/>
                      <w:b w:val="0"/>
                      <w:bCs w:val="0"/>
                      <w:color w:val="auto"/>
                      <w:sz w:val="21"/>
                      <w:szCs w:val="21"/>
                      <w:lang w:val="en-US" w:eastAsia="zh-CN" w:bidi="ar"/>
                    </w:rPr>
                    <w:t>仪器</w:t>
                  </w:r>
                  <w:r>
                    <w:rPr>
                      <w:rFonts w:hint="default" w:ascii="Times New Roman" w:hAnsi="Times New Roman" w:cs="Times New Roman" w:eastAsiaTheme="minorEastAsia"/>
                      <w:b w:val="0"/>
                      <w:bCs w:val="0"/>
                      <w:color w:val="auto"/>
                      <w:sz w:val="21"/>
                      <w:szCs w:val="21"/>
                      <w:lang w:bidi="ar"/>
                    </w:rPr>
                    <w:t>校准</w:t>
                  </w:r>
                </w:p>
              </w:tc>
              <w:tc>
                <w:tcPr>
                  <w:tcW w:w="1247" w:type="pct"/>
                  <w:tcBorders>
                    <w:tl2br w:val="nil"/>
                    <w:tr2bl w:val="nil"/>
                  </w:tcBorders>
                  <w:noWrap w:val="0"/>
                  <w:vAlign w:val="center"/>
                </w:tcPr>
                <w:p w14:paraId="72168554">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sz w:val="21"/>
                      <w:szCs w:val="21"/>
                      <w:lang w:bidi="ar"/>
                    </w:rPr>
                  </w:pPr>
                  <w:r>
                    <w:rPr>
                      <w:rFonts w:hint="default" w:ascii="Times New Roman" w:hAnsi="Times New Roman" w:cs="Times New Roman" w:eastAsiaTheme="minorEastAsia"/>
                      <w:b w:val="0"/>
                      <w:bCs w:val="0"/>
                      <w:color w:val="auto"/>
                      <w:sz w:val="21"/>
                      <w:szCs w:val="21"/>
                      <w:lang w:bidi="ar"/>
                    </w:rPr>
                    <w:t>合格</w:t>
                  </w:r>
                </w:p>
              </w:tc>
            </w:tr>
            <w:tr w14:paraId="1F1E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000" w:type="pct"/>
                  <w:gridSpan w:val="4"/>
                  <w:tcBorders>
                    <w:tl2br w:val="nil"/>
                    <w:tr2bl w:val="nil"/>
                  </w:tcBorders>
                  <w:noWrap w:val="0"/>
                  <w:vAlign w:val="center"/>
                </w:tcPr>
                <w:p w14:paraId="0BAAB23F">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2025-11-13检测结果</w:t>
                  </w:r>
                </w:p>
              </w:tc>
            </w:tr>
            <w:tr w14:paraId="3CC0F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9" w:type="pct"/>
                  <w:tcBorders>
                    <w:tl2br w:val="nil"/>
                    <w:tr2bl w:val="nil"/>
                  </w:tcBorders>
                  <w:noWrap w:val="0"/>
                  <w:vAlign w:val="center"/>
                </w:tcPr>
                <w:p w14:paraId="78F408A7">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b w:val="0"/>
                      <w:bCs w:val="0"/>
                      <w:color w:val="auto"/>
                      <w:sz w:val="21"/>
                      <w:szCs w:val="21"/>
                      <w:lang w:val="en-US" w:eastAsia="zh-CN" w:bidi="ar"/>
                    </w:rPr>
                    <w:t>编号</w:t>
                  </w:r>
                </w:p>
              </w:tc>
              <w:tc>
                <w:tcPr>
                  <w:tcW w:w="1749" w:type="pct"/>
                  <w:tcBorders>
                    <w:tl2br w:val="nil"/>
                    <w:tr2bl w:val="nil"/>
                  </w:tcBorders>
                  <w:noWrap w:val="0"/>
                  <w:vAlign w:val="center"/>
                </w:tcPr>
                <w:p w14:paraId="3BE39B80">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kern w:val="2"/>
                      <w:sz w:val="21"/>
                      <w:szCs w:val="21"/>
                      <w:lang w:val="en-US" w:eastAsia="zh-CN" w:bidi="ar-SA"/>
                    </w:rPr>
                  </w:pPr>
                  <w:r>
                    <w:rPr>
                      <w:rFonts w:hint="default" w:ascii="Times New Roman" w:hAnsi="Times New Roman" w:cs="Times New Roman"/>
                      <w:b w:val="0"/>
                      <w:bCs w:val="0"/>
                      <w:color w:val="auto"/>
                      <w:sz w:val="21"/>
                      <w:szCs w:val="21"/>
                      <w:lang w:val="en-US" w:eastAsia="zh-CN" w:bidi="ar"/>
                    </w:rPr>
                    <w:t>测点位置</w:t>
                  </w:r>
                </w:p>
              </w:tc>
              <w:tc>
                <w:tcPr>
                  <w:tcW w:w="1253" w:type="pct"/>
                  <w:tcBorders>
                    <w:tl2br w:val="nil"/>
                    <w:tr2bl w:val="nil"/>
                  </w:tcBorders>
                  <w:noWrap w:val="0"/>
                  <w:vAlign w:val="center"/>
                </w:tcPr>
                <w:p w14:paraId="13D69BBD">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spacing w:val="-20"/>
                      <w:kern w:val="0"/>
                      <w:sz w:val="21"/>
                      <w:szCs w:val="21"/>
                      <w:lang w:val="en-US" w:eastAsia="zh-CN" w:bidi="ar-SA"/>
                    </w:rPr>
                  </w:pPr>
                  <w:r>
                    <w:rPr>
                      <w:rFonts w:hint="default" w:ascii="Times New Roman" w:hAnsi="Times New Roman" w:cs="Times New Roman"/>
                      <w:b w:val="0"/>
                      <w:bCs w:val="0"/>
                      <w:color w:val="auto"/>
                      <w:sz w:val="21"/>
                      <w:szCs w:val="21"/>
                      <w:lang w:val="en-US" w:eastAsia="zh-CN" w:bidi="ar"/>
                    </w:rPr>
                    <w:t>昼间</w:t>
                  </w:r>
                  <w:r>
                    <w:rPr>
                      <w:rFonts w:hint="eastAsia" w:ascii="Times New Roman" w:hAnsi="Times New Roman" w:cs="Times New Roman"/>
                      <w:b w:val="0"/>
                      <w:bCs w:val="0"/>
                      <w:color w:val="auto"/>
                      <w:sz w:val="21"/>
                      <w:szCs w:val="21"/>
                      <w:lang w:val="en-US" w:eastAsia="zh-CN" w:bidi="ar"/>
                    </w:rPr>
                    <w:t xml:space="preserve"> </w:t>
                  </w:r>
                  <w:r>
                    <w:rPr>
                      <w:rFonts w:hint="default" w:ascii="Times New Roman" w:hAnsi="Times New Roman" w:cs="Times New Roman"/>
                      <w:b w:val="0"/>
                      <w:bCs w:val="0"/>
                      <w:color w:val="auto"/>
                      <w:sz w:val="21"/>
                      <w:szCs w:val="21"/>
                      <w:lang w:val="en-US" w:eastAsia="zh-CN" w:bidi="ar"/>
                    </w:rPr>
                    <w:t>Leq</w:t>
                  </w:r>
                  <w:r>
                    <w:rPr>
                      <w:rFonts w:hint="eastAsia" w:ascii="Times New Roman" w:hAnsi="Times New Roman" w:cs="Times New Roman"/>
                      <w:b w:val="0"/>
                      <w:bCs w:val="0"/>
                      <w:color w:val="auto"/>
                      <w:sz w:val="21"/>
                      <w:szCs w:val="21"/>
                      <w:lang w:val="en-US" w:eastAsia="zh-CN" w:bidi="ar"/>
                    </w:rPr>
                    <w:t xml:space="preserve"> </w:t>
                  </w:r>
                  <w:r>
                    <w:rPr>
                      <w:rFonts w:hint="default" w:ascii="Times New Roman" w:hAnsi="Times New Roman" w:cs="Times New Roman"/>
                      <w:b w:val="0"/>
                      <w:bCs w:val="0"/>
                      <w:color w:val="auto"/>
                      <w:sz w:val="21"/>
                      <w:szCs w:val="21"/>
                      <w:lang w:val="en-US" w:eastAsia="zh-CN" w:bidi="ar"/>
                    </w:rPr>
                    <w:t>dB(A)</w:t>
                  </w:r>
                </w:p>
              </w:tc>
              <w:tc>
                <w:tcPr>
                  <w:tcW w:w="1247" w:type="pct"/>
                  <w:tcBorders>
                    <w:tl2br w:val="nil"/>
                    <w:tr2bl w:val="nil"/>
                  </w:tcBorders>
                  <w:noWrap w:val="0"/>
                  <w:vAlign w:val="center"/>
                </w:tcPr>
                <w:p w14:paraId="219D9DE3">
                  <w:pPr>
                    <w:keepNext w:val="0"/>
                    <w:keepLines w:val="0"/>
                    <w:pageBreakBefore w:val="0"/>
                    <w:widowControl w:val="0"/>
                    <w:kinsoku/>
                    <w:wordWrap/>
                    <w:overflowPunct/>
                    <w:topLinePunct w:val="0"/>
                    <w:autoSpaceDE/>
                    <w:autoSpaceDN/>
                    <w:bidi w:val="0"/>
                    <w:adjustRightInd/>
                    <w:snapToGrid/>
                    <w:spacing w:line="280" w:lineRule="exact"/>
                    <w:jc w:val="center"/>
                    <w:textAlignment w:val="auto"/>
                    <w:outlineLvl w:val="9"/>
                    <w:rPr>
                      <w:rFonts w:hint="default" w:ascii="Times New Roman" w:hAnsi="Times New Roman" w:cs="Times New Roman" w:eastAsiaTheme="minorEastAsia"/>
                      <w:b w:val="0"/>
                      <w:bCs w:val="0"/>
                      <w:color w:val="auto"/>
                      <w:spacing w:val="-20"/>
                      <w:kern w:val="0"/>
                      <w:sz w:val="21"/>
                      <w:szCs w:val="21"/>
                      <w:lang w:eastAsia="zh-CN"/>
                    </w:rPr>
                  </w:pPr>
                  <w:r>
                    <w:rPr>
                      <w:rFonts w:hint="default" w:ascii="Times New Roman" w:hAnsi="Times New Roman" w:cs="Times New Roman"/>
                      <w:b w:val="0"/>
                      <w:bCs w:val="0"/>
                      <w:color w:val="auto"/>
                      <w:sz w:val="21"/>
                      <w:szCs w:val="21"/>
                      <w:lang w:val="en-US" w:eastAsia="zh-CN" w:bidi="ar"/>
                    </w:rPr>
                    <w:t>夜间</w:t>
                  </w:r>
                  <w:r>
                    <w:rPr>
                      <w:rFonts w:hint="eastAsia" w:ascii="Times New Roman" w:hAnsi="Times New Roman" w:cs="Times New Roman"/>
                      <w:b w:val="0"/>
                      <w:bCs w:val="0"/>
                      <w:color w:val="auto"/>
                      <w:sz w:val="21"/>
                      <w:szCs w:val="21"/>
                      <w:lang w:val="en-US" w:eastAsia="zh-CN" w:bidi="ar"/>
                    </w:rPr>
                    <w:t xml:space="preserve"> </w:t>
                  </w:r>
                  <w:r>
                    <w:rPr>
                      <w:rFonts w:hint="default" w:ascii="Times New Roman" w:hAnsi="Times New Roman" w:cs="Times New Roman"/>
                      <w:b w:val="0"/>
                      <w:bCs w:val="0"/>
                      <w:color w:val="auto"/>
                      <w:sz w:val="21"/>
                      <w:szCs w:val="21"/>
                      <w:lang w:val="en-US" w:eastAsia="zh-CN" w:bidi="ar"/>
                    </w:rPr>
                    <w:t>Leq</w:t>
                  </w:r>
                  <w:r>
                    <w:rPr>
                      <w:rFonts w:hint="eastAsia" w:ascii="Times New Roman" w:hAnsi="Times New Roman" w:cs="Times New Roman"/>
                      <w:b w:val="0"/>
                      <w:bCs w:val="0"/>
                      <w:color w:val="auto"/>
                      <w:sz w:val="21"/>
                      <w:szCs w:val="21"/>
                      <w:lang w:val="en-US" w:eastAsia="zh-CN" w:bidi="ar"/>
                    </w:rPr>
                    <w:t xml:space="preserve"> </w:t>
                  </w:r>
                  <w:r>
                    <w:rPr>
                      <w:rFonts w:hint="default" w:ascii="Times New Roman" w:hAnsi="Times New Roman" w:cs="Times New Roman"/>
                      <w:b w:val="0"/>
                      <w:bCs w:val="0"/>
                      <w:color w:val="auto"/>
                      <w:sz w:val="21"/>
                      <w:szCs w:val="21"/>
                      <w:lang w:val="en-US" w:eastAsia="zh-CN" w:bidi="ar"/>
                    </w:rPr>
                    <w:t>dB(A)</w:t>
                  </w:r>
                </w:p>
              </w:tc>
            </w:tr>
            <w:tr w14:paraId="71A93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9" w:type="pct"/>
                  <w:tcBorders>
                    <w:tl2br w:val="nil"/>
                    <w:tr2bl w:val="nil"/>
                  </w:tcBorders>
                  <w:noWrap w:val="0"/>
                  <w:vAlign w:val="center"/>
                </w:tcPr>
                <w:p w14:paraId="07DA00F2">
                  <w:pPr>
                    <w:jc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N1</w:t>
                  </w:r>
                </w:p>
              </w:tc>
              <w:tc>
                <w:tcPr>
                  <w:tcW w:w="1749" w:type="pct"/>
                  <w:tcBorders>
                    <w:tl2br w:val="nil"/>
                    <w:tr2bl w:val="nil"/>
                  </w:tcBorders>
                  <w:noWrap w:val="0"/>
                  <w:vAlign w:val="center"/>
                </w:tcPr>
                <w:p w14:paraId="6607228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b w:val="0"/>
                      <w:bCs w:val="0"/>
                      <w:color w:val="auto"/>
                      <w:sz w:val="21"/>
                      <w:szCs w:val="21"/>
                      <w:lang w:val="en-US" w:eastAsia="zh-CN"/>
                    </w:rPr>
                  </w:pPr>
                  <w:r>
                    <w:rPr>
                      <w:rFonts w:hint="eastAsia" w:cs="Times New Roman"/>
                      <w:color w:val="auto"/>
                      <w:sz w:val="21"/>
                      <w:szCs w:val="21"/>
                      <w:lang w:eastAsia="zh-CN"/>
                    </w:rPr>
                    <w:t>东侧厂界外</w:t>
                  </w:r>
                  <w:r>
                    <w:rPr>
                      <w:rFonts w:hint="eastAsia" w:cs="Times New Roman"/>
                      <w:color w:val="auto"/>
                      <w:sz w:val="21"/>
                      <w:szCs w:val="21"/>
                      <w:lang w:val="en-US" w:eastAsia="zh-CN"/>
                    </w:rPr>
                    <w:t>1m</w:t>
                  </w:r>
                </w:p>
              </w:tc>
              <w:tc>
                <w:tcPr>
                  <w:tcW w:w="1253" w:type="pct"/>
                  <w:tcBorders>
                    <w:tl2br w:val="nil"/>
                    <w:tr2bl w:val="nil"/>
                  </w:tcBorders>
                  <w:noWrap w:val="0"/>
                  <w:vAlign w:val="center"/>
                </w:tcPr>
                <w:p w14:paraId="7E616622">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57</w:t>
                  </w:r>
                </w:p>
              </w:tc>
              <w:tc>
                <w:tcPr>
                  <w:tcW w:w="1247" w:type="pct"/>
                  <w:tcBorders>
                    <w:tl2br w:val="nil"/>
                    <w:tr2bl w:val="nil"/>
                  </w:tcBorders>
                  <w:noWrap w:val="0"/>
                  <w:vAlign w:val="center"/>
                </w:tcPr>
                <w:p w14:paraId="6F8065E3">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ascii="Times New Roman" w:hAnsi="Times New Roman" w:cs="Times New Roman" w:eastAsiaTheme="minorEastAsia"/>
                      <w:b w:val="0"/>
                      <w:bCs w:val="0"/>
                      <w:color w:val="auto"/>
                      <w:kern w:val="2"/>
                      <w:sz w:val="21"/>
                      <w:szCs w:val="21"/>
                      <w:lang w:val="en-US" w:eastAsia="zh-CN" w:bidi="ar-SA"/>
                    </w:rPr>
                    <w:t>/</w:t>
                  </w:r>
                </w:p>
              </w:tc>
            </w:tr>
            <w:tr w14:paraId="31FB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9" w:type="pct"/>
                  <w:tcBorders>
                    <w:tl2br w:val="nil"/>
                    <w:tr2bl w:val="nil"/>
                  </w:tcBorders>
                  <w:noWrap w:val="0"/>
                  <w:vAlign w:val="center"/>
                </w:tcPr>
                <w:p w14:paraId="34B8973A">
                  <w:pPr>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color w:val="auto"/>
                      <w:sz w:val="21"/>
                      <w:szCs w:val="21"/>
                      <w:lang w:val="en-US" w:eastAsia="zh-CN"/>
                    </w:rPr>
                    <w:t>N2</w:t>
                  </w:r>
                </w:p>
              </w:tc>
              <w:tc>
                <w:tcPr>
                  <w:tcW w:w="1749" w:type="pct"/>
                  <w:tcBorders>
                    <w:tl2br w:val="nil"/>
                    <w:tr2bl w:val="nil"/>
                  </w:tcBorders>
                  <w:noWrap w:val="0"/>
                  <w:vAlign w:val="center"/>
                </w:tcPr>
                <w:p w14:paraId="720DD016">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b w:val="0"/>
                      <w:bCs w:val="0"/>
                      <w:color w:val="auto"/>
                      <w:sz w:val="21"/>
                      <w:szCs w:val="21"/>
                      <w:lang w:val="en-US" w:eastAsia="zh-CN"/>
                    </w:rPr>
                  </w:pPr>
                  <w:r>
                    <w:rPr>
                      <w:rFonts w:hint="eastAsia" w:cs="Times New Roman"/>
                      <w:color w:val="auto"/>
                      <w:sz w:val="21"/>
                      <w:szCs w:val="21"/>
                      <w:lang w:eastAsia="zh-CN"/>
                    </w:rPr>
                    <w:t>南侧厂界外</w:t>
                  </w:r>
                  <w:r>
                    <w:rPr>
                      <w:rFonts w:hint="eastAsia" w:cs="Times New Roman"/>
                      <w:color w:val="auto"/>
                      <w:sz w:val="21"/>
                      <w:szCs w:val="21"/>
                      <w:lang w:val="en-US" w:eastAsia="zh-CN"/>
                    </w:rPr>
                    <w:t>1m</w:t>
                  </w:r>
                </w:p>
              </w:tc>
              <w:tc>
                <w:tcPr>
                  <w:tcW w:w="1253" w:type="pct"/>
                  <w:tcBorders>
                    <w:tl2br w:val="nil"/>
                    <w:tr2bl w:val="nil"/>
                  </w:tcBorders>
                  <w:noWrap w:val="0"/>
                  <w:vAlign w:val="center"/>
                </w:tcPr>
                <w:p w14:paraId="3BED93C5">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56</w:t>
                  </w:r>
                </w:p>
              </w:tc>
              <w:tc>
                <w:tcPr>
                  <w:tcW w:w="1247" w:type="pct"/>
                  <w:tcBorders>
                    <w:tl2br w:val="nil"/>
                    <w:tr2bl w:val="nil"/>
                  </w:tcBorders>
                  <w:noWrap w:val="0"/>
                  <w:vAlign w:val="center"/>
                </w:tcPr>
                <w:p w14:paraId="3A617C3D">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ascii="Times New Roman" w:hAnsi="Times New Roman" w:cs="Times New Roman" w:eastAsiaTheme="minorEastAsia"/>
                      <w:b w:val="0"/>
                      <w:bCs w:val="0"/>
                      <w:color w:val="auto"/>
                      <w:kern w:val="2"/>
                      <w:sz w:val="21"/>
                      <w:szCs w:val="21"/>
                      <w:lang w:val="en-US" w:eastAsia="zh-CN" w:bidi="ar-SA"/>
                    </w:rPr>
                    <w:t>/</w:t>
                  </w:r>
                </w:p>
              </w:tc>
            </w:tr>
            <w:tr w14:paraId="257C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9" w:type="pct"/>
                  <w:tcBorders>
                    <w:tl2br w:val="nil"/>
                    <w:tr2bl w:val="nil"/>
                  </w:tcBorders>
                  <w:noWrap w:val="0"/>
                  <w:vAlign w:val="center"/>
                </w:tcPr>
                <w:p w14:paraId="05965A1B">
                  <w:pPr>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color w:val="auto"/>
                      <w:sz w:val="21"/>
                      <w:szCs w:val="21"/>
                      <w:lang w:val="en-US" w:eastAsia="zh-CN"/>
                    </w:rPr>
                    <w:t>N3</w:t>
                  </w:r>
                </w:p>
              </w:tc>
              <w:tc>
                <w:tcPr>
                  <w:tcW w:w="1749" w:type="pct"/>
                  <w:tcBorders>
                    <w:tl2br w:val="nil"/>
                    <w:tr2bl w:val="nil"/>
                  </w:tcBorders>
                  <w:noWrap w:val="0"/>
                  <w:vAlign w:val="center"/>
                </w:tcPr>
                <w:p w14:paraId="42647FD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b w:val="0"/>
                      <w:bCs w:val="0"/>
                      <w:color w:val="auto"/>
                      <w:sz w:val="21"/>
                      <w:szCs w:val="21"/>
                      <w:lang w:val="en-US" w:eastAsia="zh-CN"/>
                    </w:rPr>
                  </w:pPr>
                  <w:r>
                    <w:rPr>
                      <w:rFonts w:hint="eastAsia" w:cs="Times New Roman"/>
                      <w:color w:val="auto"/>
                      <w:sz w:val="21"/>
                      <w:szCs w:val="21"/>
                      <w:lang w:eastAsia="zh-CN"/>
                    </w:rPr>
                    <w:t>西侧厂界外</w:t>
                  </w:r>
                  <w:r>
                    <w:rPr>
                      <w:rFonts w:hint="eastAsia" w:cs="Times New Roman"/>
                      <w:color w:val="auto"/>
                      <w:sz w:val="21"/>
                      <w:szCs w:val="21"/>
                      <w:lang w:val="en-US" w:eastAsia="zh-CN"/>
                    </w:rPr>
                    <w:t>1m</w:t>
                  </w:r>
                </w:p>
              </w:tc>
              <w:tc>
                <w:tcPr>
                  <w:tcW w:w="1253" w:type="pct"/>
                  <w:tcBorders>
                    <w:tl2br w:val="nil"/>
                    <w:tr2bl w:val="nil"/>
                  </w:tcBorders>
                  <w:noWrap w:val="0"/>
                  <w:vAlign w:val="center"/>
                </w:tcPr>
                <w:p w14:paraId="32965D6D">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46</w:t>
                  </w:r>
                </w:p>
              </w:tc>
              <w:tc>
                <w:tcPr>
                  <w:tcW w:w="1247" w:type="pct"/>
                  <w:tcBorders>
                    <w:tl2br w:val="nil"/>
                    <w:tr2bl w:val="nil"/>
                  </w:tcBorders>
                  <w:noWrap w:val="0"/>
                  <w:vAlign w:val="center"/>
                </w:tcPr>
                <w:p w14:paraId="65333D04">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ascii="Times New Roman" w:hAnsi="Times New Roman" w:cs="Times New Roman" w:eastAsiaTheme="minorEastAsia"/>
                      <w:b w:val="0"/>
                      <w:bCs w:val="0"/>
                      <w:color w:val="auto"/>
                      <w:kern w:val="2"/>
                      <w:sz w:val="21"/>
                      <w:szCs w:val="21"/>
                      <w:lang w:val="en-US" w:eastAsia="zh-CN" w:bidi="ar-SA"/>
                    </w:rPr>
                    <w:t>/</w:t>
                  </w:r>
                </w:p>
              </w:tc>
            </w:tr>
            <w:tr w14:paraId="08E06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9" w:type="pct"/>
                  <w:tcBorders>
                    <w:tl2br w:val="nil"/>
                    <w:tr2bl w:val="nil"/>
                  </w:tcBorders>
                  <w:noWrap w:val="0"/>
                  <w:vAlign w:val="center"/>
                </w:tcPr>
                <w:p w14:paraId="4C27D4B6">
                  <w:pPr>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color w:val="auto"/>
                      <w:sz w:val="21"/>
                      <w:szCs w:val="21"/>
                      <w:lang w:val="en-US" w:eastAsia="zh-CN"/>
                    </w:rPr>
                    <w:t>N4</w:t>
                  </w:r>
                </w:p>
              </w:tc>
              <w:tc>
                <w:tcPr>
                  <w:tcW w:w="1749" w:type="pct"/>
                  <w:tcBorders>
                    <w:tl2br w:val="nil"/>
                    <w:tr2bl w:val="nil"/>
                  </w:tcBorders>
                  <w:noWrap w:val="0"/>
                  <w:vAlign w:val="center"/>
                </w:tcPr>
                <w:p w14:paraId="7756FE03">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b w:val="0"/>
                      <w:bCs w:val="0"/>
                      <w:color w:val="auto"/>
                      <w:sz w:val="21"/>
                      <w:szCs w:val="21"/>
                      <w:lang w:val="en-US" w:eastAsia="zh-CN"/>
                    </w:rPr>
                  </w:pPr>
                  <w:r>
                    <w:rPr>
                      <w:rFonts w:hint="eastAsia" w:cs="Times New Roman"/>
                      <w:color w:val="auto"/>
                      <w:sz w:val="21"/>
                      <w:szCs w:val="21"/>
                      <w:lang w:eastAsia="zh-CN"/>
                    </w:rPr>
                    <w:t>北侧厂界外</w:t>
                  </w:r>
                  <w:r>
                    <w:rPr>
                      <w:rFonts w:hint="eastAsia" w:cs="Times New Roman"/>
                      <w:color w:val="auto"/>
                      <w:sz w:val="21"/>
                      <w:szCs w:val="21"/>
                      <w:lang w:val="en-US" w:eastAsia="zh-CN"/>
                    </w:rPr>
                    <w:t>1m</w:t>
                  </w:r>
                </w:p>
              </w:tc>
              <w:tc>
                <w:tcPr>
                  <w:tcW w:w="1253" w:type="pct"/>
                  <w:tcBorders>
                    <w:tl2br w:val="nil"/>
                    <w:tr2bl w:val="nil"/>
                  </w:tcBorders>
                  <w:noWrap w:val="0"/>
                  <w:vAlign w:val="center"/>
                </w:tcPr>
                <w:p w14:paraId="647AE30C">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55</w:t>
                  </w:r>
                </w:p>
              </w:tc>
              <w:tc>
                <w:tcPr>
                  <w:tcW w:w="1247" w:type="pct"/>
                  <w:tcBorders>
                    <w:tl2br w:val="nil"/>
                    <w:tr2bl w:val="nil"/>
                  </w:tcBorders>
                  <w:noWrap w:val="0"/>
                  <w:vAlign w:val="center"/>
                </w:tcPr>
                <w:p w14:paraId="28F0D349">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ascii="Times New Roman" w:hAnsi="Times New Roman" w:cs="Times New Roman" w:eastAsiaTheme="minorEastAsia"/>
                      <w:b w:val="0"/>
                      <w:bCs w:val="0"/>
                      <w:color w:val="auto"/>
                      <w:kern w:val="2"/>
                      <w:sz w:val="21"/>
                      <w:szCs w:val="21"/>
                      <w:lang w:val="en-US" w:eastAsia="zh-CN" w:bidi="ar-SA"/>
                    </w:rPr>
                    <w:t>/</w:t>
                  </w:r>
                </w:p>
              </w:tc>
            </w:tr>
            <w:tr w14:paraId="10BF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49" w:type="pct"/>
                  <w:tcBorders>
                    <w:tl2br w:val="nil"/>
                    <w:tr2bl w:val="nil"/>
                  </w:tcBorders>
                  <w:noWrap w:val="0"/>
                  <w:vAlign w:val="center"/>
                </w:tcPr>
                <w:p w14:paraId="1758999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b w:val="0"/>
                      <w:bCs w:val="0"/>
                      <w:color w:val="auto"/>
                      <w:sz w:val="21"/>
                      <w:szCs w:val="21"/>
                      <w:lang w:val="en-US" w:eastAsia="zh-CN"/>
                    </w:rPr>
                  </w:pPr>
                  <w:r>
                    <w:rPr>
                      <w:rFonts w:hint="default" w:ascii="Times New Roman" w:hAnsi="Times New Roman" w:cs="Times New Roman"/>
                      <w:color w:val="auto"/>
                      <w:sz w:val="21"/>
                      <w:szCs w:val="21"/>
                      <w:lang w:val="en-US" w:eastAsia="zh-CN"/>
                    </w:rPr>
                    <w:t>N</w:t>
                  </w:r>
                  <w:r>
                    <w:rPr>
                      <w:rFonts w:hint="eastAsia" w:ascii="Times New Roman" w:hAnsi="Times New Roman" w:cs="Times New Roman"/>
                      <w:color w:val="auto"/>
                      <w:sz w:val="21"/>
                      <w:szCs w:val="21"/>
                      <w:lang w:val="en-US" w:eastAsia="zh-CN"/>
                    </w:rPr>
                    <w:t>5</w:t>
                  </w:r>
                </w:p>
              </w:tc>
              <w:tc>
                <w:tcPr>
                  <w:tcW w:w="1749" w:type="pct"/>
                  <w:tcBorders>
                    <w:tl2br w:val="nil"/>
                    <w:tr2bl w:val="nil"/>
                  </w:tcBorders>
                  <w:noWrap w:val="0"/>
                  <w:vAlign w:val="center"/>
                </w:tcPr>
                <w:p w14:paraId="68BB1EF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eastAsiaTheme="minorEastAsia"/>
                      <w:b w:val="0"/>
                      <w:bCs w:val="0"/>
                      <w:color w:val="auto"/>
                      <w:sz w:val="21"/>
                      <w:szCs w:val="21"/>
                      <w:lang w:val="en-US" w:eastAsia="zh-CN"/>
                    </w:rPr>
                  </w:pPr>
                  <w:r>
                    <w:rPr>
                      <w:rFonts w:hint="eastAsia" w:cs="Times New Roman"/>
                      <w:color w:val="auto"/>
                      <w:kern w:val="0"/>
                      <w:sz w:val="21"/>
                      <w:szCs w:val="21"/>
                      <w:lang w:val="en-US" w:eastAsia="zh-CN"/>
                    </w:rPr>
                    <w:t>八里曾家</w:t>
                  </w:r>
                </w:p>
              </w:tc>
              <w:tc>
                <w:tcPr>
                  <w:tcW w:w="1253" w:type="pct"/>
                  <w:tcBorders>
                    <w:tl2br w:val="nil"/>
                    <w:tr2bl w:val="nil"/>
                  </w:tcBorders>
                  <w:noWrap w:val="0"/>
                  <w:vAlign w:val="center"/>
                </w:tcPr>
                <w:p w14:paraId="1AB7E01A">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52</w:t>
                  </w:r>
                </w:p>
              </w:tc>
              <w:tc>
                <w:tcPr>
                  <w:tcW w:w="1247" w:type="pct"/>
                  <w:tcBorders>
                    <w:tl2br w:val="nil"/>
                    <w:tr2bl w:val="nil"/>
                  </w:tcBorders>
                  <w:noWrap w:val="0"/>
                  <w:vAlign w:val="center"/>
                </w:tcPr>
                <w:p w14:paraId="2B4E6522">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ascii="Times New Roman" w:hAnsi="Times New Roman" w:cs="Times New Roman" w:eastAsiaTheme="minorEastAsia"/>
                      <w:b w:val="0"/>
                      <w:bCs w:val="0"/>
                      <w:color w:val="auto"/>
                      <w:kern w:val="2"/>
                      <w:sz w:val="21"/>
                      <w:szCs w:val="21"/>
                      <w:lang w:val="en-US" w:eastAsia="zh-CN" w:bidi="ar-SA"/>
                    </w:rPr>
                    <w:t>/</w:t>
                  </w:r>
                </w:p>
              </w:tc>
            </w:tr>
          </w:tbl>
          <w:p w14:paraId="670498EA">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0" w:firstLineChars="200"/>
              <w:jc w:val="left"/>
              <w:textAlignment w:val="auto"/>
              <w:rPr>
                <w:rFonts w:hint="eastAsia"/>
                <w:color w:val="auto"/>
                <w:lang w:val="en-US" w:eastAsia="zh-CN"/>
              </w:rPr>
            </w:pPr>
            <w:r>
              <w:rPr>
                <w:rFonts w:hint="eastAsia" w:ascii="Times New Roman" w:hAnsi="Times New Roman"/>
                <w:color w:val="auto"/>
                <w:sz w:val="24"/>
                <w:szCs w:val="24"/>
                <w:lang w:eastAsia="zh-CN"/>
              </w:rPr>
              <w:t>由上表数据可见，</w:t>
            </w:r>
            <w:r>
              <w:rPr>
                <w:rFonts w:hint="eastAsia"/>
                <w:color w:val="auto"/>
                <w:sz w:val="24"/>
                <w:szCs w:val="24"/>
                <w:lang w:val="en-US" w:eastAsia="zh-CN"/>
              </w:rPr>
              <w:t>N5</w:t>
            </w:r>
            <w:r>
              <w:rPr>
                <w:rFonts w:hint="default" w:ascii="Times New Roman" w:hAnsi="Times New Roman" w:eastAsia="宋体" w:cs="Times New Roman"/>
                <w:b w:val="0"/>
                <w:bCs w:val="0"/>
                <w:color w:val="auto"/>
                <w:sz w:val="24"/>
                <w:szCs w:val="24"/>
                <w:highlight w:val="none"/>
                <w:lang w:val="en-US" w:eastAsia="zh-CN"/>
              </w:rPr>
              <w:t>监测点</w:t>
            </w:r>
            <w:r>
              <w:rPr>
                <w:rFonts w:hint="eastAsia" w:cs="Times New Roman"/>
                <w:color w:val="auto"/>
                <w:kern w:val="0"/>
                <w:sz w:val="21"/>
                <w:szCs w:val="21"/>
                <w:lang w:val="en-US" w:eastAsia="zh-CN"/>
              </w:rPr>
              <w:t>八里曾家</w:t>
            </w:r>
            <w:r>
              <w:rPr>
                <w:rFonts w:hint="eastAsia" w:ascii="Times New Roman" w:hAnsi="Times New Roman" w:eastAsia="宋体" w:cs="Times New Roman"/>
                <w:b w:val="0"/>
                <w:bCs w:val="0"/>
                <w:color w:val="auto"/>
                <w:sz w:val="24"/>
                <w:szCs w:val="24"/>
                <w:highlight w:val="none"/>
                <w:lang w:val="en-US" w:eastAsia="zh-CN"/>
              </w:rPr>
              <w:t>的</w:t>
            </w:r>
            <w:r>
              <w:rPr>
                <w:rFonts w:hint="default" w:ascii="Times New Roman" w:hAnsi="Times New Roman" w:eastAsia="宋体" w:cs="Times New Roman"/>
                <w:b w:val="0"/>
                <w:bCs w:val="0"/>
                <w:color w:val="auto"/>
                <w:sz w:val="24"/>
                <w:szCs w:val="24"/>
                <w:highlight w:val="none"/>
                <w:lang w:val="en-US" w:eastAsia="zh-CN"/>
              </w:rPr>
              <w:t>昼夜噪声值符合《声环境质量标准》（GB3096-2008）中的</w:t>
            </w:r>
            <w:r>
              <w:rPr>
                <w:rFonts w:hint="eastAsia" w:ascii="Times New Roman" w:hAnsi="Times New Roman" w:cs="Times New Roman"/>
                <w:b w:val="0"/>
                <w:bCs w:val="0"/>
                <w:color w:val="auto"/>
                <w:sz w:val="24"/>
                <w:szCs w:val="24"/>
                <w:highlight w:val="none"/>
                <w:lang w:val="en-US" w:eastAsia="zh-CN"/>
              </w:rPr>
              <w:t>2</w:t>
            </w:r>
            <w:r>
              <w:rPr>
                <w:rFonts w:hint="default" w:ascii="Times New Roman" w:hAnsi="Times New Roman" w:eastAsia="宋体" w:cs="Times New Roman"/>
                <w:b w:val="0"/>
                <w:bCs w:val="0"/>
                <w:color w:val="auto"/>
                <w:sz w:val="24"/>
                <w:szCs w:val="24"/>
                <w:highlight w:val="none"/>
                <w:lang w:val="en-US" w:eastAsia="zh-CN"/>
              </w:rPr>
              <w:t>类标准</w:t>
            </w:r>
            <w:r>
              <w:rPr>
                <w:rFonts w:hint="eastAsia" w:ascii="Times New Roman" w:hAnsi="Times New Roman"/>
                <w:color w:val="auto"/>
                <w:sz w:val="24"/>
                <w:lang w:eastAsia="zh-CN"/>
              </w:rPr>
              <w:t>。</w:t>
            </w:r>
          </w:p>
          <w:p w14:paraId="67CA1C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b/>
                <w:bCs/>
                <w:color w:val="auto"/>
                <w:kern w:val="0"/>
                <w:sz w:val="24"/>
                <w:szCs w:val="24"/>
                <w:lang w:val="en-US" w:eastAsia="zh-CN"/>
              </w:rPr>
            </w:pPr>
            <w:r>
              <w:rPr>
                <w:rFonts w:hint="eastAsia" w:cs="Times New Roman"/>
                <w:b/>
                <w:bCs/>
                <w:color w:val="auto"/>
                <w:kern w:val="0"/>
                <w:sz w:val="24"/>
                <w:szCs w:val="24"/>
                <w:lang w:val="en-US" w:eastAsia="zh-CN"/>
              </w:rPr>
              <w:t>4.</w:t>
            </w:r>
            <w:r>
              <w:rPr>
                <w:rFonts w:hint="eastAsia" w:ascii="Times New Roman" w:hAnsi="Times New Roman" w:eastAsia="宋体" w:cs="Times New Roman"/>
                <w:b/>
                <w:bCs/>
                <w:color w:val="auto"/>
                <w:kern w:val="0"/>
                <w:sz w:val="24"/>
                <w:szCs w:val="24"/>
                <w:lang w:val="en-US" w:eastAsia="zh-CN"/>
              </w:rPr>
              <w:t>生态环境</w:t>
            </w:r>
          </w:p>
          <w:p w14:paraId="0D83C96E">
            <w:pPr>
              <w:adjustRightInd w:val="0"/>
              <w:snapToGrid w:val="0"/>
              <w:spacing w:line="360" w:lineRule="auto"/>
              <w:ind w:firstLine="480" w:firstLineChars="200"/>
              <w:jc w:val="left"/>
              <w:rPr>
                <w:rFonts w:hint="eastAsia"/>
                <w:color w:val="auto"/>
                <w:sz w:val="24"/>
              </w:rPr>
            </w:pPr>
            <w:r>
              <w:rPr>
                <w:rFonts w:hint="eastAsia" w:cs="Times New Roman"/>
                <w:color w:val="auto"/>
                <w:kern w:val="0"/>
                <w:sz w:val="24"/>
                <w:szCs w:val="24"/>
                <w:lang w:val="en-US" w:eastAsia="zh-CN"/>
              </w:rPr>
              <w:t>扩建</w:t>
            </w:r>
            <w:r>
              <w:rPr>
                <w:rFonts w:hint="eastAsia" w:ascii="Times New Roman" w:hAnsi="Times New Roman" w:eastAsia="宋体" w:cs="Times New Roman"/>
                <w:color w:val="auto"/>
                <w:kern w:val="0"/>
                <w:sz w:val="24"/>
                <w:szCs w:val="24"/>
                <w:lang w:val="en-US" w:eastAsia="zh-CN"/>
              </w:rPr>
              <w:t>项目位于</w:t>
            </w:r>
            <w:r>
              <w:rPr>
                <w:rFonts w:ascii="宋体" w:hAnsi="宋体" w:eastAsia="宋体" w:cs="宋体"/>
                <w:sz w:val="24"/>
                <w:szCs w:val="24"/>
              </w:rPr>
              <w:t>宿州</w:t>
            </w:r>
            <w:r>
              <w:rPr>
                <w:rFonts w:hint="eastAsia" w:ascii="宋体" w:hAnsi="宋体" w:cs="宋体"/>
                <w:sz w:val="24"/>
                <w:szCs w:val="24"/>
                <w:lang w:eastAsia="zh-CN"/>
              </w:rPr>
              <w:t>市</w:t>
            </w:r>
            <w:r>
              <w:rPr>
                <w:rFonts w:ascii="宋体" w:hAnsi="宋体" w:eastAsia="宋体" w:cs="宋体"/>
                <w:sz w:val="24"/>
                <w:szCs w:val="24"/>
              </w:rPr>
              <w:t>埇桥</w:t>
            </w:r>
            <w:r>
              <w:rPr>
                <w:rFonts w:hint="eastAsia" w:ascii="宋体" w:hAnsi="宋体" w:cs="宋体"/>
                <w:sz w:val="24"/>
                <w:szCs w:val="24"/>
                <w:lang w:eastAsia="zh-CN"/>
              </w:rPr>
              <w:t>区</w:t>
            </w:r>
            <w:r>
              <w:rPr>
                <w:rFonts w:ascii="宋体" w:hAnsi="宋体" w:eastAsia="宋体" w:cs="宋体"/>
                <w:sz w:val="24"/>
                <w:szCs w:val="24"/>
              </w:rPr>
              <w:t>循环经济示范园东二环西侧</w:t>
            </w:r>
            <w:r>
              <w:rPr>
                <w:rFonts w:hint="eastAsia" w:ascii="Times New Roman" w:hAnsi="Times New Roman" w:cs="Times New Roman"/>
                <w:color w:val="auto"/>
                <w:sz w:val="24"/>
                <w:szCs w:val="24"/>
                <w:u w:val="none"/>
                <w:lang w:val="en-US" w:eastAsia="zh-CN"/>
              </w:rPr>
              <w:t>，</w:t>
            </w:r>
            <w:r>
              <w:rPr>
                <w:rFonts w:hint="eastAsia"/>
                <w:color w:val="auto"/>
                <w:kern w:val="0"/>
                <w:sz w:val="24"/>
              </w:rPr>
              <w:t>属于工业用地，可不做生态环境现状调查。</w:t>
            </w:r>
          </w:p>
          <w:p w14:paraId="181BC41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b/>
                <w:bCs/>
                <w:color w:val="auto"/>
                <w:kern w:val="0"/>
                <w:sz w:val="24"/>
                <w:szCs w:val="24"/>
                <w:lang w:val="en-US" w:eastAsia="zh-CN"/>
              </w:rPr>
            </w:pPr>
            <w:r>
              <w:rPr>
                <w:rFonts w:hint="eastAsia" w:cs="Times New Roman"/>
                <w:b/>
                <w:bCs/>
                <w:color w:val="auto"/>
                <w:kern w:val="0"/>
                <w:sz w:val="24"/>
                <w:szCs w:val="24"/>
                <w:lang w:val="en-US" w:eastAsia="zh-CN"/>
              </w:rPr>
              <w:t>5.</w:t>
            </w:r>
            <w:r>
              <w:rPr>
                <w:rFonts w:hint="eastAsia" w:ascii="Times New Roman" w:hAnsi="Times New Roman" w:eastAsia="宋体" w:cs="Times New Roman"/>
                <w:b/>
                <w:bCs/>
                <w:color w:val="auto"/>
                <w:kern w:val="0"/>
                <w:sz w:val="24"/>
                <w:szCs w:val="24"/>
                <w:lang w:val="en-US" w:eastAsia="zh-CN"/>
              </w:rPr>
              <w:t>电磁辐射</w:t>
            </w:r>
          </w:p>
          <w:p w14:paraId="3EF464B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snapToGrid/>
                <w:color w:val="auto"/>
                <w:spacing w:val="0"/>
                <w:kern w:val="0"/>
                <w:position w:val="0"/>
                <w:sz w:val="24"/>
                <w:szCs w:val="24"/>
                <w:lang w:val="en-US" w:eastAsia="zh-CN"/>
              </w:rPr>
              <w:t>本项目</w:t>
            </w:r>
            <w:r>
              <w:rPr>
                <w:rFonts w:hint="eastAsia" w:ascii="Times New Roman" w:hAnsi="Times New Roman" w:eastAsia="宋体" w:cs="Times New Roman"/>
                <w:snapToGrid/>
                <w:color w:val="auto"/>
                <w:spacing w:val="0"/>
                <w:kern w:val="0"/>
                <w:position w:val="0"/>
                <w:sz w:val="24"/>
                <w:szCs w:val="24"/>
                <w:lang w:val="en-US" w:eastAsia="zh-CN"/>
              </w:rPr>
              <w:t>为</w:t>
            </w:r>
            <w:r>
              <w:rPr>
                <w:rFonts w:hint="default" w:ascii="Times New Roman" w:hAnsi="Times New Roman" w:eastAsia="宋体" w:cs="Times New Roman"/>
                <w:b w:val="0"/>
                <w:bCs w:val="0"/>
                <w:sz w:val="24"/>
                <w:szCs w:val="24"/>
                <w:lang w:val="en-US" w:eastAsia="zh-CN"/>
              </w:rPr>
              <w:t>塑料板、管、型材制造</w:t>
            </w:r>
            <w:r>
              <w:rPr>
                <w:rFonts w:hint="eastAsia" w:ascii="Times New Roman" w:hAnsi="Times New Roman" w:eastAsia="宋体" w:cs="Times New Roman"/>
                <w:color w:val="auto"/>
                <w:sz w:val="24"/>
                <w:szCs w:val="24"/>
                <w:lang w:val="en-US" w:eastAsia="zh-CN"/>
              </w:rPr>
              <w:t>，</w:t>
            </w:r>
            <w:r>
              <w:rPr>
                <w:rFonts w:hint="eastAsia"/>
                <w:color w:val="auto"/>
                <w:sz w:val="24"/>
                <w:lang w:eastAsia="zh-CN"/>
              </w:rPr>
              <w:t>不涉及</w:t>
            </w:r>
            <w:r>
              <w:rPr>
                <w:rFonts w:hint="eastAsia"/>
                <w:color w:val="auto"/>
                <w:sz w:val="24"/>
                <w:lang w:val="en-US" w:eastAsia="zh-CN"/>
              </w:rPr>
              <w:t>电磁辐射类项目</w:t>
            </w:r>
            <w:r>
              <w:rPr>
                <w:rFonts w:hint="eastAsia"/>
                <w:color w:val="auto"/>
                <w:kern w:val="0"/>
                <w:sz w:val="24"/>
              </w:rPr>
              <w:t>。</w:t>
            </w:r>
          </w:p>
          <w:p w14:paraId="2800216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b/>
                <w:bCs/>
                <w:color w:val="auto"/>
                <w:kern w:val="0"/>
                <w:sz w:val="24"/>
                <w:szCs w:val="24"/>
                <w:lang w:val="en-US" w:eastAsia="zh-CN"/>
              </w:rPr>
            </w:pPr>
            <w:r>
              <w:rPr>
                <w:rFonts w:hint="eastAsia" w:cs="Times New Roman"/>
                <w:b/>
                <w:bCs/>
                <w:color w:val="auto"/>
                <w:kern w:val="0"/>
                <w:sz w:val="24"/>
                <w:szCs w:val="24"/>
                <w:lang w:val="en-US" w:eastAsia="zh-CN"/>
              </w:rPr>
              <w:t>6.</w:t>
            </w:r>
            <w:r>
              <w:rPr>
                <w:rFonts w:hint="eastAsia" w:ascii="Times New Roman" w:hAnsi="Times New Roman" w:eastAsia="宋体" w:cs="Times New Roman"/>
                <w:b/>
                <w:bCs/>
                <w:color w:val="auto"/>
                <w:kern w:val="0"/>
                <w:sz w:val="24"/>
                <w:szCs w:val="24"/>
                <w:lang w:val="en-US" w:eastAsia="zh-CN"/>
              </w:rPr>
              <w:t>地下水、土壤环境</w:t>
            </w:r>
          </w:p>
          <w:p w14:paraId="77BCDBDC">
            <w:pPr>
              <w:adjustRightInd w:val="0"/>
              <w:snapToGrid w:val="0"/>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根据《建设项目环境影响评价报告表编制技术指南</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污染影响类</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 xml:space="preserve">  </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试行</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w:t>
            </w:r>
          </w:p>
          <w:p w14:paraId="4A4758A7">
            <w:pPr>
              <w:adjustRightInd w:val="0"/>
              <w:snapToGrid w:val="0"/>
              <w:spacing w:line="360" w:lineRule="auto"/>
              <w:jc w:val="left"/>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color w:val="auto"/>
                <w:sz w:val="24"/>
                <w:szCs w:val="24"/>
              </w:rPr>
              <w:t>要求，报告表项目原则上不开展地下水、土壤环境质量现状调查。本项目建成后，</w:t>
            </w:r>
            <w:r>
              <w:rPr>
                <w:rFonts w:hint="eastAsia" w:ascii="Times New Roman" w:hAnsi="Times New Roman" w:eastAsia="宋体" w:cs="Times New Roman"/>
                <w:color w:val="auto"/>
                <w:sz w:val="24"/>
                <w:szCs w:val="24"/>
                <w:lang w:eastAsia="zh-CN"/>
              </w:rPr>
              <w:t>全厂</w:t>
            </w:r>
            <w:r>
              <w:rPr>
                <w:rFonts w:hint="default" w:ascii="Times New Roman" w:hAnsi="Times New Roman" w:eastAsia="宋体" w:cs="Times New Roman"/>
                <w:color w:val="auto"/>
                <w:sz w:val="24"/>
                <w:szCs w:val="24"/>
              </w:rPr>
              <w:t>将按照有关规范进行防腐防渗设计。因此本项目不存在地下水、土壤污染途径，无需开展地下水、土壤环境质量现状评价。</w:t>
            </w:r>
          </w:p>
        </w:tc>
      </w:tr>
      <w:tr w14:paraId="2E16DE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528" w:type="dxa"/>
            <w:tcBorders>
              <w:tl2br w:val="nil"/>
              <w:tr2bl w:val="nil"/>
            </w:tcBorders>
            <w:noWrap w:val="0"/>
            <w:vAlign w:val="center"/>
          </w:tcPr>
          <w:p w14:paraId="5422823E">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环境</w:t>
            </w:r>
          </w:p>
          <w:p w14:paraId="44ABF9D6">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保护</w:t>
            </w:r>
          </w:p>
          <w:p w14:paraId="6D4151F3">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目标</w:t>
            </w:r>
          </w:p>
        </w:tc>
        <w:tc>
          <w:tcPr>
            <w:tcW w:w="8462" w:type="dxa"/>
            <w:tcBorders>
              <w:tl2br w:val="nil"/>
              <w:tr2bl w:val="nil"/>
            </w:tcBorders>
            <w:noWrap w:val="0"/>
            <w:vAlign w:val="center"/>
          </w:tcPr>
          <w:p w14:paraId="4BD69579">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themeColor="text1"/>
                <w:kern w:val="0"/>
                <w:sz w:val="24"/>
                <w:szCs w:val="24"/>
                <w:lang w:val="en-US" w:eastAsia="zh-CN"/>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1.</w:t>
            </w:r>
            <w:r>
              <w:rPr>
                <w:rFonts w:hint="default" w:ascii="Times New Roman" w:hAnsi="Times New Roman" w:eastAsia="宋体" w:cs="Times New Roman"/>
                <w:b/>
                <w:bCs/>
                <w:color w:val="000000" w:themeColor="text1"/>
                <w:kern w:val="0"/>
                <w:sz w:val="24"/>
                <w:szCs w:val="24"/>
                <w:lang w:val="en-US" w:eastAsia="zh-CN"/>
                <w14:textFill>
                  <w14:solidFill>
                    <w14:schemeClr w14:val="tx1"/>
                  </w14:solidFill>
                </w14:textFill>
              </w:rPr>
              <w:t>大气环境</w:t>
            </w:r>
          </w:p>
          <w:p w14:paraId="77AAE934">
            <w:pPr>
              <w:keepNext w:val="0"/>
              <w:keepLines w:val="0"/>
              <w:pageBreakBefore w:val="0"/>
              <w:widowControl w:val="0"/>
              <w:kinsoku/>
              <w:wordWrap/>
              <w:overflowPunct/>
              <w:topLinePunct w:val="0"/>
              <w:autoSpaceDE/>
              <w:autoSpaceDN/>
              <w:bidi w:val="0"/>
              <w:adjustRightInd w:val="0"/>
              <w:snapToGrid w:val="0"/>
              <w:spacing w:line="360" w:lineRule="auto"/>
              <w:ind w:firstLine="2409" w:firstLineChars="1000"/>
              <w:jc w:val="both"/>
              <w:textAlignment w:val="auto"/>
              <w:rPr>
                <w:rFonts w:hint="default" w:ascii="Times New Roman" w:hAnsi="Times New Roman" w:cs="Times New Roman"/>
                <w:b/>
                <w:bCs/>
                <w:snapToGrid/>
                <w:spacing w:val="0"/>
                <w:kern w:val="0"/>
                <w:position w:val="0"/>
                <w:sz w:val="24"/>
                <w:szCs w:val="24"/>
                <w:lang w:val="en-US" w:eastAsia="zh-CN"/>
              </w:rPr>
            </w:pPr>
            <w:r>
              <w:rPr>
                <w:rFonts w:hint="default" w:ascii="Times New Roman" w:hAnsi="Times New Roman" w:cs="Times New Roman"/>
                <w:b/>
                <w:bCs/>
                <w:snapToGrid/>
                <w:spacing w:val="0"/>
                <w:kern w:val="0"/>
                <w:position w:val="0"/>
                <w:sz w:val="24"/>
                <w:szCs w:val="24"/>
                <w:lang w:val="en-US" w:eastAsia="zh-CN"/>
              </w:rPr>
              <w:t>表3.</w:t>
            </w:r>
            <w:r>
              <w:rPr>
                <w:rFonts w:hint="eastAsia" w:cs="Times New Roman"/>
                <w:b/>
                <w:bCs/>
                <w:snapToGrid/>
                <w:spacing w:val="0"/>
                <w:kern w:val="0"/>
                <w:position w:val="0"/>
                <w:sz w:val="24"/>
                <w:szCs w:val="24"/>
                <w:lang w:val="en-US" w:eastAsia="zh-CN"/>
              </w:rPr>
              <w:t>4</w:t>
            </w:r>
            <w:r>
              <w:rPr>
                <w:rFonts w:hint="default" w:ascii="Times New Roman" w:hAnsi="Times New Roman" w:cs="Times New Roman"/>
                <w:b/>
                <w:bCs/>
                <w:snapToGrid/>
                <w:spacing w:val="0"/>
                <w:kern w:val="0"/>
                <w:position w:val="0"/>
                <w:sz w:val="24"/>
                <w:szCs w:val="24"/>
                <w:lang w:val="en-US" w:eastAsia="zh-CN"/>
              </w:rPr>
              <w:t xml:space="preserve"> </w:t>
            </w:r>
            <w:r>
              <w:rPr>
                <w:rFonts w:hint="eastAsia" w:ascii="Times New Roman" w:hAnsi="Times New Roman" w:cs="Times New Roman"/>
                <w:b/>
                <w:bCs/>
                <w:snapToGrid/>
                <w:spacing w:val="0"/>
                <w:kern w:val="0"/>
                <w:position w:val="0"/>
                <w:sz w:val="24"/>
                <w:szCs w:val="24"/>
                <w:lang w:val="en-US" w:eastAsia="zh-CN"/>
              </w:rPr>
              <w:t xml:space="preserve"> </w:t>
            </w:r>
            <w:r>
              <w:rPr>
                <w:rFonts w:hint="default" w:ascii="Times New Roman" w:hAnsi="Times New Roman" w:cs="Times New Roman"/>
                <w:b/>
                <w:bCs/>
                <w:snapToGrid/>
                <w:spacing w:val="0"/>
                <w:kern w:val="0"/>
                <w:position w:val="0"/>
                <w:sz w:val="24"/>
                <w:szCs w:val="24"/>
                <w:lang w:val="en-US" w:eastAsia="zh-CN"/>
              </w:rPr>
              <w:t>主要保护目标</w:t>
            </w:r>
            <w:r>
              <w:rPr>
                <w:rFonts w:hint="eastAsia" w:ascii="Times New Roman" w:hAnsi="Times New Roman" w:cs="Times New Roman"/>
                <w:b/>
                <w:bCs/>
                <w:snapToGrid/>
                <w:spacing w:val="0"/>
                <w:kern w:val="0"/>
                <w:position w:val="0"/>
                <w:sz w:val="24"/>
                <w:szCs w:val="24"/>
                <w:lang w:val="en-US" w:eastAsia="zh-CN"/>
              </w:rPr>
              <w:t>一览表</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8"/>
              <w:gridCol w:w="892"/>
              <w:gridCol w:w="589"/>
              <w:gridCol w:w="645"/>
              <w:gridCol w:w="859"/>
              <w:gridCol w:w="1377"/>
              <w:gridCol w:w="1720"/>
              <w:gridCol w:w="831"/>
              <w:gridCol w:w="897"/>
            </w:tblGrid>
            <w:tr w14:paraId="5A7E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4" w:type="pct"/>
                  <w:vMerge w:val="restart"/>
                  <w:noWrap w:val="0"/>
                  <w:vAlign w:val="center"/>
                </w:tcPr>
                <w:p w14:paraId="42883F43">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序号</w:t>
                  </w:r>
                </w:p>
              </w:tc>
              <w:tc>
                <w:tcPr>
                  <w:tcW w:w="542" w:type="pct"/>
                  <w:vMerge w:val="restart"/>
                  <w:noWrap w:val="0"/>
                  <w:vAlign w:val="center"/>
                </w:tcPr>
                <w:p w14:paraId="29EEEF8C">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名称</w:t>
                  </w:r>
                </w:p>
              </w:tc>
              <w:tc>
                <w:tcPr>
                  <w:tcW w:w="749" w:type="pct"/>
                  <w:gridSpan w:val="2"/>
                  <w:noWrap w:val="0"/>
                  <w:vAlign w:val="center"/>
                </w:tcPr>
                <w:p w14:paraId="344B0477">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坐标/m</w:t>
                  </w:r>
                </w:p>
              </w:tc>
              <w:tc>
                <w:tcPr>
                  <w:tcW w:w="521" w:type="pct"/>
                  <w:vMerge w:val="restart"/>
                  <w:noWrap w:val="0"/>
                  <w:vAlign w:val="center"/>
                </w:tcPr>
                <w:p w14:paraId="091B428E">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保护对象</w:t>
                  </w:r>
                </w:p>
              </w:tc>
              <w:tc>
                <w:tcPr>
                  <w:tcW w:w="836" w:type="pct"/>
                  <w:vMerge w:val="restart"/>
                  <w:noWrap w:val="0"/>
                  <w:vAlign w:val="center"/>
                </w:tcPr>
                <w:p w14:paraId="2E8D449E">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保护内容</w:t>
                  </w:r>
                </w:p>
              </w:tc>
              <w:tc>
                <w:tcPr>
                  <w:tcW w:w="1045" w:type="pct"/>
                  <w:vMerge w:val="restart"/>
                  <w:noWrap w:val="0"/>
                  <w:vAlign w:val="center"/>
                </w:tcPr>
                <w:p w14:paraId="666A53EE">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环境功能区</w:t>
                  </w:r>
                </w:p>
              </w:tc>
              <w:tc>
                <w:tcPr>
                  <w:tcW w:w="504" w:type="pct"/>
                  <w:vMerge w:val="restart"/>
                  <w:noWrap w:val="0"/>
                  <w:vAlign w:val="center"/>
                </w:tcPr>
                <w:p w14:paraId="081B6038">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相对厂址方位</w:t>
                  </w:r>
                </w:p>
              </w:tc>
              <w:tc>
                <w:tcPr>
                  <w:tcW w:w="545" w:type="pct"/>
                  <w:vMerge w:val="restart"/>
                  <w:noWrap w:val="0"/>
                  <w:vAlign w:val="center"/>
                </w:tcPr>
                <w:p w14:paraId="28ECB3ED">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相对厂界距离/m</w:t>
                  </w:r>
                </w:p>
              </w:tc>
            </w:tr>
            <w:tr w14:paraId="2EB9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4" w:type="pct"/>
                  <w:vMerge w:val="continue"/>
                  <w:noWrap w:val="0"/>
                  <w:vAlign w:val="center"/>
                </w:tcPr>
                <w:p w14:paraId="40F3F13F">
                  <w:pPr>
                    <w:adjustRightInd w:val="0"/>
                    <w:snapToGrid w:val="0"/>
                    <w:jc w:val="center"/>
                    <w:rPr>
                      <w:rFonts w:hint="default" w:ascii="Times New Roman" w:hAnsi="Times New Roman" w:eastAsia="宋体" w:cs="Times New Roman"/>
                      <w:color w:val="auto"/>
                      <w:kern w:val="0"/>
                      <w:sz w:val="21"/>
                      <w:szCs w:val="21"/>
                    </w:rPr>
                  </w:pPr>
                </w:p>
              </w:tc>
              <w:tc>
                <w:tcPr>
                  <w:tcW w:w="542" w:type="pct"/>
                  <w:vMerge w:val="continue"/>
                  <w:noWrap w:val="0"/>
                  <w:vAlign w:val="center"/>
                </w:tcPr>
                <w:p w14:paraId="4D8ABAC9">
                  <w:pPr>
                    <w:adjustRightInd w:val="0"/>
                    <w:snapToGrid w:val="0"/>
                    <w:jc w:val="center"/>
                    <w:rPr>
                      <w:rFonts w:hint="default" w:ascii="Times New Roman" w:hAnsi="Times New Roman" w:eastAsia="宋体" w:cs="Times New Roman"/>
                      <w:color w:val="auto"/>
                      <w:kern w:val="0"/>
                      <w:sz w:val="21"/>
                      <w:szCs w:val="21"/>
                    </w:rPr>
                  </w:pPr>
                </w:p>
              </w:tc>
              <w:tc>
                <w:tcPr>
                  <w:tcW w:w="357" w:type="pct"/>
                  <w:noWrap w:val="0"/>
                  <w:vAlign w:val="center"/>
                </w:tcPr>
                <w:p w14:paraId="0991A892">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X</w:t>
                  </w:r>
                </w:p>
              </w:tc>
              <w:tc>
                <w:tcPr>
                  <w:tcW w:w="391" w:type="pct"/>
                  <w:noWrap w:val="0"/>
                  <w:vAlign w:val="center"/>
                </w:tcPr>
                <w:p w14:paraId="3D85256F">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Y</w:t>
                  </w:r>
                </w:p>
              </w:tc>
              <w:tc>
                <w:tcPr>
                  <w:tcW w:w="521" w:type="pct"/>
                  <w:vMerge w:val="continue"/>
                  <w:noWrap w:val="0"/>
                  <w:vAlign w:val="center"/>
                </w:tcPr>
                <w:p w14:paraId="47997FBE">
                  <w:pPr>
                    <w:adjustRightInd w:val="0"/>
                    <w:snapToGrid w:val="0"/>
                    <w:jc w:val="center"/>
                    <w:rPr>
                      <w:rFonts w:hint="default" w:ascii="Times New Roman" w:hAnsi="Times New Roman" w:eastAsia="宋体" w:cs="Times New Roman"/>
                      <w:color w:val="FF0000"/>
                      <w:kern w:val="0"/>
                      <w:sz w:val="21"/>
                      <w:szCs w:val="21"/>
                    </w:rPr>
                  </w:pPr>
                </w:p>
              </w:tc>
              <w:tc>
                <w:tcPr>
                  <w:tcW w:w="836" w:type="pct"/>
                  <w:vMerge w:val="continue"/>
                  <w:noWrap w:val="0"/>
                  <w:vAlign w:val="center"/>
                </w:tcPr>
                <w:p w14:paraId="7A11EBE3">
                  <w:pPr>
                    <w:adjustRightInd w:val="0"/>
                    <w:snapToGrid w:val="0"/>
                    <w:jc w:val="center"/>
                    <w:rPr>
                      <w:rFonts w:hint="default" w:ascii="Times New Roman" w:hAnsi="Times New Roman" w:eastAsia="宋体" w:cs="Times New Roman"/>
                      <w:color w:val="FF0000"/>
                      <w:kern w:val="0"/>
                      <w:sz w:val="21"/>
                      <w:szCs w:val="21"/>
                    </w:rPr>
                  </w:pPr>
                </w:p>
              </w:tc>
              <w:tc>
                <w:tcPr>
                  <w:tcW w:w="1045" w:type="pct"/>
                  <w:vMerge w:val="continue"/>
                  <w:noWrap w:val="0"/>
                  <w:vAlign w:val="center"/>
                </w:tcPr>
                <w:p w14:paraId="41896D96">
                  <w:pPr>
                    <w:adjustRightInd w:val="0"/>
                    <w:snapToGrid w:val="0"/>
                    <w:jc w:val="center"/>
                    <w:rPr>
                      <w:rFonts w:hint="default" w:ascii="Times New Roman" w:hAnsi="Times New Roman" w:eastAsia="宋体" w:cs="Times New Roman"/>
                      <w:color w:val="FF0000"/>
                      <w:kern w:val="0"/>
                      <w:sz w:val="21"/>
                      <w:szCs w:val="21"/>
                    </w:rPr>
                  </w:pPr>
                </w:p>
              </w:tc>
              <w:tc>
                <w:tcPr>
                  <w:tcW w:w="504" w:type="pct"/>
                  <w:vMerge w:val="continue"/>
                  <w:noWrap w:val="0"/>
                  <w:vAlign w:val="center"/>
                </w:tcPr>
                <w:p w14:paraId="23645F3F">
                  <w:pPr>
                    <w:adjustRightInd w:val="0"/>
                    <w:snapToGrid w:val="0"/>
                    <w:jc w:val="center"/>
                    <w:rPr>
                      <w:rFonts w:hint="default" w:ascii="Times New Roman" w:hAnsi="Times New Roman" w:eastAsia="宋体" w:cs="Times New Roman"/>
                      <w:color w:val="FF0000"/>
                      <w:kern w:val="0"/>
                      <w:sz w:val="21"/>
                      <w:szCs w:val="21"/>
                    </w:rPr>
                  </w:pPr>
                </w:p>
              </w:tc>
              <w:tc>
                <w:tcPr>
                  <w:tcW w:w="545" w:type="pct"/>
                  <w:vMerge w:val="continue"/>
                  <w:noWrap w:val="0"/>
                  <w:vAlign w:val="center"/>
                </w:tcPr>
                <w:p w14:paraId="7546C34F">
                  <w:pPr>
                    <w:adjustRightInd w:val="0"/>
                    <w:snapToGrid w:val="0"/>
                    <w:jc w:val="center"/>
                    <w:rPr>
                      <w:rFonts w:hint="default" w:ascii="Times New Roman" w:hAnsi="Times New Roman" w:eastAsia="宋体" w:cs="Times New Roman"/>
                      <w:color w:val="FF0000"/>
                      <w:kern w:val="0"/>
                      <w:sz w:val="21"/>
                      <w:szCs w:val="21"/>
                    </w:rPr>
                  </w:pPr>
                </w:p>
              </w:tc>
            </w:tr>
            <w:tr w14:paraId="2A69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4" w:type="pct"/>
                  <w:noWrap w:val="0"/>
                  <w:vAlign w:val="center"/>
                </w:tcPr>
                <w:p w14:paraId="1822142F">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1</w:t>
                  </w:r>
                </w:p>
              </w:tc>
              <w:tc>
                <w:tcPr>
                  <w:tcW w:w="542" w:type="pct"/>
                  <w:noWrap w:val="0"/>
                  <w:vAlign w:val="center"/>
                </w:tcPr>
                <w:p w14:paraId="684ADA52">
                  <w:pPr>
                    <w:adjustRightInd w:val="0"/>
                    <w:snapToGrid w:val="0"/>
                    <w:jc w:val="center"/>
                    <w:rPr>
                      <w:rFonts w:hint="default" w:ascii="Times New Roman" w:hAnsi="Times New Roman" w:eastAsia="宋体" w:cs="Times New Roman"/>
                      <w:color w:val="auto"/>
                      <w:kern w:val="0"/>
                      <w:sz w:val="21"/>
                      <w:szCs w:val="21"/>
                    </w:rPr>
                  </w:pPr>
                  <w:r>
                    <w:rPr>
                      <w:rFonts w:hint="eastAsia" w:cs="Times New Roman"/>
                      <w:color w:val="auto"/>
                      <w:kern w:val="0"/>
                      <w:sz w:val="21"/>
                      <w:szCs w:val="21"/>
                      <w:lang w:val="en-US" w:eastAsia="zh-CN"/>
                    </w:rPr>
                    <w:t>小李家</w:t>
                  </w:r>
                </w:p>
              </w:tc>
              <w:tc>
                <w:tcPr>
                  <w:tcW w:w="357" w:type="pct"/>
                  <w:noWrap w:val="0"/>
                  <w:vAlign w:val="center"/>
                </w:tcPr>
                <w:p w14:paraId="52FB8A55">
                  <w:pPr>
                    <w:adjustRightInd w:val="0"/>
                    <w:snapToGrid w:val="0"/>
                    <w:jc w:val="center"/>
                    <w:rPr>
                      <w:rFonts w:hint="default" w:ascii="Times New Roman" w:hAnsi="Times New Roman" w:eastAsia="宋体" w:cs="Times New Roman"/>
                      <w:color w:val="auto"/>
                      <w:kern w:val="0"/>
                      <w:sz w:val="21"/>
                      <w:szCs w:val="21"/>
                      <w:lang w:val="en-US" w:eastAsia="zh-CN"/>
                    </w:rPr>
                  </w:pPr>
                  <w:r>
                    <w:rPr>
                      <w:rFonts w:hint="eastAsia" w:cs="Times New Roman"/>
                      <w:color w:val="auto"/>
                      <w:kern w:val="0"/>
                      <w:sz w:val="21"/>
                      <w:szCs w:val="21"/>
                      <w:lang w:val="en-US" w:eastAsia="zh-CN"/>
                    </w:rPr>
                    <w:t>-442</w:t>
                  </w:r>
                </w:p>
              </w:tc>
              <w:tc>
                <w:tcPr>
                  <w:tcW w:w="391" w:type="pct"/>
                  <w:noWrap w:val="0"/>
                  <w:vAlign w:val="center"/>
                </w:tcPr>
                <w:p w14:paraId="38526AF2">
                  <w:pPr>
                    <w:adjustRightInd w:val="0"/>
                    <w:snapToGrid w:val="0"/>
                    <w:jc w:val="center"/>
                    <w:rPr>
                      <w:rFonts w:hint="default" w:ascii="Times New Roman" w:hAnsi="Times New Roman" w:eastAsia="宋体" w:cs="Times New Roman"/>
                      <w:color w:val="auto"/>
                      <w:kern w:val="0"/>
                      <w:sz w:val="21"/>
                      <w:szCs w:val="21"/>
                      <w:lang w:val="en-US" w:eastAsia="zh-CN"/>
                    </w:rPr>
                  </w:pPr>
                  <w:r>
                    <w:rPr>
                      <w:rFonts w:hint="eastAsia" w:cs="Times New Roman"/>
                      <w:color w:val="auto"/>
                      <w:kern w:val="0"/>
                      <w:sz w:val="21"/>
                      <w:szCs w:val="21"/>
                      <w:lang w:val="en-US" w:eastAsia="zh-CN"/>
                    </w:rPr>
                    <w:t>423</w:t>
                  </w:r>
                </w:p>
              </w:tc>
              <w:tc>
                <w:tcPr>
                  <w:tcW w:w="521" w:type="pct"/>
                  <w:noWrap w:val="0"/>
                  <w:vAlign w:val="center"/>
                </w:tcPr>
                <w:p w14:paraId="616A56B3">
                  <w:pPr>
                    <w:adjustRightInd w:val="0"/>
                    <w:snapToGrid w:val="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居民区</w:t>
                  </w:r>
                </w:p>
              </w:tc>
              <w:tc>
                <w:tcPr>
                  <w:tcW w:w="836" w:type="pct"/>
                  <w:noWrap w:val="0"/>
                  <w:vAlign w:val="center"/>
                </w:tcPr>
                <w:p w14:paraId="68903F0F">
                  <w:pPr>
                    <w:adjustRightInd w:val="0"/>
                    <w:snapToGrid w:val="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约</w:t>
                  </w:r>
                  <w:r>
                    <w:rPr>
                      <w:rFonts w:hint="eastAsia" w:cs="Times New Roman"/>
                      <w:b w:val="0"/>
                      <w:bCs/>
                      <w:color w:val="auto"/>
                      <w:sz w:val="21"/>
                      <w:szCs w:val="21"/>
                      <w:vertAlign w:val="baseline"/>
                      <w:lang w:val="en-US" w:eastAsia="zh-CN"/>
                    </w:rPr>
                    <w:t>10</w:t>
                  </w:r>
                  <w:r>
                    <w:rPr>
                      <w:rFonts w:hint="default" w:ascii="Times New Roman" w:hAnsi="Times New Roman" w:eastAsia="宋体" w:cs="Times New Roman"/>
                      <w:b w:val="0"/>
                      <w:bCs/>
                      <w:color w:val="auto"/>
                      <w:sz w:val="21"/>
                      <w:szCs w:val="21"/>
                      <w:vertAlign w:val="baseline"/>
                      <w:lang w:val="en-US" w:eastAsia="zh-CN"/>
                    </w:rPr>
                    <w:t>户/</w:t>
                  </w:r>
                  <w:r>
                    <w:rPr>
                      <w:rFonts w:hint="eastAsia" w:cs="Times New Roman"/>
                      <w:b w:val="0"/>
                      <w:bCs/>
                      <w:color w:val="auto"/>
                      <w:sz w:val="21"/>
                      <w:szCs w:val="21"/>
                      <w:vertAlign w:val="baseline"/>
                      <w:lang w:val="en-US" w:eastAsia="zh-CN"/>
                    </w:rPr>
                    <w:t>43</w:t>
                  </w:r>
                  <w:r>
                    <w:rPr>
                      <w:rFonts w:hint="default" w:ascii="Times New Roman" w:hAnsi="Times New Roman" w:eastAsia="宋体" w:cs="Times New Roman"/>
                      <w:b w:val="0"/>
                      <w:bCs/>
                      <w:color w:val="auto"/>
                      <w:sz w:val="21"/>
                      <w:szCs w:val="21"/>
                      <w:vertAlign w:val="baseline"/>
                      <w:lang w:val="en-US" w:eastAsia="zh-CN"/>
                    </w:rPr>
                    <w:t>人</w:t>
                  </w:r>
                </w:p>
              </w:tc>
              <w:tc>
                <w:tcPr>
                  <w:tcW w:w="1045" w:type="pct"/>
                  <w:vMerge w:val="restart"/>
                  <w:noWrap w:val="0"/>
                  <w:vAlign w:val="center"/>
                </w:tcPr>
                <w:p w14:paraId="319062AD">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（GB3095-2012）及其修改单中二级标准</w:t>
                  </w:r>
                </w:p>
              </w:tc>
              <w:tc>
                <w:tcPr>
                  <w:tcW w:w="504" w:type="pct"/>
                  <w:noWrap w:val="0"/>
                  <w:vAlign w:val="center"/>
                </w:tcPr>
                <w:p w14:paraId="60594F73">
                  <w:pPr>
                    <w:adjustRightInd w:val="0"/>
                    <w:snapToGrid w:val="0"/>
                    <w:jc w:val="center"/>
                    <w:rPr>
                      <w:rFonts w:hint="default" w:ascii="Times New Roman" w:hAnsi="Times New Roman" w:eastAsia="宋体" w:cs="Times New Roman"/>
                      <w:color w:val="auto"/>
                      <w:kern w:val="0"/>
                      <w:sz w:val="21"/>
                      <w:szCs w:val="21"/>
                      <w:lang w:val="en-US" w:eastAsia="zh-CN"/>
                    </w:rPr>
                  </w:pPr>
                  <w:r>
                    <w:rPr>
                      <w:rFonts w:hint="eastAsia" w:cs="Times New Roman"/>
                      <w:color w:val="auto"/>
                      <w:kern w:val="0"/>
                      <w:sz w:val="21"/>
                      <w:szCs w:val="21"/>
                      <w:lang w:val="en-US" w:eastAsia="zh-CN"/>
                    </w:rPr>
                    <w:t>西北</w:t>
                  </w:r>
                </w:p>
              </w:tc>
              <w:tc>
                <w:tcPr>
                  <w:tcW w:w="545" w:type="pct"/>
                  <w:noWrap w:val="0"/>
                  <w:vAlign w:val="center"/>
                </w:tcPr>
                <w:p w14:paraId="582370F8">
                  <w:pPr>
                    <w:adjustRightInd w:val="0"/>
                    <w:snapToGrid w:val="0"/>
                    <w:jc w:val="center"/>
                    <w:rPr>
                      <w:rFonts w:hint="default" w:ascii="Times New Roman" w:hAnsi="Times New Roman" w:eastAsia="宋体" w:cs="Times New Roman"/>
                      <w:color w:val="auto"/>
                      <w:kern w:val="0"/>
                      <w:sz w:val="21"/>
                      <w:szCs w:val="21"/>
                      <w:lang w:val="en-US" w:eastAsia="zh-CN"/>
                    </w:rPr>
                  </w:pPr>
                  <w:r>
                    <w:rPr>
                      <w:rFonts w:hint="eastAsia" w:cs="Times New Roman"/>
                      <w:color w:val="auto"/>
                      <w:kern w:val="0"/>
                      <w:sz w:val="21"/>
                      <w:szCs w:val="21"/>
                      <w:lang w:val="en-US" w:eastAsia="zh-CN"/>
                    </w:rPr>
                    <w:t>587</w:t>
                  </w:r>
                </w:p>
              </w:tc>
            </w:tr>
            <w:tr w14:paraId="1A80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4" w:type="pct"/>
                  <w:noWrap w:val="0"/>
                  <w:vAlign w:val="center"/>
                </w:tcPr>
                <w:p w14:paraId="42403F75">
                  <w:pPr>
                    <w:adjustRightInd w:val="0"/>
                    <w:snapToGrid w:val="0"/>
                    <w:jc w:val="center"/>
                    <w:rPr>
                      <w:rFonts w:hint="eastAsia" w:ascii="Times New Roman" w:hAnsi="Times New Roman" w:eastAsia="宋体" w:cs="Times New Roman"/>
                      <w:color w:val="auto"/>
                      <w:kern w:val="0"/>
                      <w:sz w:val="21"/>
                      <w:szCs w:val="21"/>
                      <w:lang w:val="en-US" w:eastAsia="zh-CN"/>
                    </w:rPr>
                  </w:pPr>
                  <w:r>
                    <w:rPr>
                      <w:rFonts w:hint="eastAsia" w:cs="Times New Roman"/>
                      <w:color w:val="auto"/>
                      <w:kern w:val="0"/>
                      <w:sz w:val="21"/>
                      <w:szCs w:val="21"/>
                      <w:lang w:val="en-US" w:eastAsia="zh-CN"/>
                    </w:rPr>
                    <w:t>2</w:t>
                  </w:r>
                </w:p>
              </w:tc>
              <w:tc>
                <w:tcPr>
                  <w:tcW w:w="542" w:type="pct"/>
                  <w:noWrap w:val="0"/>
                  <w:vAlign w:val="center"/>
                </w:tcPr>
                <w:p w14:paraId="1BDE19A8">
                  <w:pPr>
                    <w:adjustRightInd w:val="0"/>
                    <w:snapToGrid w:val="0"/>
                    <w:jc w:val="center"/>
                    <w:rPr>
                      <w:rFonts w:hint="eastAsia" w:cs="Times New Roman"/>
                      <w:color w:val="auto"/>
                      <w:kern w:val="0"/>
                      <w:sz w:val="21"/>
                      <w:szCs w:val="21"/>
                      <w:lang w:val="en-US" w:eastAsia="zh-CN"/>
                    </w:rPr>
                  </w:pPr>
                  <w:r>
                    <w:rPr>
                      <w:rFonts w:hint="eastAsia" w:cs="Times New Roman"/>
                      <w:color w:val="auto"/>
                      <w:kern w:val="0"/>
                      <w:sz w:val="21"/>
                      <w:szCs w:val="21"/>
                      <w:lang w:val="en-US" w:eastAsia="zh-CN"/>
                    </w:rPr>
                    <w:t>八里曾家</w:t>
                  </w:r>
                </w:p>
              </w:tc>
              <w:tc>
                <w:tcPr>
                  <w:tcW w:w="589" w:type="dxa"/>
                  <w:noWrap w:val="0"/>
                  <w:vAlign w:val="center"/>
                </w:tcPr>
                <w:p w14:paraId="2B32655C">
                  <w:pPr>
                    <w:adjustRightInd w:val="0"/>
                    <w:snapToGrid w:val="0"/>
                    <w:jc w:val="center"/>
                    <w:rPr>
                      <w:rFonts w:hint="default" w:cs="Times New Roman"/>
                      <w:color w:val="auto"/>
                      <w:kern w:val="0"/>
                      <w:sz w:val="21"/>
                      <w:szCs w:val="21"/>
                      <w:lang w:val="en-US" w:eastAsia="zh-CN"/>
                    </w:rPr>
                  </w:pPr>
                  <w:r>
                    <w:rPr>
                      <w:rFonts w:hint="eastAsia"/>
                      <w:color w:val="auto"/>
                      <w:sz w:val="21"/>
                      <w:szCs w:val="21"/>
                      <w:lang w:val="en-US" w:eastAsia="zh-CN"/>
                    </w:rPr>
                    <w:t>-22</w:t>
                  </w:r>
                </w:p>
              </w:tc>
              <w:tc>
                <w:tcPr>
                  <w:tcW w:w="645" w:type="dxa"/>
                  <w:noWrap w:val="0"/>
                  <w:vAlign w:val="center"/>
                </w:tcPr>
                <w:p w14:paraId="45BE952F">
                  <w:pPr>
                    <w:adjustRightInd w:val="0"/>
                    <w:snapToGrid w:val="0"/>
                    <w:jc w:val="center"/>
                    <w:rPr>
                      <w:rFonts w:hint="default" w:cs="Times New Roman"/>
                      <w:color w:val="auto"/>
                      <w:kern w:val="0"/>
                      <w:sz w:val="21"/>
                      <w:szCs w:val="21"/>
                      <w:lang w:val="en-US" w:eastAsia="zh-CN"/>
                    </w:rPr>
                  </w:pPr>
                  <w:r>
                    <w:rPr>
                      <w:rFonts w:hint="eastAsia"/>
                      <w:color w:val="auto"/>
                      <w:sz w:val="21"/>
                      <w:szCs w:val="21"/>
                      <w:lang w:val="en-US" w:eastAsia="zh-CN"/>
                    </w:rPr>
                    <w:t>26</w:t>
                  </w:r>
                </w:p>
              </w:tc>
              <w:tc>
                <w:tcPr>
                  <w:tcW w:w="521" w:type="pct"/>
                  <w:noWrap w:val="0"/>
                  <w:vAlign w:val="center"/>
                </w:tcPr>
                <w:p w14:paraId="3858D294">
                  <w:pPr>
                    <w:adjustRightInd w:val="0"/>
                    <w:snapToGrid w:val="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居民区</w:t>
                  </w:r>
                </w:p>
              </w:tc>
              <w:tc>
                <w:tcPr>
                  <w:tcW w:w="836" w:type="pct"/>
                  <w:noWrap w:val="0"/>
                  <w:vAlign w:val="center"/>
                </w:tcPr>
                <w:p w14:paraId="568A6EBD">
                  <w:pPr>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约</w:t>
                  </w:r>
                  <w:r>
                    <w:rPr>
                      <w:rFonts w:hint="eastAsia" w:cs="Times New Roman"/>
                      <w:b w:val="0"/>
                      <w:bCs/>
                      <w:color w:val="auto"/>
                      <w:sz w:val="21"/>
                      <w:szCs w:val="21"/>
                      <w:vertAlign w:val="baseline"/>
                      <w:lang w:val="en-US" w:eastAsia="zh-CN"/>
                    </w:rPr>
                    <w:t>70</w:t>
                  </w:r>
                  <w:r>
                    <w:rPr>
                      <w:rFonts w:hint="default" w:ascii="Times New Roman" w:hAnsi="Times New Roman" w:eastAsia="宋体" w:cs="Times New Roman"/>
                      <w:b w:val="0"/>
                      <w:bCs/>
                      <w:color w:val="auto"/>
                      <w:sz w:val="21"/>
                      <w:szCs w:val="21"/>
                      <w:vertAlign w:val="baseline"/>
                      <w:lang w:val="en-US" w:eastAsia="zh-CN"/>
                    </w:rPr>
                    <w:t>户/</w:t>
                  </w:r>
                  <w:r>
                    <w:rPr>
                      <w:rFonts w:hint="eastAsia" w:cs="Times New Roman"/>
                      <w:b w:val="0"/>
                      <w:bCs/>
                      <w:color w:val="auto"/>
                      <w:sz w:val="21"/>
                      <w:szCs w:val="21"/>
                      <w:vertAlign w:val="baseline"/>
                      <w:lang w:val="en-US" w:eastAsia="zh-CN"/>
                    </w:rPr>
                    <w:t>303</w:t>
                  </w:r>
                  <w:r>
                    <w:rPr>
                      <w:rFonts w:hint="default" w:ascii="Times New Roman" w:hAnsi="Times New Roman" w:eastAsia="宋体" w:cs="Times New Roman"/>
                      <w:b w:val="0"/>
                      <w:bCs/>
                      <w:color w:val="auto"/>
                      <w:sz w:val="21"/>
                      <w:szCs w:val="21"/>
                      <w:vertAlign w:val="baseline"/>
                      <w:lang w:val="en-US" w:eastAsia="zh-CN"/>
                    </w:rPr>
                    <w:t>人</w:t>
                  </w:r>
                </w:p>
              </w:tc>
              <w:tc>
                <w:tcPr>
                  <w:tcW w:w="1045" w:type="pct"/>
                  <w:vMerge w:val="continue"/>
                  <w:noWrap w:val="0"/>
                  <w:vAlign w:val="center"/>
                </w:tcPr>
                <w:p w14:paraId="5FB5642D">
                  <w:pPr>
                    <w:adjustRightInd w:val="0"/>
                    <w:snapToGrid w:val="0"/>
                    <w:jc w:val="center"/>
                    <w:rPr>
                      <w:rFonts w:hint="default" w:ascii="Times New Roman" w:hAnsi="Times New Roman" w:eastAsia="宋体" w:cs="Times New Roman"/>
                      <w:color w:val="auto"/>
                      <w:kern w:val="0"/>
                      <w:sz w:val="21"/>
                      <w:szCs w:val="21"/>
                    </w:rPr>
                  </w:pPr>
                </w:p>
              </w:tc>
              <w:tc>
                <w:tcPr>
                  <w:tcW w:w="504" w:type="pct"/>
                  <w:noWrap w:val="0"/>
                  <w:vAlign w:val="center"/>
                </w:tcPr>
                <w:p w14:paraId="0C29B5BA">
                  <w:pPr>
                    <w:adjustRightInd w:val="0"/>
                    <w:snapToGrid w:val="0"/>
                    <w:jc w:val="center"/>
                    <w:rPr>
                      <w:rFonts w:hint="eastAsia" w:cs="Times New Roman"/>
                      <w:color w:val="auto"/>
                      <w:kern w:val="0"/>
                      <w:sz w:val="21"/>
                      <w:szCs w:val="21"/>
                      <w:lang w:val="en-US" w:eastAsia="zh-CN"/>
                    </w:rPr>
                  </w:pPr>
                  <w:r>
                    <w:rPr>
                      <w:rFonts w:hint="eastAsia" w:cs="Times New Roman"/>
                      <w:color w:val="auto"/>
                      <w:kern w:val="0"/>
                      <w:sz w:val="21"/>
                      <w:szCs w:val="21"/>
                      <w:lang w:val="en-US" w:eastAsia="zh-CN"/>
                    </w:rPr>
                    <w:t>西北</w:t>
                  </w:r>
                </w:p>
              </w:tc>
              <w:tc>
                <w:tcPr>
                  <w:tcW w:w="545" w:type="pct"/>
                  <w:noWrap w:val="0"/>
                  <w:vAlign w:val="center"/>
                </w:tcPr>
                <w:p w14:paraId="38F5CDD7">
                  <w:pPr>
                    <w:adjustRightInd w:val="0"/>
                    <w:snapToGrid w:val="0"/>
                    <w:jc w:val="center"/>
                    <w:rPr>
                      <w:rFonts w:hint="default" w:cs="Times New Roman"/>
                      <w:color w:val="auto"/>
                      <w:kern w:val="0"/>
                      <w:sz w:val="21"/>
                      <w:szCs w:val="21"/>
                      <w:lang w:val="en-US" w:eastAsia="zh-CN"/>
                    </w:rPr>
                  </w:pPr>
                  <w:r>
                    <w:rPr>
                      <w:rFonts w:hint="eastAsia" w:cs="Times New Roman"/>
                      <w:color w:val="auto"/>
                      <w:kern w:val="0"/>
                      <w:sz w:val="21"/>
                      <w:szCs w:val="21"/>
                      <w:lang w:val="en-US" w:eastAsia="zh-CN"/>
                    </w:rPr>
                    <w:t>8</w:t>
                  </w:r>
                </w:p>
              </w:tc>
            </w:tr>
            <w:tr w14:paraId="5AD8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4" w:type="pct"/>
                  <w:noWrap w:val="0"/>
                  <w:vAlign w:val="center"/>
                </w:tcPr>
                <w:p w14:paraId="75A7ED7A">
                  <w:pPr>
                    <w:adjustRightInd w:val="0"/>
                    <w:snapToGrid w:val="0"/>
                    <w:jc w:val="center"/>
                    <w:rPr>
                      <w:rFonts w:hint="default" w:cs="Times New Roman"/>
                      <w:color w:val="auto"/>
                      <w:kern w:val="0"/>
                      <w:sz w:val="21"/>
                      <w:szCs w:val="21"/>
                      <w:lang w:val="en-US" w:eastAsia="zh-CN"/>
                    </w:rPr>
                  </w:pPr>
                  <w:r>
                    <w:rPr>
                      <w:rFonts w:hint="eastAsia" w:cs="Times New Roman"/>
                      <w:color w:val="auto"/>
                      <w:kern w:val="0"/>
                      <w:sz w:val="21"/>
                      <w:szCs w:val="21"/>
                      <w:lang w:val="en-US" w:eastAsia="zh-CN"/>
                    </w:rPr>
                    <w:t>3</w:t>
                  </w:r>
                </w:p>
              </w:tc>
              <w:tc>
                <w:tcPr>
                  <w:tcW w:w="542" w:type="pct"/>
                  <w:noWrap w:val="0"/>
                  <w:vAlign w:val="center"/>
                </w:tcPr>
                <w:p w14:paraId="23D2734B">
                  <w:pPr>
                    <w:adjustRightInd w:val="0"/>
                    <w:snapToGrid w:val="0"/>
                    <w:jc w:val="center"/>
                    <w:rPr>
                      <w:rFonts w:hint="eastAsia" w:cs="Times New Roman"/>
                      <w:color w:val="auto"/>
                      <w:kern w:val="0"/>
                      <w:sz w:val="21"/>
                      <w:szCs w:val="21"/>
                      <w:lang w:val="en-US" w:eastAsia="zh-CN"/>
                    </w:rPr>
                  </w:pPr>
                  <w:r>
                    <w:rPr>
                      <w:rFonts w:hint="eastAsia" w:cs="Times New Roman"/>
                      <w:color w:val="auto"/>
                      <w:kern w:val="0"/>
                      <w:sz w:val="21"/>
                      <w:szCs w:val="21"/>
                      <w:lang w:val="en-US" w:eastAsia="zh-CN"/>
                    </w:rPr>
                    <w:t>小端家</w:t>
                  </w:r>
                </w:p>
              </w:tc>
              <w:tc>
                <w:tcPr>
                  <w:tcW w:w="357" w:type="pct"/>
                  <w:noWrap w:val="0"/>
                  <w:vAlign w:val="center"/>
                </w:tcPr>
                <w:p w14:paraId="116D2F3C">
                  <w:pPr>
                    <w:adjustRightInd w:val="0"/>
                    <w:snapToGrid w:val="0"/>
                    <w:jc w:val="center"/>
                    <w:rPr>
                      <w:rFonts w:hint="default" w:cs="Times New Roman"/>
                      <w:color w:val="auto"/>
                      <w:kern w:val="0"/>
                      <w:sz w:val="21"/>
                      <w:szCs w:val="21"/>
                      <w:lang w:val="en-US" w:eastAsia="zh-CN"/>
                    </w:rPr>
                  </w:pPr>
                  <w:r>
                    <w:rPr>
                      <w:rFonts w:hint="eastAsia" w:cs="Times New Roman"/>
                      <w:color w:val="auto"/>
                      <w:kern w:val="0"/>
                      <w:sz w:val="21"/>
                      <w:szCs w:val="21"/>
                      <w:lang w:val="en-US" w:eastAsia="zh-CN"/>
                    </w:rPr>
                    <w:t>486</w:t>
                  </w:r>
                </w:p>
              </w:tc>
              <w:tc>
                <w:tcPr>
                  <w:tcW w:w="391" w:type="pct"/>
                  <w:noWrap w:val="0"/>
                  <w:vAlign w:val="center"/>
                </w:tcPr>
                <w:p w14:paraId="3B96CE81">
                  <w:pPr>
                    <w:adjustRightInd w:val="0"/>
                    <w:snapToGrid w:val="0"/>
                    <w:jc w:val="center"/>
                    <w:rPr>
                      <w:rFonts w:hint="default" w:cs="Times New Roman"/>
                      <w:color w:val="auto"/>
                      <w:kern w:val="0"/>
                      <w:sz w:val="21"/>
                      <w:szCs w:val="21"/>
                      <w:lang w:val="en-US" w:eastAsia="zh-CN"/>
                    </w:rPr>
                  </w:pPr>
                  <w:r>
                    <w:rPr>
                      <w:rFonts w:hint="eastAsia" w:cs="Times New Roman"/>
                      <w:color w:val="auto"/>
                      <w:kern w:val="0"/>
                      <w:sz w:val="21"/>
                      <w:szCs w:val="21"/>
                      <w:lang w:val="en-US" w:eastAsia="zh-CN"/>
                    </w:rPr>
                    <w:t>-365</w:t>
                  </w:r>
                </w:p>
              </w:tc>
              <w:tc>
                <w:tcPr>
                  <w:tcW w:w="521" w:type="pct"/>
                  <w:noWrap w:val="0"/>
                  <w:vAlign w:val="center"/>
                </w:tcPr>
                <w:p w14:paraId="6D60F451">
                  <w:pPr>
                    <w:adjustRightInd w:val="0"/>
                    <w:snapToGrid w:val="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居民区</w:t>
                  </w:r>
                </w:p>
              </w:tc>
              <w:tc>
                <w:tcPr>
                  <w:tcW w:w="836" w:type="pct"/>
                  <w:noWrap w:val="0"/>
                  <w:vAlign w:val="center"/>
                </w:tcPr>
                <w:p w14:paraId="233260A1">
                  <w:pPr>
                    <w:adjustRightInd w:val="0"/>
                    <w:snapToGrid w:val="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约</w:t>
                  </w:r>
                  <w:r>
                    <w:rPr>
                      <w:rFonts w:hint="eastAsia" w:cs="Times New Roman"/>
                      <w:b w:val="0"/>
                      <w:bCs/>
                      <w:color w:val="auto"/>
                      <w:sz w:val="21"/>
                      <w:szCs w:val="21"/>
                      <w:vertAlign w:val="baseline"/>
                      <w:lang w:val="en-US" w:eastAsia="zh-CN"/>
                    </w:rPr>
                    <w:t>8</w:t>
                  </w:r>
                  <w:r>
                    <w:rPr>
                      <w:rFonts w:hint="default" w:ascii="Times New Roman" w:hAnsi="Times New Roman" w:eastAsia="宋体" w:cs="Times New Roman"/>
                      <w:b w:val="0"/>
                      <w:bCs/>
                      <w:color w:val="auto"/>
                      <w:sz w:val="21"/>
                      <w:szCs w:val="21"/>
                      <w:vertAlign w:val="baseline"/>
                      <w:lang w:val="en-US" w:eastAsia="zh-CN"/>
                    </w:rPr>
                    <w:t>户/</w:t>
                  </w:r>
                  <w:r>
                    <w:rPr>
                      <w:rFonts w:hint="eastAsia" w:cs="Times New Roman"/>
                      <w:b w:val="0"/>
                      <w:bCs/>
                      <w:color w:val="auto"/>
                      <w:sz w:val="21"/>
                      <w:szCs w:val="21"/>
                      <w:vertAlign w:val="baseline"/>
                      <w:lang w:val="en-US" w:eastAsia="zh-CN"/>
                    </w:rPr>
                    <w:t>31</w:t>
                  </w:r>
                  <w:r>
                    <w:rPr>
                      <w:rFonts w:hint="default" w:ascii="Times New Roman" w:hAnsi="Times New Roman" w:eastAsia="宋体" w:cs="Times New Roman"/>
                      <w:b w:val="0"/>
                      <w:bCs/>
                      <w:color w:val="auto"/>
                      <w:sz w:val="21"/>
                      <w:szCs w:val="21"/>
                      <w:vertAlign w:val="baseline"/>
                      <w:lang w:val="en-US" w:eastAsia="zh-CN"/>
                    </w:rPr>
                    <w:t>人</w:t>
                  </w:r>
                </w:p>
              </w:tc>
              <w:tc>
                <w:tcPr>
                  <w:tcW w:w="1045" w:type="pct"/>
                  <w:vMerge w:val="continue"/>
                  <w:noWrap w:val="0"/>
                  <w:vAlign w:val="center"/>
                </w:tcPr>
                <w:p w14:paraId="573D5500">
                  <w:pPr>
                    <w:adjustRightInd w:val="0"/>
                    <w:snapToGrid w:val="0"/>
                    <w:jc w:val="center"/>
                    <w:rPr>
                      <w:rFonts w:hint="default" w:ascii="Times New Roman" w:hAnsi="Times New Roman" w:eastAsia="宋体" w:cs="Times New Roman"/>
                      <w:color w:val="auto"/>
                      <w:kern w:val="0"/>
                      <w:sz w:val="21"/>
                      <w:szCs w:val="21"/>
                    </w:rPr>
                  </w:pPr>
                </w:p>
              </w:tc>
              <w:tc>
                <w:tcPr>
                  <w:tcW w:w="504" w:type="pct"/>
                  <w:noWrap w:val="0"/>
                  <w:vAlign w:val="center"/>
                </w:tcPr>
                <w:p w14:paraId="3610C42E">
                  <w:pPr>
                    <w:adjustRightInd w:val="0"/>
                    <w:snapToGrid w:val="0"/>
                    <w:jc w:val="center"/>
                    <w:rPr>
                      <w:rFonts w:hint="eastAsia" w:cs="Times New Roman"/>
                      <w:color w:val="auto"/>
                      <w:kern w:val="0"/>
                      <w:sz w:val="21"/>
                      <w:szCs w:val="21"/>
                      <w:lang w:val="en-US" w:eastAsia="zh-CN"/>
                    </w:rPr>
                  </w:pPr>
                  <w:r>
                    <w:rPr>
                      <w:rFonts w:hint="eastAsia" w:cs="Times New Roman"/>
                      <w:color w:val="auto"/>
                      <w:kern w:val="0"/>
                      <w:sz w:val="21"/>
                      <w:szCs w:val="21"/>
                      <w:lang w:val="en-US" w:eastAsia="zh-CN"/>
                    </w:rPr>
                    <w:t>东南</w:t>
                  </w:r>
                </w:p>
              </w:tc>
              <w:tc>
                <w:tcPr>
                  <w:tcW w:w="545" w:type="pct"/>
                  <w:noWrap w:val="0"/>
                  <w:vAlign w:val="center"/>
                </w:tcPr>
                <w:p w14:paraId="1299F1AE">
                  <w:pPr>
                    <w:adjustRightInd w:val="0"/>
                    <w:snapToGrid w:val="0"/>
                    <w:jc w:val="center"/>
                    <w:rPr>
                      <w:rFonts w:hint="eastAsia" w:cs="Times New Roman"/>
                      <w:color w:val="auto"/>
                      <w:kern w:val="0"/>
                      <w:sz w:val="21"/>
                      <w:szCs w:val="21"/>
                      <w:lang w:val="en-US" w:eastAsia="zh-CN"/>
                    </w:rPr>
                  </w:pPr>
                  <w:r>
                    <w:rPr>
                      <w:rFonts w:hint="eastAsia" w:cs="Times New Roman"/>
                      <w:color w:val="auto"/>
                      <w:kern w:val="0"/>
                      <w:sz w:val="21"/>
                      <w:szCs w:val="21"/>
                      <w:lang w:val="en-US" w:eastAsia="zh-CN"/>
                    </w:rPr>
                    <w:t>307</w:t>
                  </w:r>
                </w:p>
              </w:tc>
            </w:tr>
            <w:tr w14:paraId="4074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9"/>
                  <w:noWrap w:val="0"/>
                  <w:vAlign w:val="center"/>
                </w:tcPr>
                <w:p w14:paraId="38065056">
                  <w:pPr>
                    <w:adjustRightInd w:val="0"/>
                    <w:snapToGrid w:val="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注：以企业所在区域对角线交点为坐标原点，以东西方向为X坐标轴（东方向为正方向），以南北方向为Y坐标轴（北方向为正方向）</w:t>
                  </w:r>
                </w:p>
              </w:tc>
            </w:tr>
          </w:tbl>
          <w:p w14:paraId="339D218D">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default" w:ascii="Times New Roman" w:hAnsi="Times New Roman" w:eastAsia="宋体" w:cs="Times New Roman"/>
                <w:b/>
                <w:bCs/>
                <w:color w:val="000000" w:themeColor="text1"/>
                <w:kern w:val="0"/>
                <w:sz w:val="24"/>
                <w:szCs w:val="24"/>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2.</w:t>
            </w:r>
            <w:r>
              <w:rPr>
                <w:rFonts w:hint="default" w:ascii="Times New Roman" w:hAnsi="Times New Roman" w:eastAsia="宋体" w:cs="Times New Roman"/>
                <w:b/>
                <w:bCs/>
                <w:color w:val="000000" w:themeColor="text1"/>
                <w:kern w:val="0"/>
                <w:sz w:val="24"/>
                <w:szCs w:val="24"/>
                <w:lang w:val="en-US" w:eastAsia="zh-CN"/>
                <w14:textFill>
                  <w14:solidFill>
                    <w14:schemeClr w14:val="tx1"/>
                  </w14:solidFill>
                </w14:textFill>
              </w:rPr>
              <w:t>声环境</w:t>
            </w:r>
          </w:p>
          <w:p w14:paraId="267297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color w:val="auto"/>
                <w:sz w:val="24"/>
                <w:szCs w:val="32"/>
                <w:lang w:val="en-US" w:eastAsia="zh-CN"/>
              </w:rPr>
            </w:pPr>
            <w:r>
              <w:rPr>
                <w:rFonts w:hint="default"/>
                <w:color w:val="auto"/>
                <w:sz w:val="24"/>
                <w:szCs w:val="32"/>
                <w:lang w:val="en-US" w:eastAsia="zh-CN"/>
              </w:rPr>
              <w:t>项目</w:t>
            </w:r>
            <w:r>
              <w:rPr>
                <w:rFonts w:hint="default"/>
                <w:color w:val="auto"/>
                <w:sz w:val="24"/>
                <w:szCs w:val="32"/>
                <w:lang w:eastAsia="zh-CN"/>
              </w:rPr>
              <w:t>厂界外</w:t>
            </w:r>
            <w:r>
              <w:rPr>
                <w:rFonts w:hint="default"/>
                <w:color w:val="auto"/>
                <w:sz w:val="24"/>
                <w:szCs w:val="32"/>
                <w:lang w:val="en-US" w:eastAsia="zh-CN"/>
              </w:rPr>
              <w:t>50m范围内声环境保护目标</w:t>
            </w:r>
            <w:r>
              <w:rPr>
                <w:rFonts w:hint="eastAsia"/>
                <w:color w:val="auto"/>
                <w:sz w:val="24"/>
                <w:szCs w:val="32"/>
                <w:lang w:val="en-US" w:eastAsia="zh-CN"/>
              </w:rPr>
              <w:t>包括八里曾家部分村民</w:t>
            </w:r>
            <w:r>
              <w:rPr>
                <w:rFonts w:hint="default"/>
                <w:color w:val="auto"/>
                <w:sz w:val="24"/>
                <w:szCs w:val="32"/>
                <w:lang w:val="en-US" w:eastAsia="zh-CN"/>
              </w:rPr>
              <w:t>。</w:t>
            </w:r>
          </w:p>
          <w:p w14:paraId="6A32CD92">
            <w:pPr>
              <w:pStyle w:val="31"/>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b/>
                <w:bCs/>
                <w:color w:val="auto"/>
                <w:lang w:val="en-US" w:eastAsia="zh-CN"/>
              </w:rPr>
            </w:pPr>
            <w:r>
              <w:rPr>
                <w:rFonts w:hint="eastAsia"/>
                <w:b/>
                <w:bCs/>
                <w:color w:val="auto"/>
                <w:sz w:val="24"/>
                <w:szCs w:val="32"/>
                <w:lang w:val="en-US" w:eastAsia="zh-CN"/>
              </w:rPr>
              <w:t>表3.5  项目声环境保护目标一览表</w:t>
            </w:r>
          </w:p>
          <w:tbl>
            <w:tblPr>
              <w:tblStyle w:val="24"/>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58"/>
              <w:gridCol w:w="591"/>
              <w:gridCol w:w="657"/>
              <w:gridCol w:w="1082"/>
              <w:gridCol w:w="1323"/>
              <w:gridCol w:w="1888"/>
              <w:gridCol w:w="740"/>
              <w:gridCol w:w="992"/>
            </w:tblGrid>
            <w:tr w14:paraId="6B59FF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82" w:type="pct"/>
                  <w:vMerge w:val="restart"/>
                  <w:noWrap w:val="0"/>
                  <w:vAlign w:val="center"/>
                </w:tcPr>
                <w:p w14:paraId="152B2F1F">
                  <w:pPr>
                    <w:jc w:val="center"/>
                    <w:rPr>
                      <w:rFonts w:hint="eastAsia" w:eastAsia="宋体"/>
                      <w:bCs/>
                      <w:color w:val="auto"/>
                      <w:szCs w:val="21"/>
                      <w:lang w:eastAsia="zh-CN"/>
                    </w:rPr>
                  </w:pPr>
                  <w:bookmarkStart w:id="3" w:name="_Toc521054614"/>
                  <w:bookmarkStart w:id="4" w:name="_Toc520907642"/>
                  <w:r>
                    <w:rPr>
                      <w:rFonts w:hint="eastAsia"/>
                      <w:bCs/>
                      <w:color w:val="auto"/>
                      <w:szCs w:val="21"/>
                      <w:lang w:eastAsia="zh-CN"/>
                    </w:rPr>
                    <w:t>名称</w:t>
                  </w:r>
                </w:p>
              </w:tc>
              <w:tc>
                <w:tcPr>
                  <w:tcW w:w="758" w:type="pct"/>
                  <w:gridSpan w:val="2"/>
                  <w:noWrap w:val="0"/>
                  <w:vAlign w:val="center"/>
                </w:tcPr>
                <w:p w14:paraId="236B98F2">
                  <w:pPr>
                    <w:jc w:val="center"/>
                    <w:rPr>
                      <w:bCs/>
                      <w:color w:val="auto"/>
                      <w:szCs w:val="21"/>
                    </w:rPr>
                  </w:pPr>
                  <w:r>
                    <w:rPr>
                      <w:bCs/>
                      <w:color w:val="auto"/>
                      <w:szCs w:val="21"/>
                    </w:rPr>
                    <w:t>坐标/m</w:t>
                  </w:r>
                </w:p>
              </w:tc>
              <w:tc>
                <w:tcPr>
                  <w:tcW w:w="657" w:type="pct"/>
                  <w:vMerge w:val="restart"/>
                  <w:noWrap w:val="0"/>
                  <w:vAlign w:val="center"/>
                </w:tcPr>
                <w:p w14:paraId="739CD080">
                  <w:pPr>
                    <w:jc w:val="center"/>
                    <w:rPr>
                      <w:bCs/>
                      <w:color w:val="auto"/>
                      <w:szCs w:val="21"/>
                    </w:rPr>
                  </w:pPr>
                  <w:r>
                    <w:rPr>
                      <w:bCs/>
                      <w:color w:val="auto"/>
                      <w:szCs w:val="21"/>
                    </w:rPr>
                    <w:t>保护对象</w:t>
                  </w:r>
                </w:p>
              </w:tc>
              <w:tc>
                <w:tcPr>
                  <w:tcW w:w="803" w:type="pct"/>
                  <w:vMerge w:val="restart"/>
                  <w:noWrap w:val="0"/>
                  <w:vAlign w:val="center"/>
                </w:tcPr>
                <w:p w14:paraId="1D6EAEC5">
                  <w:pPr>
                    <w:jc w:val="center"/>
                    <w:rPr>
                      <w:bCs/>
                      <w:color w:val="auto"/>
                      <w:szCs w:val="21"/>
                    </w:rPr>
                  </w:pPr>
                  <w:r>
                    <w:rPr>
                      <w:bCs/>
                      <w:color w:val="auto"/>
                      <w:szCs w:val="21"/>
                    </w:rPr>
                    <w:t>保护内容</w:t>
                  </w:r>
                </w:p>
              </w:tc>
              <w:tc>
                <w:tcPr>
                  <w:tcW w:w="1146" w:type="pct"/>
                  <w:vMerge w:val="restart"/>
                  <w:noWrap w:val="0"/>
                  <w:vAlign w:val="center"/>
                </w:tcPr>
                <w:p w14:paraId="0CA39652">
                  <w:pPr>
                    <w:jc w:val="center"/>
                    <w:rPr>
                      <w:bCs/>
                      <w:color w:val="auto"/>
                      <w:szCs w:val="21"/>
                    </w:rPr>
                  </w:pPr>
                  <w:r>
                    <w:rPr>
                      <w:bCs/>
                      <w:color w:val="auto"/>
                      <w:szCs w:val="21"/>
                    </w:rPr>
                    <w:t>环境功能区</w:t>
                  </w:r>
                </w:p>
              </w:tc>
              <w:tc>
                <w:tcPr>
                  <w:tcW w:w="449" w:type="pct"/>
                  <w:vMerge w:val="restart"/>
                  <w:noWrap w:val="0"/>
                  <w:vAlign w:val="center"/>
                </w:tcPr>
                <w:p w14:paraId="1F155BC3">
                  <w:pPr>
                    <w:jc w:val="center"/>
                    <w:rPr>
                      <w:bCs/>
                      <w:color w:val="auto"/>
                      <w:szCs w:val="21"/>
                    </w:rPr>
                  </w:pPr>
                  <w:r>
                    <w:rPr>
                      <w:bCs/>
                      <w:color w:val="auto"/>
                      <w:szCs w:val="21"/>
                    </w:rPr>
                    <w:t>相对厂址方位</w:t>
                  </w:r>
                </w:p>
              </w:tc>
              <w:tc>
                <w:tcPr>
                  <w:tcW w:w="602" w:type="pct"/>
                  <w:vMerge w:val="restart"/>
                  <w:noWrap w:val="0"/>
                  <w:vAlign w:val="center"/>
                </w:tcPr>
                <w:p w14:paraId="1B13FC9E">
                  <w:pPr>
                    <w:jc w:val="center"/>
                    <w:rPr>
                      <w:bCs/>
                      <w:color w:val="auto"/>
                      <w:szCs w:val="21"/>
                    </w:rPr>
                  </w:pPr>
                  <w:r>
                    <w:rPr>
                      <w:bCs/>
                      <w:color w:val="auto"/>
                      <w:szCs w:val="21"/>
                    </w:rPr>
                    <w:t>相对厂界距离</w:t>
                  </w:r>
                </w:p>
                <w:p w14:paraId="6174A8E1">
                  <w:pPr>
                    <w:jc w:val="center"/>
                    <w:rPr>
                      <w:bCs/>
                      <w:color w:val="auto"/>
                      <w:szCs w:val="21"/>
                    </w:rPr>
                  </w:pPr>
                  <w:r>
                    <w:rPr>
                      <w:rFonts w:hint="eastAsia"/>
                      <w:bCs/>
                      <w:color w:val="auto"/>
                      <w:szCs w:val="21"/>
                      <w:lang w:eastAsia="zh-CN"/>
                    </w:rPr>
                    <w:t>(</w:t>
                  </w:r>
                  <w:r>
                    <w:rPr>
                      <w:bCs/>
                      <w:color w:val="auto"/>
                      <w:szCs w:val="21"/>
                    </w:rPr>
                    <w:t>m</w:t>
                  </w:r>
                  <w:r>
                    <w:rPr>
                      <w:rFonts w:hint="eastAsia"/>
                      <w:bCs/>
                      <w:color w:val="auto"/>
                      <w:szCs w:val="21"/>
                      <w:lang w:eastAsia="zh-CN"/>
                    </w:rPr>
                    <w:t>)</w:t>
                  </w:r>
                </w:p>
              </w:tc>
            </w:tr>
            <w:tr w14:paraId="03632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82" w:type="pct"/>
                  <w:vMerge w:val="continue"/>
                  <w:noWrap w:val="0"/>
                  <w:vAlign w:val="center"/>
                </w:tcPr>
                <w:p w14:paraId="309DE7B0">
                  <w:pPr>
                    <w:jc w:val="center"/>
                    <w:rPr>
                      <w:bCs/>
                      <w:color w:val="auto"/>
                      <w:szCs w:val="21"/>
                    </w:rPr>
                  </w:pPr>
                </w:p>
              </w:tc>
              <w:tc>
                <w:tcPr>
                  <w:tcW w:w="359" w:type="pct"/>
                  <w:noWrap w:val="0"/>
                  <w:vAlign w:val="center"/>
                </w:tcPr>
                <w:p w14:paraId="230EB932">
                  <w:pPr>
                    <w:jc w:val="center"/>
                    <w:rPr>
                      <w:bCs/>
                      <w:color w:val="auto"/>
                      <w:szCs w:val="21"/>
                    </w:rPr>
                  </w:pPr>
                  <w:r>
                    <w:rPr>
                      <w:bCs/>
                      <w:color w:val="auto"/>
                      <w:szCs w:val="21"/>
                    </w:rPr>
                    <w:t>X</w:t>
                  </w:r>
                </w:p>
              </w:tc>
              <w:tc>
                <w:tcPr>
                  <w:tcW w:w="398" w:type="pct"/>
                  <w:noWrap w:val="0"/>
                  <w:vAlign w:val="center"/>
                </w:tcPr>
                <w:p w14:paraId="5A07F19D">
                  <w:pPr>
                    <w:jc w:val="center"/>
                    <w:rPr>
                      <w:bCs/>
                      <w:color w:val="auto"/>
                      <w:szCs w:val="21"/>
                    </w:rPr>
                  </w:pPr>
                  <w:r>
                    <w:rPr>
                      <w:bCs/>
                      <w:color w:val="auto"/>
                      <w:szCs w:val="21"/>
                    </w:rPr>
                    <w:t>Y</w:t>
                  </w:r>
                </w:p>
              </w:tc>
              <w:tc>
                <w:tcPr>
                  <w:tcW w:w="657" w:type="pct"/>
                  <w:vMerge w:val="continue"/>
                  <w:noWrap w:val="0"/>
                  <w:vAlign w:val="center"/>
                </w:tcPr>
                <w:p w14:paraId="7370B950">
                  <w:pPr>
                    <w:jc w:val="center"/>
                    <w:rPr>
                      <w:bCs/>
                      <w:color w:val="auto"/>
                      <w:szCs w:val="21"/>
                    </w:rPr>
                  </w:pPr>
                </w:p>
              </w:tc>
              <w:tc>
                <w:tcPr>
                  <w:tcW w:w="803" w:type="pct"/>
                  <w:vMerge w:val="continue"/>
                  <w:noWrap w:val="0"/>
                  <w:vAlign w:val="center"/>
                </w:tcPr>
                <w:p w14:paraId="06FEB21B">
                  <w:pPr>
                    <w:jc w:val="center"/>
                    <w:rPr>
                      <w:bCs/>
                      <w:color w:val="auto"/>
                      <w:szCs w:val="21"/>
                    </w:rPr>
                  </w:pPr>
                </w:p>
              </w:tc>
              <w:tc>
                <w:tcPr>
                  <w:tcW w:w="1146" w:type="pct"/>
                  <w:vMerge w:val="continue"/>
                  <w:noWrap w:val="0"/>
                  <w:vAlign w:val="center"/>
                </w:tcPr>
                <w:p w14:paraId="28562AE5">
                  <w:pPr>
                    <w:jc w:val="center"/>
                    <w:rPr>
                      <w:bCs/>
                      <w:color w:val="auto"/>
                      <w:szCs w:val="21"/>
                    </w:rPr>
                  </w:pPr>
                </w:p>
              </w:tc>
              <w:tc>
                <w:tcPr>
                  <w:tcW w:w="449" w:type="pct"/>
                  <w:vMerge w:val="continue"/>
                  <w:noWrap w:val="0"/>
                  <w:vAlign w:val="center"/>
                </w:tcPr>
                <w:p w14:paraId="03AA8678">
                  <w:pPr>
                    <w:jc w:val="center"/>
                    <w:rPr>
                      <w:bCs/>
                      <w:color w:val="auto"/>
                      <w:szCs w:val="21"/>
                    </w:rPr>
                  </w:pPr>
                </w:p>
              </w:tc>
              <w:tc>
                <w:tcPr>
                  <w:tcW w:w="602" w:type="pct"/>
                  <w:vMerge w:val="continue"/>
                  <w:noWrap w:val="0"/>
                  <w:vAlign w:val="center"/>
                </w:tcPr>
                <w:p w14:paraId="0EF41BD4">
                  <w:pPr>
                    <w:jc w:val="center"/>
                    <w:rPr>
                      <w:bCs/>
                      <w:color w:val="auto"/>
                      <w:szCs w:val="21"/>
                    </w:rPr>
                  </w:pPr>
                </w:p>
              </w:tc>
            </w:tr>
            <w:tr w14:paraId="18284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82" w:type="pct"/>
                  <w:tcBorders>
                    <w:bottom w:val="single" w:color="auto" w:sz="6" w:space="0"/>
                  </w:tcBorders>
                  <w:noWrap w:val="0"/>
                  <w:vAlign w:val="center"/>
                </w:tcPr>
                <w:p w14:paraId="2EFCC92C">
                  <w:pPr>
                    <w:adjustRightInd w:val="0"/>
                    <w:snapToGrid w:val="0"/>
                    <w:jc w:val="center"/>
                    <w:rPr>
                      <w:rFonts w:ascii="Times New Roman" w:hAnsi="Times New Roman"/>
                      <w:color w:val="auto"/>
                      <w:sz w:val="21"/>
                      <w:szCs w:val="21"/>
                    </w:rPr>
                  </w:pPr>
                  <w:r>
                    <w:rPr>
                      <w:rFonts w:hint="eastAsia" w:ascii="Times New Roman" w:hAnsi="Times New Roman"/>
                      <w:color w:val="auto"/>
                      <w:sz w:val="21"/>
                      <w:szCs w:val="21"/>
                    </w:rPr>
                    <w:t>八里曾家</w:t>
                  </w:r>
                </w:p>
              </w:tc>
              <w:tc>
                <w:tcPr>
                  <w:tcW w:w="602" w:type="dxa"/>
                  <w:tcBorders>
                    <w:bottom w:val="single" w:color="auto" w:sz="6" w:space="0"/>
                  </w:tcBorders>
                  <w:noWrap w:val="0"/>
                  <w:vAlign w:val="center"/>
                </w:tcPr>
                <w:p w14:paraId="008FC16F">
                  <w:pPr>
                    <w:adjustRightInd w:val="0"/>
                    <w:snapToGrid w:val="0"/>
                    <w:jc w:val="center"/>
                    <w:rPr>
                      <w:rFonts w:hint="default" w:ascii="Times New Roman" w:hAnsi="Times New Roman" w:eastAsia="宋体" w:cs="Times New Roman"/>
                      <w:color w:val="auto"/>
                      <w:kern w:val="2"/>
                      <w:sz w:val="21"/>
                      <w:szCs w:val="21"/>
                      <w:vertAlign w:val="baseline"/>
                      <w:lang w:val="en-US" w:eastAsia="zh-CN" w:bidi="ar-SA"/>
                    </w:rPr>
                  </w:pPr>
                  <w:r>
                    <w:rPr>
                      <w:rFonts w:hint="eastAsia"/>
                      <w:color w:val="auto"/>
                      <w:sz w:val="21"/>
                      <w:szCs w:val="21"/>
                      <w:lang w:val="en-US" w:eastAsia="zh-CN"/>
                    </w:rPr>
                    <w:t>-22</w:t>
                  </w:r>
                </w:p>
              </w:tc>
              <w:tc>
                <w:tcPr>
                  <w:tcW w:w="669" w:type="dxa"/>
                  <w:tcBorders>
                    <w:bottom w:val="single" w:color="auto" w:sz="6" w:space="0"/>
                  </w:tcBorders>
                  <w:noWrap w:val="0"/>
                  <w:vAlign w:val="center"/>
                </w:tcPr>
                <w:p w14:paraId="0C189685">
                  <w:pPr>
                    <w:adjustRightInd w:val="0"/>
                    <w:snapToGrid w:val="0"/>
                    <w:jc w:val="center"/>
                    <w:rPr>
                      <w:rFonts w:hint="default" w:ascii="Times New Roman" w:hAnsi="Times New Roman" w:eastAsia="宋体" w:cs="Times New Roman"/>
                      <w:color w:val="auto"/>
                      <w:kern w:val="2"/>
                      <w:sz w:val="21"/>
                      <w:szCs w:val="21"/>
                      <w:vertAlign w:val="baseline"/>
                      <w:lang w:val="en-US" w:eastAsia="zh-CN" w:bidi="ar-SA"/>
                    </w:rPr>
                  </w:pPr>
                  <w:r>
                    <w:rPr>
                      <w:rFonts w:hint="eastAsia"/>
                      <w:color w:val="auto"/>
                      <w:sz w:val="21"/>
                      <w:szCs w:val="21"/>
                      <w:lang w:val="en-US" w:eastAsia="zh-CN"/>
                    </w:rPr>
                    <w:t>26</w:t>
                  </w:r>
                </w:p>
              </w:tc>
              <w:tc>
                <w:tcPr>
                  <w:tcW w:w="657" w:type="pct"/>
                  <w:tcBorders>
                    <w:bottom w:val="single" w:color="auto" w:sz="6" w:space="0"/>
                  </w:tcBorders>
                  <w:noWrap w:val="0"/>
                  <w:vAlign w:val="center"/>
                </w:tcPr>
                <w:p w14:paraId="73966787">
                  <w:pPr>
                    <w:adjustRightInd w:val="0"/>
                    <w:snapToGrid w:val="0"/>
                    <w:jc w:val="center"/>
                    <w:rPr>
                      <w:rFonts w:hint="eastAsia" w:eastAsia="宋体"/>
                      <w:color w:val="auto"/>
                      <w:szCs w:val="21"/>
                      <w:lang w:eastAsia="zh-CN"/>
                    </w:rPr>
                  </w:pPr>
                  <w:r>
                    <w:rPr>
                      <w:color w:val="auto"/>
                      <w:sz w:val="21"/>
                      <w:szCs w:val="21"/>
                    </w:rPr>
                    <w:t>居民区</w:t>
                  </w:r>
                </w:p>
              </w:tc>
              <w:tc>
                <w:tcPr>
                  <w:tcW w:w="803" w:type="pct"/>
                  <w:tcBorders>
                    <w:bottom w:val="single" w:color="auto" w:sz="6" w:space="0"/>
                  </w:tcBorders>
                  <w:noWrap w:val="0"/>
                  <w:vAlign w:val="center"/>
                </w:tcPr>
                <w:p w14:paraId="2605E014">
                  <w:pPr>
                    <w:adjustRightInd w:val="0"/>
                    <w:snapToGrid w:val="0"/>
                    <w:jc w:val="center"/>
                    <w:rPr>
                      <w:rFonts w:hint="default" w:eastAsia="宋体"/>
                      <w:bCs/>
                      <w:color w:val="auto"/>
                      <w:szCs w:val="21"/>
                      <w:lang w:val="en-US" w:eastAsia="zh-CN"/>
                    </w:rPr>
                  </w:pPr>
                  <w:r>
                    <w:rPr>
                      <w:rFonts w:hint="eastAsia"/>
                      <w:color w:val="auto"/>
                      <w:sz w:val="21"/>
                      <w:szCs w:val="21"/>
                      <w:lang w:val="en-US" w:eastAsia="zh-CN"/>
                    </w:rPr>
                    <w:t>63户/192人</w:t>
                  </w:r>
                </w:p>
              </w:tc>
              <w:tc>
                <w:tcPr>
                  <w:tcW w:w="1146" w:type="pct"/>
                  <w:vMerge w:val="continue"/>
                  <w:tcBorders>
                    <w:bottom w:val="single" w:color="auto" w:sz="6" w:space="0"/>
                  </w:tcBorders>
                  <w:noWrap w:val="0"/>
                  <w:vAlign w:val="center"/>
                </w:tcPr>
                <w:p w14:paraId="6257F7C3">
                  <w:pPr>
                    <w:pStyle w:val="38"/>
                    <w:tabs>
                      <w:tab w:val="left" w:pos="840"/>
                      <w:tab w:val="left" w:pos="1184"/>
                    </w:tabs>
                    <w:snapToGrid/>
                    <w:spacing w:before="24" w:after="24" w:line="240" w:lineRule="auto"/>
                    <w:ind w:firstLine="0" w:firstLineChars="0"/>
                    <w:rPr>
                      <w:rFonts w:ascii="Times New Roman" w:hAnsi="Times New Roman"/>
                      <w:color w:val="auto"/>
                      <w:sz w:val="21"/>
                      <w:szCs w:val="21"/>
                    </w:rPr>
                  </w:pPr>
                </w:p>
              </w:tc>
              <w:tc>
                <w:tcPr>
                  <w:tcW w:w="449" w:type="pct"/>
                  <w:tcBorders>
                    <w:bottom w:val="single" w:color="auto" w:sz="6" w:space="0"/>
                  </w:tcBorders>
                  <w:noWrap w:val="0"/>
                  <w:vAlign w:val="center"/>
                </w:tcPr>
                <w:p w14:paraId="33674FAB">
                  <w:pPr>
                    <w:adjustRightInd w:val="0"/>
                    <w:snapToGrid w:val="0"/>
                    <w:jc w:val="center"/>
                    <w:rPr>
                      <w:rFonts w:hint="eastAsia" w:eastAsia="宋体"/>
                      <w:bCs/>
                      <w:color w:val="auto"/>
                      <w:szCs w:val="21"/>
                      <w:lang w:eastAsia="zh-CN"/>
                    </w:rPr>
                  </w:pPr>
                  <w:r>
                    <w:rPr>
                      <w:rFonts w:hint="eastAsia"/>
                      <w:color w:val="auto"/>
                      <w:sz w:val="21"/>
                      <w:szCs w:val="21"/>
                      <w:lang w:eastAsia="zh-CN"/>
                    </w:rPr>
                    <w:t>西北</w:t>
                  </w:r>
                </w:p>
              </w:tc>
              <w:tc>
                <w:tcPr>
                  <w:tcW w:w="602" w:type="pct"/>
                  <w:tcBorders>
                    <w:bottom w:val="single" w:color="auto" w:sz="6" w:space="0"/>
                  </w:tcBorders>
                  <w:noWrap w:val="0"/>
                  <w:vAlign w:val="center"/>
                </w:tcPr>
                <w:p w14:paraId="449C69E3">
                  <w:pPr>
                    <w:adjustRightInd w:val="0"/>
                    <w:snapToGrid w:val="0"/>
                    <w:jc w:val="center"/>
                    <w:rPr>
                      <w:rFonts w:hint="default" w:eastAsia="宋体"/>
                      <w:color w:val="auto"/>
                      <w:kern w:val="0"/>
                      <w:szCs w:val="21"/>
                      <w:lang w:val="en-US" w:eastAsia="zh-CN" w:bidi="ar"/>
                    </w:rPr>
                  </w:pPr>
                  <w:r>
                    <w:rPr>
                      <w:rFonts w:hint="eastAsia"/>
                      <w:color w:val="auto"/>
                      <w:sz w:val="21"/>
                      <w:szCs w:val="21"/>
                      <w:lang w:val="en-US" w:eastAsia="zh-CN"/>
                    </w:rPr>
                    <w:t>8</w:t>
                  </w:r>
                </w:p>
              </w:tc>
            </w:tr>
            <w:bookmarkEnd w:id="3"/>
            <w:bookmarkEnd w:id="4"/>
          </w:tbl>
          <w:p w14:paraId="1C7047D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bCs/>
                <w:color w:val="000000" w:themeColor="text1"/>
                <w:kern w:val="0"/>
                <w:sz w:val="24"/>
                <w:szCs w:val="24"/>
                <w:lang w:val="en-US" w:eastAsia="zh-CN"/>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3.</w:t>
            </w:r>
            <w:r>
              <w:rPr>
                <w:rFonts w:hint="default" w:ascii="Times New Roman" w:hAnsi="Times New Roman" w:eastAsia="宋体" w:cs="Times New Roman"/>
                <w:b/>
                <w:bCs/>
                <w:color w:val="000000" w:themeColor="text1"/>
                <w:kern w:val="0"/>
                <w:sz w:val="24"/>
                <w:szCs w:val="24"/>
                <w:lang w:val="en-US" w:eastAsia="zh-CN"/>
                <w14:textFill>
                  <w14:solidFill>
                    <w14:schemeClr w14:val="tx1"/>
                  </w14:solidFill>
                </w14:textFill>
              </w:rPr>
              <w:t>地下水环境</w:t>
            </w:r>
          </w:p>
          <w:p w14:paraId="3BD0A9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pPr>
            <w:r>
              <w:rPr>
                <w:rFonts w:hint="eastAsia" w:ascii="Times New Roman" w:hAnsi="Times New Roman" w:eastAsia="宋体" w:cs="Times New Roman"/>
                <w:kern w:val="0"/>
                <w:sz w:val="24"/>
                <w:szCs w:val="24"/>
                <w:lang w:eastAsia="zh-CN"/>
              </w:rPr>
              <w:t>厂界外</w:t>
            </w:r>
            <w:r>
              <w:rPr>
                <w:rFonts w:hint="eastAsia" w:ascii="Times New Roman" w:hAnsi="Times New Roman" w:eastAsia="宋体" w:cs="Times New Roman"/>
                <w:kern w:val="0"/>
                <w:sz w:val="24"/>
                <w:szCs w:val="24"/>
                <w:lang w:val="en-US" w:eastAsia="zh-CN"/>
              </w:rPr>
              <w:t>500m范围内无地下水集中式</w:t>
            </w:r>
            <w:r>
              <w:rPr>
                <w:rFonts w:hint="eastAsia" w:cs="Times New Roman"/>
                <w:kern w:val="0"/>
                <w:sz w:val="24"/>
                <w:szCs w:val="24"/>
                <w:lang w:val="en-US" w:eastAsia="zh-CN"/>
              </w:rPr>
              <w:t>饮用水</w:t>
            </w:r>
            <w:r>
              <w:rPr>
                <w:rFonts w:hint="eastAsia" w:ascii="Times New Roman" w:hAnsi="Times New Roman" w:eastAsia="宋体" w:cs="Times New Roman"/>
                <w:kern w:val="0"/>
                <w:sz w:val="24"/>
                <w:szCs w:val="24"/>
                <w:lang w:val="en-US" w:eastAsia="zh-CN"/>
              </w:rPr>
              <w:t>水源和热水、矿泉水、温泉等特殊地下水资源。</w:t>
            </w:r>
          </w:p>
          <w:p w14:paraId="4D04BA6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imes New Roman" w:hAnsi="Times New Roman" w:eastAsia="宋体" w:cs="Times New Roman"/>
                <w:b/>
                <w:bCs/>
                <w:color w:val="000000" w:themeColor="text1"/>
                <w:kern w:val="0"/>
                <w:sz w:val="24"/>
                <w:szCs w:val="24"/>
                <w:lang w:val="en-US" w:eastAsia="zh-CN"/>
                <w14:textFill>
                  <w14:solidFill>
                    <w14:schemeClr w14:val="tx1"/>
                  </w14:solidFill>
                </w14:textFill>
              </w:rPr>
            </w:pPr>
            <w:r>
              <w:rPr>
                <w:rFonts w:hint="eastAsia" w:cs="Times New Roman"/>
                <w:b/>
                <w:bCs/>
                <w:color w:val="000000" w:themeColor="text1"/>
                <w:kern w:val="0"/>
                <w:sz w:val="24"/>
                <w:szCs w:val="24"/>
                <w:lang w:val="en-US" w:eastAsia="zh-CN"/>
                <w14:textFill>
                  <w14:solidFill>
                    <w14:schemeClr w14:val="tx1"/>
                  </w14:solidFill>
                </w14:textFill>
              </w:rPr>
              <w:t>4.</w:t>
            </w:r>
            <w:r>
              <w:rPr>
                <w:rFonts w:hint="eastAsia" w:ascii="Times New Roman" w:hAnsi="Times New Roman" w:eastAsia="宋体" w:cs="Times New Roman"/>
                <w:b/>
                <w:bCs/>
                <w:color w:val="000000" w:themeColor="text1"/>
                <w:kern w:val="0"/>
                <w:sz w:val="24"/>
                <w:szCs w:val="24"/>
                <w:lang w:val="en-US" w:eastAsia="zh-CN"/>
                <w14:textFill>
                  <w14:solidFill>
                    <w14:schemeClr w14:val="tx1"/>
                  </w14:solidFill>
                </w14:textFill>
              </w:rPr>
              <w:t>生态环境</w:t>
            </w:r>
          </w:p>
          <w:p w14:paraId="413F9DC4">
            <w:pPr>
              <w:adjustRightInd w:val="0"/>
              <w:snapToGrid w:val="0"/>
              <w:spacing w:line="360" w:lineRule="auto"/>
              <w:ind w:firstLine="480" w:firstLineChars="200"/>
              <w:jc w:val="left"/>
              <w:rPr>
                <w:rFonts w:hint="default" w:ascii="Times New Roman" w:hAnsi="Times New Roman" w:eastAsia="宋体" w:cs="Times New Roman"/>
                <w:kern w:val="0"/>
                <w:sz w:val="24"/>
                <w:szCs w:val="24"/>
                <w:lang w:val="en-US" w:eastAsia="zh-CN"/>
              </w:rPr>
            </w:pPr>
            <w:r>
              <w:rPr>
                <w:rFonts w:hint="eastAsia" w:cs="Times New Roman"/>
                <w:color w:val="auto"/>
                <w:kern w:val="0"/>
                <w:sz w:val="24"/>
                <w:szCs w:val="24"/>
                <w:lang w:val="en-US" w:eastAsia="zh-CN"/>
              </w:rPr>
              <w:t>扩建</w:t>
            </w:r>
            <w:r>
              <w:rPr>
                <w:rFonts w:hint="eastAsia" w:ascii="Times New Roman" w:hAnsi="Times New Roman" w:eastAsia="宋体" w:cs="Times New Roman"/>
                <w:color w:val="auto"/>
                <w:kern w:val="0"/>
                <w:sz w:val="24"/>
                <w:szCs w:val="24"/>
                <w:lang w:val="en-US" w:eastAsia="zh-CN"/>
              </w:rPr>
              <w:t>项目位于</w:t>
            </w:r>
            <w:r>
              <w:rPr>
                <w:rFonts w:ascii="宋体" w:hAnsi="宋体" w:eastAsia="宋体" w:cs="宋体"/>
                <w:sz w:val="24"/>
                <w:szCs w:val="24"/>
              </w:rPr>
              <w:t>宿州</w:t>
            </w:r>
            <w:r>
              <w:rPr>
                <w:rFonts w:hint="eastAsia" w:ascii="宋体" w:hAnsi="宋体" w:cs="宋体"/>
                <w:sz w:val="24"/>
                <w:szCs w:val="24"/>
                <w:lang w:eastAsia="zh-CN"/>
              </w:rPr>
              <w:t>市</w:t>
            </w:r>
            <w:r>
              <w:rPr>
                <w:rFonts w:ascii="宋体" w:hAnsi="宋体" w:eastAsia="宋体" w:cs="宋体"/>
                <w:sz w:val="24"/>
                <w:szCs w:val="24"/>
              </w:rPr>
              <w:t>埇桥</w:t>
            </w:r>
            <w:r>
              <w:rPr>
                <w:rFonts w:hint="eastAsia" w:ascii="宋体" w:hAnsi="宋体" w:cs="宋体"/>
                <w:sz w:val="24"/>
                <w:szCs w:val="24"/>
                <w:lang w:eastAsia="zh-CN"/>
              </w:rPr>
              <w:t>区</w:t>
            </w:r>
            <w:r>
              <w:rPr>
                <w:rFonts w:ascii="宋体" w:hAnsi="宋体" w:eastAsia="宋体" w:cs="宋体"/>
                <w:sz w:val="24"/>
                <w:szCs w:val="24"/>
              </w:rPr>
              <w:t>循环经济示范园东二环西侧</w:t>
            </w:r>
            <w:r>
              <w:rPr>
                <w:rFonts w:hint="eastAsia" w:ascii="Times New Roman" w:hAnsi="Times New Roman" w:cs="Times New Roman"/>
                <w:color w:val="auto"/>
                <w:sz w:val="24"/>
                <w:szCs w:val="24"/>
                <w:u w:val="none"/>
                <w:lang w:val="en-US" w:eastAsia="zh-CN"/>
              </w:rPr>
              <w:t>，</w:t>
            </w:r>
            <w:r>
              <w:rPr>
                <w:rFonts w:hint="eastAsia"/>
                <w:color w:val="auto"/>
                <w:kern w:val="0"/>
                <w:sz w:val="24"/>
              </w:rPr>
              <w:t>属于工业用地，无生态环境保护目标。</w:t>
            </w:r>
          </w:p>
        </w:tc>
      </w:tr>
      <w:tr w14:paraId="771CAB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94" w:hRule="atLeast"/>
          <w:jc w:val="center"/>
        </w:trPr>
        <w:tc>
          <w:tcPr>
            <w:tcW w:w="528" w:type="dxa"/>
            <w:tcBorders>
              <w:tl2br w:val="nil"/>
              <w:tr2bl w:val="nil"/>
            </w:tcBorders>
            <w:noWrap w:val="0"/>
            <w:tcMar>
              <w:left w:w="28" w:type="dxa"/>
              <w:right w:w="28" w:type="dxa"/>
            </w:tcMar>
            <w:vAlign w:val="center"/>
          </w:tcPr>
          <w:p w14:paraId="7BEA96D3">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污染</w:t>
            </w:r>
          </w:p>
          <w:p w14:paraId="1C628385">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物排</w:t>
            </w:r>
          </w:p>
          <w:p w14:paraId="19EA5348">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放控</w:t>
            </w:r>
          </w:p>
          <w:p w14:paraId="71A2F86A">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制标</w:t>
            </w:r>
          </w:p>
          <w:p w14:paraId="4560425E">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准</w:t>
            </w:r>
          </w:p>
        </w:tc>
        <w:tc>
          <w:tcPr>
            <w:tcW w:w="8462" w:type="dxa"/>
            <w:tcBorders>
              <w:tl2br w:val="nil"/>
              <w:tr2bl w:val="nil"/>
            </w:tcBorders>
            <w:noWrap w:val="0"/>
            <w:vAlign w:val="center"/>
          </w:tcPr>
          <w:p w14:paraId="3317933B">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left"/>
              <w:textAlignment w:val="auto"/>
              <w:rPr>
                <w:rFonts w:hint="default" w:ascii="Times New Roman" w:hAnsi="Times New Roman" w:eastAsia="宋体" w:cs="Times New Roman"/>
                <w:b/>
                <w:bCs/>
                <w:kern w:val="0"/>
                <w:sz w:val="24"/>
                <w:szCs w:val="24"/>
                <w:highlight w:val="none"/>
                <w:shd w:val="clear" w:color="auto" w:fill="auto"/>
              </w:rPr>
            </w:pPr>
            <w:r>
              <w:rPr>
                <w:rFonts w:hint="eastAsia" w:cs="Times New Roman"/>
                <w:b/>
                <w:bCs/>
                <w:kern w:val="0"/>
                <w:sz w:val="24"/>
                <w:szCs w:val="24"/>
                <w:highlight w:val="none"/>
                <w:shd w:val="clear" w:color="auto" w:fill="auto"/>
                <w:lang w:eastAsia="zh-CN"/>
              </w:rPr>
              <w:t>1.</w:t>
            </w:r>
            <w:r>
              <w:rPr>
                <w:rFonts w:hint="default" w:ascii="Times New Roman" w:hAnsi="Times New Roman" w:eastAsia="宋体" w:cs="Times New Roman"/>
                <w:b/>
                <w:bCs/>
                <w:kern w:val="0"/>
                <w:sz w:val="24"/>
                <w:szCs w:val="24"/>
                <w:highlight w:val="none"/>
                <w:shd w:val="clear" w:color="auto" w:fill="auto"/>
              </w:rPr>
              <w:t>废水排放标准</w:t>
            </w:r>
          </w:p>
          <w:p w14:paraId="41C95F9C">
            <w:pPr>
              <w:snapToGrid w:val="0"/>
              <w:spacing w:line="360" w:lineRule="auto"/>
              <w:ind w:firstLine="480" w:firstLineChars="200"/>
              <w:rPr>
                <w:sz w:val="24"/>
              </w:rPr>
            </w:pPr>
            <w:r>
              <w:rPr>
                <w:rFonts w:hint="eastAsia"/>
                <w:color w:val="auto"/>
                <w:sz w:val="24"/>
              </w:rPr>
              <w:t>项目生活污水</w:t>
            </w:r>
            <w:r>
              <w:rPr>
                <w:rFonts w:hint="eastAsia"/>
                <w:color w:val="auto"/>
                <w:sz w:val="24"/>
                <w:lang w:eastAsia="zh-CN"/>
              </w:rPr>
              <w:t>依托厂房</w:t>
            </w:r>
            <w:r>
              <w:rPr>
                <w:rFonts w:hint="eastAsia"/>
                <w:color w:val="auto"/>
                <w:sz w:val="24"/>
              </w:rPr>
              <w:t>化粪池预处理</w:t>
            </w:r>
            <w:r>
              <w:rPr>
                <w:rFonts w:hint="eastAsia"/>
                <w:color w:val="auto"/>
                <w:sz w:val="24"/>
                <w:lang w:eastAsia="zh-CN"/>
              </w:rPr>
              <w:t>；喷淋废水与生活污水汇合</w:t>
            </w:r>
            <w:r>
              <w:rPr>
                <w:rFonts w:hint="eastAsia"/>
                <w:color w:val="auto"/>
                <w:sz w:val="24"/>
              </w:rPr>
              <w:t>排水满足</w:t>
            </w:r>
            <w:r>
              <w:rPr>
                <w:rFonts w:hint="default"/>
                <w:snapToGrid/>
                <w:color w:val="auto"/>
                <w:spacing w:val="0"/>
                <w:kern w:val="0"/>
                <w:position w:val="0"/>
                <w:sz w:val="24"/>
                <w:szCs w:val="24"/>
                <w:lang w:val="zh-CN" w:eastAsia="zh-CN"/>
              </w:rPr>
              <w:t>《合成树脂工业污染物排放标准》（GB31572-2015）表2 中水污染物特别排放限值</w:t>
            </w:r>
            <w:r>
              <w:rPr>
                <w:rFonts w:hint="eastAsia"/>
                <w:snapToGrid/>
                <w:color w:val="auto"/>
                <w:spacing w:val="0"/>
                <w:kern w:val="0"/>
                <w:position w:val="0"/>
                <w:sz w:val="24"/>
                <w:szCs w:val="24"/>
                <w:lang w:val="en-US" w:eastAsia="zh-CN"/>
              </w:rPr>
              <w:t>中的</w:t>
            </w:r>
            <w:r>
              <w:rPr>
                <w:rFonts w:hint="default"/>
                <w:snapToGrid/>
                <w:color w:val="auto"/>
                <w:spacing w:val="0"/>
                <w:kern w:val="0"/>
                <w:position w:val="0"/>
                <w:sz w:val="24"/>
                <w:szCs w:val="24"/>
                <w:lang w:val="zh-CN" w:eastAsia="zh-CN"/>
              </w:rPr>
              <w:t>间接排放限值</w:t>
            </w:r>
            <w:r>
              <w:rPr>
                <w:rFonts w:hint="eastAsia"/>
                <w:snapToGrid/>
                <w:color w:val="auto"/>
                <w:spacing w:val="0"/>
                <w:kern w:val="0"/>
                <w:position w:val="0"/>
                <w:sz w:val="24"/>
                <w:szCs w:val="24"/>
                <w:lang w:val="en-US" w:eastAsia="zh-CN"/>
              </w:rPr>
              <w:t>及</w:t>
            </w:r>
            <w:r>
              <w:rPr>
                <w:rFonts w:hint="eastAsia"/>
                <w:color w:val="auto"/>
                <w:sz w:val="24"/>
              </w:rPr>
              <w:t>城东污水处理厂</w:t>
            </w:r>
            <w:r>
              <w:rPr>
                <w:rFonts w:hint="default" w:ascii="Times New Roman" w:hAnsi="Times New Roman" w:eastAsia="宋体" w:cs="Times New Roman"/>
                <w:color w:val="auto"/>
                <w:sz w:val="24"/>
                <w:szCs w:val="24"/>
              </w:rPr>
              <w:t>接管限值</w:t>
            </w:r>
            <w:r>
              <w:rPr>
                <w:rFonts w:hint="eastAsia"/>
                <w:color w:val="auto"/>
                <w:sz w:val="24"/>
              </w:rPr>
              <w:t>，</w:t>
            </w:r>
            <w:r>
              <w:rPr>
                <w:sz w:val="24"/>
              </w:rPr>
              <w:t>经市政污水管网排</w:t>
            </w:r>
            <w:r>
              <w:rPr>
                <w:rFonts w:hint="eastAsia"/>
                <w:sz w:val="24"/>
              </w:rPr>
              <w:t>入城东污水处理厂处理</w:t>
            </w:r>
            <w:r>
              <w:rPr>
                <w:sz w:val="24"/>
              </w:rPr>
              <w:t>。</w:t>
            </w:r>
          </w:p>
          <w:p w14:paraId="7F78D97A">
            <w:pPr>
              <w:snapToGrid w:val="0"/>
              <w:spacing w:line="360" w:lineRule="auto"/>
              <w:jc w:val="center"/>
              <w:rPr>
                <w:b/>
                <w:bCs/>
                <w:sz w:val="24"/>
              </w:rPr>
            </w:pPr>
            <w:r>
              <w:rPr>
                <w:b/>
                <w:bCs/>
                <w:sz w:val="24"/>
              </w:rPr>
              <w:t>表</w:t>
            </w:r>
            <w:r>
              <w:rPr>
                <w:rFonts w:hint="eastAsia"/>
                <w:b/>
                <w:bCs/>
                <w:sz w:val="24"/>
              </w:rPr>
              <w:t>3.</w:t>
            </w:r>
            <w:r>
              <w:rPr>
                <w:rFonts w:hint="eastAsia"/>
                <w:b/>
                <w:bCs/>
                <w:sz w:val="24"/>
                <w:lang w:val="en-US" w:eastAsia="zh-CN"/>
              </w:rPr>
              <w:t>6</w:t>
            </w:r>
            <w:r>
              <w:rPr>
                <w:rFonts w:hint="eastAsia"/>
                <w:b/>
                <w:bCs/>
                <w:sz w:val="24"/>
              </w:rPr>
              <w:t xml:space="preserve"> </w:t>
            </w:r>
            <w:r>
              <w:rPr>
                <w:b/>
                <w:bCs/>
                <w:sz w:val="24"/>
              </w:rPr>
              <w:t xml:space="preserve"> </w:t>
            </w:r>
            <w:r>
              <w:rPr>
                <w:rFonts w:hint="eastAsia"/>
                <w:b/>
                <w:bCs/>
                <w:kern w:val="0"/>
                <w:sz w:val="24"/>
              </w:rPr>
              <w:t>项目废水排放标准</w:t>
            </w:r>
            <w:r>
              <w:rPr>
                <w:b/>
                <w:bCs/>
                <w:sz w:val="24"/>
              </w:rPr>
              <w:t xml:space="preserve"> 单位：mg/L（</w:t>
            </w:r>
            <w:r>
              <w:rPr>
                <w:b/>
                <w:sz w:val="24"/>
              </w:rPr>
              <w:t>pH无量纲</w:t>
            </w:r>
            <w:r>
              <w:rPr>
                <w:b/>
                <w:bCs/>
                <w:sz w:val="24"/>
              </w:rPr>
              <w:t>）</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3"/>
              <w:gridCol w:w="1346"/>
              <w:gridCol w:w="997"/>
              <w:gridCol w:w="1030"/>
              <w:gridCol w:w="1042"/>
              <w:gridCol w:w="1148"/>
            </w:tblGrid>
            <w:tr w14:paraId="6378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3" w:type="dxa"/>
                  <w:vAlign w:val="center"/>
                </w:tcPr>
                <w:p w14:paraId="06032917">
                  <w:pPr>
                    <w:adjustRightInd w:val="0"/>
                    <w:snapToGrid w:val="0"/>
                    <w:jc w:val="cente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标准名称</w:t>
                  </w:r>
                </w:p>
              </w:tc>
              <w:tc>
                <w:tcPr>
                  <w:tcW w:w="1346" w:type="dxa"/>
                  <w:vAlign w:val="center"/>
                </w:tcPr>
                <w:p w14:paraId="1146D48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szCs w:val="21"/>
                    </w:rPr>
                  </w:pPr>
                  <w:r>
                    <w:rPr>
                      <w:rFonts w:hint="default" w:ascii="Times New Roman" w:hAnsi="Times New Roman" w:eastAsia="宋体" w:cs="Times New Roman"/>
                      <w:color w:val="000000"/>
                      <w:sz w:val="21"/>
                      <w:szCs w:val="21"/>
                      <w:highlight w:val="none"/>
                      <w:lang w:val="en-US" w:eastAsia="zh-CN"/>
                    </w:rPr>
                    <w:t>pH</w:t>
                  </w:r>
                </w:p>
              </w:tc>
              <w:tc>
                <w:tcPr>
                  <w:tcW w:w="997" w:type="dxa"/>
                  <w:vAlign w:val="center"/>
                </w:tcPr>
                <w:p w14:paraId="11C49E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szCs w:val="21"/>
                    </w:rPr>
                  </w:pPr>
                  <w:r>
                    <w:rPr>
                      <w:rFonts w:hint="default" w:ascii="Times New Roman" w:hAnsi="Times New Roman" w:eastAsia="宋体" w:cs="Times New Roman"/>
                      <w:color w:val="000000"/>
                      <w:sz w:val="21"/>
                      <w:szCs w:val="21"/>
                      <w:highlight w:val="none"/>
                      <w:lang w:val="en-US" w:eastAsia="zh-CN"/>
                    </w:rPr>
                    <w:t>COD</w:t>
                  </w:r>
                </w:p>
              </w:tc>
              <w:tc>
                <w:tcPr>
                  <w:tcW w:w="1030" w:type="dxa"/>
                  <w:vAlign w:val="center"/>
                </w:tcPr>
                <w:p w14:paraId="687FAD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szCs w:val="21"/>
                    </w:rPr>
                  </w:pPr>
                  <w:r>
                    <w:rPr>
                      <w:rFonts w:hint="default" w:ascii="Times New Roman" w:hAnsi="Times New Roman" w:eastAsia="宋体" w:cs="Times New Roman"/>
                      <w:color w:val="000000"/>
                      <w:sz w:val="21"/>
                      <w:szCs w:val="21"/>
                      <w:highlight w:val="none"/>
                      <w:lang w:val="en-US" w:eastAsia="zh-CN"/>
                    </w:rPr>
                    <w:t>SS</w:t>
                  </w:r>
                </w:p>
              </w:tc>
              <w:tc>
                <w:tcPr>
                  <w:tcW w:w="1042" w:type="dxa"/>
                  <w:vAlign w:val="center"/>
                </w:tcPr>
                <w:p w14:paraId="02A3F12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szCs w:val="21"/>
                    </w:rPr>
                  </w:pPr>
                  <w:r>
                    <w:rPr>
                      <w:rFonts w:hint="default" w:ascii="Times New Roman" w:hAnsi="Times New Roman" w:eastAsia="宋体" w:cs="Times New Roman"/>
                      <w:color w:val="000000"/>
                      <w:sz w:val="21"/>
                      <w:szCs w:val="21"/>
                      <w:highlight w:val="none"/>
                      <w:lang w:val="en-US" w:eastAsia="zh-CN"/>
                    </w:rPr>
                    <w:t>NH</w:t>
                  </w:r>
                  <w:r>
                    <w:rPr>
                      <w:rFonts w:hint="default" w:ascii="Times New Roman" w:hAnsi="Times New Roman" w:eastAsia="宋体" w:cs="Times New Roman"/>
                      <w:color w:val="000000"/>
                      <w:sz w:val="21"/>
                      <w:szCs w:val="21"/>
                      <w:highlight w:val="none"/>
                      <w:vertAlign w:val="subscript"/>
                      <w:lang w:val="en-US" w:eastAsia="zh-CN"/>
                    </w:rPr>
                    <w:t>3</w:t>
                  </w:r>
                  <w:r>
                    <w:rPr>
                      <w:rFonts w:hint="default" w:ascii="Times New Roman" w:hAnsi="Times New Roman" w:eastAsia="宋体" w:cs="Times New Roman"/>
                      <w:color w:val="000000"/>
                      <w:sz w:val="21"/>
                      <w:szCs w:val="21"/>
                      <w:highlight w:val="none"/>
                      <w:lang w:val="en-US" w:eastAsia="zh-CN"/>
                    </w:rPr>
                    <w:t>-N</w:t>
                  </w:r>
                </w:p>
              </w:tc>
              <w:tc>
                <w:tcPr>
                  <w:tcW w:w="1148" w:type="dxa"/>
                  <w:vAlign w:val="center"/>
                </w:tcPr>
                <w:p w14:paraId="1773040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szCs w:val="21"/>
                    </w:rPr>
                  </w:pPr>
                  <w:r>
                    <w:rPr>
                      <w:rFonts w:hint="default" w:ascii="Times New Roman" w:hAnsi="Times New Roman" w:eastAsia="宋体" w:cs="Times New Roman"/>
                      <w:color w:val="000000"/>
                      <w:sz w:val="21"/>
                      <w:szCs w:val="21"/>
                      <w:highlight w:val="none"/>
                      <w:lang w:val="en-US" w:eastAsia="zh-CN"/>
                    </w:rPr>
                    <w:t>BOD</w:t>
                  </w:r>
                  <w:r>
                    <w:rPr>
                      <w:rFonts w:hint="default" w:ascii="Times New Roman" w:hAnsi="Times New Roman" w:eastAsia="宋体" w:cs="Times New Roman"/>
                      <w:color w:val="000000"/>
                      <w:sz w:val="21"/>
                      <w:szCs w:val="21"/>
                      <w:highlight w:val="none"/>
                      <w:vertAlign w:val="subscript"/>
                      <w:lang w:val="en-US" w:eastAsia="zh-CN"/>
                    </w:rPr>
                    <w:t>5</w:t>
                  </w:r>
                </w:p>
              </w:tc>
            </w:tr>
            <w:tr w14:paraId="1513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3" w:type="dxa"/>
                  <w:vAlign w:val="center"/>
                </w:tcPr>
                <w:p w14:paraId="1B0372F8">
                  <w:pPr>
                    <w:pStyle w:val="31"/>
                    <w:snapToGrid/>
                    <w:spacing w:line="240" w:lineRule="auto"/>
                    <w:ind w:firstLine="0" w:firstLineChars="0"/>
                    <w:jc w:val="center"/>
                    <w:rPr>
                      <w:rFonts w:hint="eastAsia" w:cs="Times New Roman" w:eastAsiaTheme="minorEastAsia"/>
                      <w:color w:val="auto"/>
                      <w:sz w:val="21"/>
                      <w:szCs w:val="21"/>
                      <w:lang w:eastAsia="zh-CN"/>
                    </w:rPr>
                  </w:pPr>
                  <w:r>
                    <w:rPr>
                      <w:rFonts w:hint="default" w:ascii="Times New Roman" w:hAnsi="Times New Roman" w:cs="Times New Roman"/>
                      <w:snapToGrid/>
                      <w:color w:val="auto"/>
                      <w:spacing w:val="0"/>
                      <w:kern w:val="0"/>
                      <w:position w:val="0"/>
                      <w:sz w:val="21"/>
                      <w:szCs w:val="21"/>
                      <w:lang w:val="en-US" w:eastAsia="zh-CN"/>
                    </w:rPr>
                    <w:t>《合成树脂工业污染物排放标准》（GB31572-2015）表2 中水污染物特别排放限值间接排放限值</w:t>
                  </w:r>
                </w:p>
              </w:tc>
              <w:tc>
                <w:tcPr>
                  <w:tcW w:w="1346" w:type="dxa"/>
                  <w:vAlign w:val="center"/>
                </w:tcPr>
                <w:p w14:paraId="3659D0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sz w:val="21"/>
                      <w:szCs w:val="21"/>
                    </w:rPr>
                  </w:pPr>
                  <w:r>
                    <w:rPr>
                      <w:rFonts w:hint="eastAsia" w:cs="Times New Roman"/>
                      <w:snapToGrid/>
                      <w:color w:val="auto"/>
                      <w:spacing w:val="0"/>
                      <w:kern w:val="0"/>
                      <w:position w:val="0"/>
                      <w:sz w:val="21"/>
                      <w:szCs w:val="21"/>
                      <w:lang w:val="en-US" w:eastAsia="zh-CN"/>
                    </w:rPr>
                    <w:t>/</w:t>
                  </w:r>
                </w:p>
              </w:tc>
              <w:tc>
                <w:tcPr>
                  <w:tcW w:w="997" w:type="dxa"/>
                  <w:vAlign w:val="center"/>
                </w:tcPr>
                <w:p w14:paraId="6A38DA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sz w:val="21"/>
                      <w:szCs w:val="21"/>
                    </w:rPr>
                  </w:pPr>
                  <w:r>
                    <w:rPr>
                      <w:rFonts w:hint="eastAsia" w:cs="Times New Roman"/>
                      <w:snapToGrid/>
                      <w:color w:val="auto"/>
                      <w:spacing w:val="0"/>
                      <w:kern w:val="0"/>
                      <w:position w:val="0"/>
                      <w:sz w:val="21"/>
                      <w:szCs w:val="21"/>
                      <w:lang w:val="en-US" w:eastAsia="zh-CN"/>
                    </w:rPr>
                    <w:t>/</w:t>
                  </w:r>
                </w:p>
              </w:tc>
              <w:tc>
                <w:tcPr>
                  <w:tcW w:w="1030" w:type="dxa"/>
                  <w:vAlign w:val="center"/>
                </w:tcPr>
                <w:p w14:paraId="492C5AA1">
                  <w:pPr>
                    <w:snapToGrid/>
                    <w:spacing w:line="240" w:lineRule="auto"/>
                    <w:ind w:firstLine="0" w:firstLineChars="0"/>
                    <w:jc w:val="center"/>
                    <w:rPr>
                      <w:rFonts w:hint="default" w:ascii="Times New Roman" w:hAnsi="Times New Roman" w:cs="Times New Roman" w:eastAsiaTheme="minorEastAsia"/>
                      <w:color w:val="auto"/>
                      <w:sz w:val="21"/>
                      <w:szCs w:val="21"/>
                      <w:lang w:val="en-US" w:eastAsia="zh-CN"/>
                    </w:rPr>
                  </w:pPr>
                  <w:r>
                    <w:rPr>
                      <w:rFonts w:hint="eastAsia" w:cs="Times New Roman"/>
                      <w:snapToGrid/>
                      <w:color w:val="auto"/>
                      <w:spacing w:val="0"/>
                      <w:kern w:val="0"/>
                      <w:position w:val="0"/>
                      <w:sz w:val="21"/>
                      <w:szCs w:val="21"/>
                      <w:lang w:val="en-US" w:eastAsia="zh-CN"/>
                    </w:rPr>
                    <w:t>/</w:t>
                  </w:r>
                </w:p>
              </w:tc>
              <w:tc>
                <w:tcPr>
                  <w:tcW w:w="1042" w:type="dxa"/>
                  <w:vAlign w:val="center"/>
                </w:tcPr>
                <w:p w14:paraId="0C3E5816">
                  <w:pPr>
                    <w:snapToGrid/>
                    <w:spacing w:line="240" w:lineRule="auto"/>
                    <w:ind w:firstLine="0" w:firstLineChars="0"/>
                    <w:jc w:val="center"/>
                    <w:rPr>
                      <w:rFonts w:hint="eastAsia" w:ascii="Times New Roman" w:hAnsi="Times New Roman" w:cs="Times New Roman" w:eastAsiaTheme="minorEastAsia"/>
                      <w:color w:val="auto"/>
                      <w:sz w:val="21"/>
                      <w:szCs w:val="21"/>
                      <w:lang w:val="en-US" w:eastAsia="zh-CN"/>
                    </w:rPr>
                  </w:pPr>
                  <w:r>
                    <w:rPr>
                      <w:rFonts w:hint="eastAsia" w:cs="Times New Roman"/>
                      <w:snapToGrid/>
                      <w:color w:val="auto"/>
                      <w:spacing w:val="0"/>
                      <w:kern w:val="0"/>
                      <w:position w:val="0"/>
                      <w:sz w:val="21"/>
                      <w:szCs w:val="21"/>
                      <w:lang w:val="en-US" w:eastAsia="zh-CN"/>
                    </w:rPr>
                    <w:t>/</w:t>
                  </w:r>
                </w:p>
              </w:tc>
              <w:tc>
                <w:tcPr>
                  <w:tcW w:w="1148" w:type="dxa"/>
                  <w:vAlign w:val="center"/>
                </w:tcPr>
                <w:p w14:paraId="548D6AE8">
                  <w:pPr>
                    <w:snapToGrid/>
                    <w:spacing w:line="240" w:lineRule="auto"/>
                    <w:ind w:firstLine="0" w:firstLineChars="0"/>
                    <w:jc w:val="center"/>
                    <w:rPr>
                      <w:rFonts w:hint="default" w:ascii="Times New Roman" w:hAnsi="Times New Roman" w:cs="Times New Roman" w:eastAsiaTheme="minorEastAsia"/>
                      <w:color w:val="auto"/>
                      <w:sz w:val="21"/>
                      <w:szCs w:val="21"/>
                      <w:lang w:val="en-US" w:eastAsia="zh-CN"/>
                    </w:rPr>
                  </w:pPr>
                  <w:r>
                    <w:rPr>
                      <w:rFonts w:hint="eastAsia" w:cs="Times New Roman"/>
                      <w:snapToGrid/>
                      <w:color w:val="auto"/>
                      <w:spacing w:val="0"/>
                      <w:kern w:val="0"/>
                      <w:position w:val="0"/>
                      <w:sz w:val="21"/>
                      <w:szCs w:val="21"/>
                      <w:lang w:val="en-US" w:eastAsia="zh-CN"/>
                    </w:rPr>
                    <w:t>/</w:t>
                  </w:r>
                </w:p>
              </w:tc>
            </w:tr>
            <w:tr w14:paraId="54A75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3" w:type="dxa"/>
                  <w:vAlign w:val="center"/>
                </w:tcPr>
                <w:p w14:paraId="3708A98A">
                  <w:pPr>
                    <w:pStyle w:val="31"/>
                    <w:snapToGrid/>
                    <w:spacing w:line="240" w:lineRule="auto"/>
                    <w:ind w:firstLine="0" w:firstLineChars="0"/>
                    <w:jc w:val="center"/>
                    <w:rPr>
                      <w:rFonts w:hint="default" w:ascii="Times New Roman" w:hAnsi="Times New Roman" w:cs="Times New Roman" w:eastAsiaTheme="minorEastAsia"/>
                      <w:color w:val="auto"/>
                      <w:sz w:val="21"/>
                      <w:szCs w:val="21"/>
                    </w:rPr>
                  </w:pPr>
                  <w:r>
                    <w:rPr>
                      <w:rFonts w:hint="eastAsia" w:cs="Times New Roman" w:eastAsiaTheme="minorEastAsia"/>
                      <w:color w:val="auto"/>
                      <w:sz w:val="21"/>
                      <w:szCs w:val="21"/>
                      <w:lang w:eastAsia="zh-CN"/>
                    </w:rPr>
                    <w:t>城东</w:t>
                  </w:r>
                  <w:r>
                    <w:rPr>
                      <w:rFonts w:hint="default" w:ascii="Times New Roman" w:hAnsi="Times New Roman" w:cs="Times New Roman" w:eastAsiaTheme="minorEastAsia"/>
                      <w:color w:val="auto"/>
                      <w:sz w:val="21"/>
                      <w:szCs w:val="21"/>
                    </w:rPr>
                    <w:t>污水处理厂处理接管限值</w:t>
                  </w:r>
                </w:p>
              </w:tc>
              <w:tc>
                <w:tcPr>
                  <w:tcW w:w="1346" w:type="dxa"/>
                  <w:vAlign w:val="center"/>
                </w:tcPr>
                <w:p w14:paraId="117C80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eastAsia="宋体" w:cs="Times New Roman"/>
                      <w:color w:val="auto"/>
                      <w:sz w:val="21"/>
                      <w:szCs w:val="21"/>
                      <w:lang w:val="en-US" w:eastAsia="zh-CN"/>
                    </w:rPr>
                    <w:t>6~9</w:t>
                  </w:r>
                </w:p>
              </w:tc>
              <w:tc>
                <w:tcPr>
                  <w:tcW w:w="997" w:type="dxa"/>
                  <w:vAlign w:val="center"/>
                </w:tcPr>
                <w:p w14:paraId="4F4E94E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sz w:val="21"/>
                      <w:szCs w:val="21"/>
                    </w:rPr>
                  </w:pPr>
                  <w:r>
                    <w:rPr>
                      <w:rFonts w:hint="eastAsia" w:cs="Times New Roman"/>
                      <w:color w:val="auto"/>
                      <w:sz w:val="21"/>
                      <w:szCs w:val="21"/>
                      <w:lang w:val="en-US" w:eastAsia="zh-CN"/>
                    </w:rPr>
                    <w:t>400</w:t>
                  </w:r>
                </w:p>
              </w:tc>
              <w:tc>
                <w:tcPr>
                  <w:tcW w:w="1030" w:type="dxa"/>
                  <w:vAlign w:val="center"/>
                </w:tcPr>
                <w:p w14:paraId="55D0169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sz w:val="21"/>
                      <w:szCs w:val="21"/>
                    </w:rPr>
                  </w:pPr>
                  <w:r>
                    <w:rPr>
                      <w:rFonts w:hint="eastAsia" w:cs="Times New Roman"/>
                      <w:color w:val="auto"/>
                      <w:sz w:val="21"/>
                      <w:szCs w:val="21"/>
                      <w:lang w:val="en-US" w:eastAsia="zh-CN"/>
                    </w:rPr>
                    <w:t>200</w:t>
                  </w:r>
                </w:p>
              </w:tc>
              <w:tc>
                <w:tcPr>
                  <w:tcW w:w="1042" w:type="dxa"/>
                  <w:vAlign w:val="center"/>
                </w:tcPr>
                <w:p w14:paraId="57EDF5E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sz w:val="21"/>
                      <w:szCs w:val="21"/>
                    </w:rPr>
                  </w:pPr>
                  <w:r>
                    <w:rPr>
                      <w:rFonts w:hint="eastAsia" w:cs="Times New Roman"/>
                      <w:color w:val="auto"/>
                      <w:sz w:val="21"/>
                      <w:szCs w:val="21"/>
                      <w:lang w:val="en-US" w:eastAsia="zh-CN"/>
                    </w:rPr>
                    <w:t>35</w:t>
                  </w:r>
                </w:p>
              </w:tc>
              <w:tc>
                <w:tcPr>
                  <w:tcW w:w="1148" w:type="dxa"/>
                  <w:vAlign w:val="center"/>
                </w:tcPr>
                <w:p w14:paraId="5D22F6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auto"/>
                      <w:sz w:val="21"/>
                      <w:szCs w:val="21"/>
                    </w:rPr>
                  </w:pPr>
                  <w:r>
                    <w:rPr>
                      <w:rFonts w:hint="eastAsia" w:cs="Times New Roman"/>
                      <w:color w:val="auto"/>
                      <w:sz w:val="21"/>
                      <w:szCs w:val="21"/>
                      <w:lang w:val="en-US" w:eastAsia="zh-CN"/>
                    </w:rPr>
                    <w:t>160</w:t>
                  </w:r>
                </w:p>
              </w:tc>
            </w:tr>
            <w:tr w14:paraId="1B67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73" w:type="dxa"/>
                  <w:vAlign w:val="center"/>
                </w:tcPr>
                <w:p w14:paraId="3942975C">
                  <w:pPr>
                    <w:pStyle w:val="31"/>
                    <w:snapToGrid/>
                    <w:spacing w:line="240" w:lineRule="auto"/>
                    <w:ind w:firstLine="0" w:firstLineChars="0"/>
                    <w:jc w:val="center"/>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本项目执行</w:t>
                  </w:r>
                </w:p>
              </w:tc>
              <w:tc>
                <w:tcPr>
                  <w:tcW w:w="1346" w:type="dxa"/>
                  <w:vAlign w:val="center"/>
                </w:tcPr>
                <w:p w14:paraId="554FE229">
                  <w:pPr>
                    <w:pStyle w:val="31"/>
                    <w:snapToGrid/>
                    <w:spacing w:line="240" w:lineRule="auto"/>
                    <w:ind w:firstLine="0" w:firstLineChars="0"/>
                    <w:jc w:val="center"/>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6~9</w:t>
                  </w:r>
                </w:p>
              </w:tc>
              <w:tc>
                <w:tcPr>
                  <w:tcW w:w="997" w:type="dxa"/>
                  <w:vAlign w:val="center"/>
                </w:tcPr>
                <w:p w14:paraId="608F0058">
                  <w:pPr>
                    <w:pStyle w:val="31"/>
                    <w:snapToGrid/>
                    <w:spacing w:line="240" w:lineRule="auto"/>
                    <w:ind w:firstLine="0" w:firstLineChars="0"/>
                    <w:jc w:val="center"/>
                    <w:rPr>
                      <w:rFonts w:hint="default" w:ascii="Times New Roman" w:hAnsi="Times New Roman" w:cs="Times New Roman" w:eastAsiaTheme="minorEastAsia"/>
                      <w:color w:val="auto"/>
                      <w:sz w:val="21"/>
                      <w:szCs w:val="21"/>
                    </w:rPr>
                  </w:pPr>
                  <w:r>
                    <w:rPr>
                      <w:rFonts w:hint="eastAsia" w:cs="Times New Roman"/>
                      <w:color w:val="auto"/>
                      <w:sz w:val="21"/>
                      <w:szCs w:val="21"/>
                      <w:lang w:val="en-US" w:eastAsia="zh-CN"/>
                    </w:rPr>
                    <w:t>400</w:t>
                  </w:r>
                </w:p>
              </w:tc>
              <w:tc>
                <w:tcPr>
                  <w:tcW w:w="1030" w:type="dxa"/>
                  <w:vAlign w:val="center"/>
                </w:tcPr>
                <w:p w14:paraId="091CB369">
                  <w:pPr>
                    <w:pStyle w:val="31"/>
                    <w:snapToGrid/>
                    <w:spacing w:line="240" w:lineRule="auto"/>
                    <w:ind w:firstLine="0" w:firstLineChars="0"/>
                    <w:jc w:val="center"/>
                    <w:rPr>
                      <w:rFonts w:hint="default" w:ascii="Times New Roman" w:hAnsi="Times New Roman" w:cs="Times New Roman" w:eastAsiaTheme="minorEastAsia"/>
                      <w:color w:val="auto"/>
                      <w:sz w:val="21"/>
                      <w:szCs w:val="21"/>
                    </w:rPr>
                  </w:pPr>
                  <w:r>
                    <w:rPr>
                      <w:rFonts w:hint="eastAsia" w:cs="Times New Roman"/>
                      <w:color w:val="auto"/>
                      <w:sz w:val="21"/>
                      <w:szCs w:val="21"/>
                      <w:lang w:val="en-US" w:eastAsia="zh-CN"/>
                    </w:rPr>
                    <w:t>200</w:t>
                  </w:r>
                </w:p>
              </w:tc>
              <w:tc>
                <w:tcPr>
                  <w:tcW w:w="1042" w:type="dxa"/>
                  <w:vAlign w:val="center"/>
                </w:tcPr>
                <w:p w14:paraId="73483043">
                  <w:pPr>
                    <w:pStyle w:val="31"/>
                    <w:snapToGrid/>
                    <w:spacing w:line="240" w:lineRule="auto"/>
                    <w:ind w:firstLine="0" w:firstLineChars="0"/>
                    <w:jc w:val="center"/>
                    <w:rPr>
                      <w:rFonts w:hint="default" w:ascii="Times New Roman" w:hAnsi="Times New Roman" w:cs="Times New Roman" w:eastAsiaTheme="minorEastAsia"/>
                      <w:color w:val="auto"/>
                      <w:sz w:val="21"/>
                      <w:szCs w:val="21"/>
                    </w:rPr>
                  </w:pPr>
                  <w:r>
                    <w:rPr>
                      <w:rFonts w:hint="eastAsia" w:cs="Times New Roman"/>
                      <w:color w:val="auto"/>
                      <w:sz w:val="21"/>
                      <w:szCs w:val="21"/>
                      <w:lang w:val="en-US" w:eastAsia="zh-CN"/>
                    </w:rPr>
                    <w:t>35</w:t>
                  </w:r>
                </w:p>
              </w:tc>
              <w:tc>
                <w:tcPr>
                  <w:tcW w:w="1148" w:type="dxa"/>
                  <w:vAlign w:val="center"/>
                </w:tcPr>
                <w:p w14:paraId="239064A2">
                  <w:pPr>
                    <w:pStyle w:val="31"/>
                    <w:snapToGrid/>
                    <w:spacing w:line="240" w:lineRule="auto"/>
                    <w:ind w:firstLine="0" w:firstLineChars="0"/>
                    <w:jc w:val="center"/>
                    <w:rPr>
                      <w:rFonts w:hint="default" w:ascii="Times New Roman" w:hAnsi="Times New Roman" w:cs="Times New Roman" w:eastAsiaTheme="minorEastAsia"/>
                      <w:color w:val="auto"/>
                      <w:sz w:val="21"/>
                      <w:szCs w:val="21"/>
                    </w:rPr>
                  </w:pPr>
                  <w:r>
                    <w:rPr>
                      <w:rFonts w:hint="eastAsia" w:cs="Times New Roman"/>
                      <w:color w:val="auto"/>
                      <w:sz w:val="21"/>
                      <w:szCs w:val="21"/>
                      <w:lang w:val="en-US" w:eastAsia="zh-CN"/>
                    </w:rPr>
                    <w:t>160</w:t>
                  </w:r>
                </w:p>
              </w:tc>
            </w:tr>
          </w:tbl>
          <w:p w14:paraId="0E1A3145">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left"/>
              <w:textAlignment w:val="auto"/>
              <w:rPr>
                <w:rFonts w:hint="default" w:ascii="Times New Roman" w:hAnsi="Times New Roman" w:eastAsia="宋体" w:cs="Times New Roman"/>
                <w:b/>
                <w:bCs/>
                <w:kern w:val="0"/>
                <w:sz w:val="24"/>
                <w:szCs w:val="24"/>
                <w:highlight w:val="none"/>
                <w:shd w:val="clear" w:color="auto" w:fill="auto"/>
              </w:rPr>
            </w:pPr>
            <w:r>
              <w:rPr>
                <w:rFonts w:hint="eastAsia" w:cs="Times New Roman"/>
                <w:b/>
                <w:bCs/>
                <w:kern w:val="0"/>
                <w:sz w:val="24"/>
                <w:szCs w:val="24"/>
                <w:highlight w:val="none"/>
                <w:shd w:val="clear" w:color="auto" w:fill="auto"/>
                <w:lang w:eastAsia="zh-CN"/>
              </w:rPr>
              <w:t>2.</w:t>
            </w:r>
            <w:r>
              <w:rPr>
                <w:rFonts w:hint="default" w:ascii="Times New Roman" w:hAnsi="Times New Roman" w:eastAsia="宋体" w:cs="Times New Roman"/>
                <w:b/>
                <w:bCs/>
                <w:kern w:val="0"/>
                <w:sz w:val="24"/>
                <w:szCs w:val="24"/>
                <w:highlight w:val="none"/>
                <w:shd w:val="clear" w:color="auto" w:fill="auto"/>
              </w:rPr>
              <w:t>大气污染物排放标准</w:t>
            </w:r>
          </w:p>
          <w:p w14:paraId="7A73D9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olor w:val="auto"/>
                <w:sz w:val="24"/>
                <w:lang w:eastAsia="zh-CN"/>
              </w:rPr>
            </w:pPr>
            <w:r>
              <w:rPr>
                <w:rFonts w:hint="eastAsia" w:ascii="Times New Roman" w:hAnsi="Times New Roman"/>
                <w:color w:val="auto"/>
                <w:sz w:val="24"/>
              </w:rPr>
              <w:t>项目</w:t>
            </w:r>
            <w:r>
              <w:rPr>
                <w:rFonts w:hint="eastAsia"/>
                <w:color w:val="auto"/>
                <w:sz w:val="24"/>
                <w:lang w:eastAsia="zh-CN"/>
              </w:rPr>
              <w:t>混料、</w:t>
            </w:r>
            <w:r>
              <w:rPr>
                <w:rFonts w:hint="eastAsia" w:cs="Times New Roman"/>
                <w:color w:val="000000" w:themeColor="text1"/>
                <w:kern w:val="2"/>
                <w:sz w:val="24"/>
                <w:szCs w:val="24"/>
                <w:lang w:val="en-US" w:eastAsia="zh-CN" w:bidi="ar-SA"/>
                <w14:textFill>
                  <w14:solidFill>
                    <w14:schemeClr w14:val="tx1"/>
                  </w14:solidFill>
                </w14:textFill>
              </w:rPr>
              <w:t>牵引切割、精确切割</w:t>
            </w:r>
            <w:r>
              <w:rPr>
                <w:rFonts w:hint="eastAsia"/>
                <w:color w:val="auto"/>
                <w:sz w:val="24"/>
                <w:lang w:eastAsia="zh-CN"/>
              </w:rPr>
              <w:t>、砂光打磨工艺产生的污染物为</w:t>
            </w:r>
            <w:r>
              <w:rPr>
                <w:rFonts w:hint="eastAsia"/>
                <w:b/>
                <w:bCs/>
                <w:color w:val="auto"/>
                <w:sz w:val="24"/>
                <w:lang w:eastAsia="zh-CN"/>
              </w:rPr>
              <w:t>颗粒物</w:t>
            </w:r>
            <w:r>
              <w:rPr>
                <w:rFonts w:hint="eastAsia"/>
                <w:color w:val="auto"/>
                <w:sz w:val="24"/>
                <w:lang w:eastAsia="zh-CN"/>
              </w:rPr>
              <w:t>，熔融</w:t>
            </w:r>
            <w:r>
              <w:rPr>
                <w:rFonts w:hint="eastAsia" w:cs="Times New Roman"/>
                <w:b w:val="0"/>
                <w:bCs w:val="0"/>
                <w:color w:val="auto"/>
                <w:sz w:val="24"/>
                <w:szCs w:val="24"/>
                <w:lang w:val="en-US" w:eastAsia="zh-CN"/>
              </w:rPr>
              <w:t>挤出</w:t>
            </w:r>
            <w:r>
              <w:rPr>
                <w:rFonts w:hint="eastAsia"/>
                <w:color w:val="auto"/>
                <w:sz w:val="24"/>
                <w:lang w:eastAsia="zh-CN"/>
              </w:rPr>
              <w:t>工艺产生的污染物为</w:t>
            </w:r>
            <w:r>
              <w:rPr>
                <w:rFonts w:hint="eastAsia" w:cs="Times New Roman"/>
                <w:b/>
                <w:bCs/>
                <w:color w:val="auto"/>
                <w:kern w:val="2"/>
                <w:sz w:val="24"/>
                <w:szCs w:val="24"/>
                <w:lang w:val="en-US" w:eastAsia="zh-CN" w:bidi="ar-SA"/>
              </w:rPr>
              <w:t>氯乙烯、</w:t>
            </w:r>
            <w:r>
              <w:rPr>
                <w:rFonts w:hint="eastAsia" w:cs="Times New Roman"/>
                <w:b/>
                <w:bCs/>
                <w:color w:val="auto"/>
                <w:sz w:val="24"/>
                <w:szCs w:val="24"/>
                <w:lang w:val="en-US" w:eastAsia="zh-CN"/>
              </w:rPr>
              <w:t>非甲烷总烃、</w:t>
            </w:r>
            <w:r>
              <w:rPr>
                <w:rFonts w:hint="eastAsia" w:cs="Times New Roman"/>
                <w:b/>
                <w:bCs/>
                <w:color w:val="auto"/>
                <w:kern w:val="2"/>
                <w:sz w:val="24"/>
                <w:szCs w:val="24"/>
                <w:lang w:val="en-US" w:eastAsia="zh-CN" w:bidi="ar-SA"/>
              </w:rPr>
              <w:t>氯化氢</w:t>
            </w:r>
            <w:r>
              <w:rPr>
                <w:rFonts w:hint="eastAsia"/>
                <w:color w:val="auto"/>
                <w:sz w:val="24"/>
                <w:lang w:eastAsia="zh-CN"/>
              </w:rPr>
              <w:t>。</w:t>
            </w:r>
          </w:p>
          <w:p w14:paraId="31B113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snapToGrid/>
                <w:color w:val="auto"/>
                <w:spacing w:val="0"/>
                <w:kern w:val="0"/>
                <w:position w:val="0"/>
                <w:sz w:val="24"/>
                <w:szCs w:val="24"/>
                <w:lang w:val="en-US" w:eastAsia="zh-CN"/>
              </w:rPr>
            </w:pPr>
            <w:r>
              <w:rPr>
                <w:rFonts w:hint="eastAsia"/>
                <w:color w:val="auto"/>
                <w:sz w:val="24"/>
                <w:lang w:eastAsia="zh-CN"/>
              </w:rPr>
              <w:t>混料、</w:t>
            </w:r>
            <w:r>
              <w:rPr>
                <w:rFonts w:hint="eastAsia" w:cs="Times New Roman"/>
                <w:color w:val="000000" w:themeColor="text1"/>
                <w:kern w:val="2"/>
                <w:sz w:val="24"/>
                <w:szCs w:val="24"/>
                <w:lang w:val="en-US" w:eastAsia="zh-CN" w:bidi="ar-SA"/>
                <w14:textFill>
                  <w14:solidFill>
                    <w14:schemeClr w14:val="tx1"/>
                  </w14:solidFill>
                </w14:textFill>
              </w:rPr>
              <w:t>牵引切割、精确切割</w:t>
            </w:r>
            <w:r>
              <w:rPr>
                <w:rFonts w:hint="eastAsia"/>
                <w:color w:val="auto"/>
                <w:sz w:val="24"/>
                <w:lang w:eastAsia="zh-CN"/>
              </w:rPr>
              <w:t>、砂光打磨废气</w:t>
            </w:r>
            <w:r>
              <w:rPr>
                <w:rFonts w:hint="eastAsia" w:cs="Times New Roman"/>
                <w:b w:val="0"/>
                <w:bCs w:val="0"/>
                <w:color w:val="auto"/>
                <w:sz w:val="24"/>
                <w:szCs w:val="24"/>
                <w:lang w:val="en-US" w:eastAsia="zh-CN"/>
              </w:rPr>
              <w:t>所产生的</w:t>
            </w:r>
            <w:r>
              <w:rPr>
                <w:rFonts w:hint="eastAsia"/>
                <w:b/>
                <w:bCs/>
                <w:color w:val="auto"/>
                <w:sz w:val="24"/>
                <w:lang w:eastAsia="zh-CN"/>
              </w:rPr>
              <w:t>颗粒物</w:t>
            </w:r>
            <w:r>
              <w:rPr>
                <w:rFonts w:hint="eastAsia"/>
                <w:color w:val="auto"/>
                <w:sz w:val="24"/>
                <w:lang w:eastAsia="zh-CN"/>
              </w:rPr>
              <w:t>执行</w:t>
            </w:r>
            <w:r>
              <w:rPr>
                <w:rFonts w:hint="default" w:ascii="Times New Roman" w:hAnsi="Times New Roman" w:eastAsia="宋体" w:cs="Times New Roman"/>
                <w:snapToGrid/>
                <w:color w:val="auto"/>
                <w:spacing w:val="0"/>
                <w:kern w:val="0"/>
                <w:position w:val="0"/>
                <w:sz w:val="24"/>
                <w:szCs w:val="24"/>
                <w:lang w:val="en-US" w:eastAsia="zh-CN"/>
              </w:rPr>
              <w:t>《合成树脂工业污染物排放标准》（GB</w:t>
            </w:r>
            <w:r>
              <w:rPr>
                <w:rFonts w:hint="eastAsia" w:ascii="Times New Roman" w:hAnsi="Times New Roman" w:eastAsia="宋体" w:cs="Times New Roman"/>
                <w:snapToGrid/>
                <w:color w:val="auto"/>
                <w:spacing w:val="0"/>
                <w:kern w:val="0"/>
                <w:position w:val="0"/>
                <w:sz w:val="24"/>
                <w:szCs w:val="24"/>
                <w:lang w:val="en-US" w:eastAsia="zh-CN"/>
              </w:rPr>
              <w:t>31572</w:t>
            </w:r>
            <w:r>
              <w:rPr>
                <w:rFonts w:hint="default" w:ascii="Times New Roman" w:hAnsi="Times New Roman" w:eastAsia="宋体" w:cs="Times New Roman"/>
                <w:snapToGrid/>
                <w:color w:val="auto"/>
                <w:spacing w:val="0"/>
                <w:kern w:val="0"/>
                <w:position w:val="0"/>
                <w:sz w:val="24"/>
                <w:szCs w:val="24"/>
                <w:lang w:val="en-US" w:eastAsia="zh-CN"/>
              </w:rPr>
              <w:t>-</w:t>
            </w:r>
            <w:r>
              <w:rPr>
                <w:rFonts w:hint="eastAsia" w:ascii="Times New Roman" w:hAnsi="Times New Roman" w:eastAsia="宋体" w:cs="Times New Roman"/>
                <w:snapToGrid/>
                <w:color w:val="auto"/>
                <w:spacing w:val="0"/>
                <w:kern w:val="0"/>
                <w:position w:val="0"/>
                <w:sz w:val="24"/>
                <w:szCs w:val="24"/>
                <w:lang w:val="en-US" w:eastAsia="zh-CN"/>
              </w:rPr>
              <w:t>2015</w:t>
            </w:r>
            <w:r>
              <w:rPr>
                <w:rFonts w:hint="default" w:ascii="Times New Roman" w:hAnsi="Times New Roman" w:eastAsia="宋体" w:cs="Times New Roman"/>
                <w:snapToGrid/>
                <w:color w:val="auto"/>
                <w:spacing w:val="0"/>
                <w:kern w:val="0"/>
                <w:position w:val="0"/>
                <w:sz w:val="24"/>
                <w:szCs w:val="24"/>
                <w:lang w:val="en-US" w:eastAsia="zh-CN"/>
              </w:rPr>
              <w:t>）</w:t>
            </w:r>
            <w:r>
              <w:rPr>
                <w:rFonts w:hint="eastAsia" w:ascii="Times New Roman" w:hAnsi="Times New Roman" w:eastAsia="宋体" w:cs="Times New Roman"/>
                <w:snapToGrid/>
                <w:color w:val="auto"/>
                <w:spacing w:val="0"/>
                <w:kern w:val="0"/>
                <w:position w:val="0"/>
                <w:sz w:val="24"/>
                <w:szCs w:val="24"/>
                <w:lang w:val="en-US" w:eastAsia="zh-CN"/>
              </w:rPr>
              <w:t>表4</w:t>
            </w:r>
            <w:r>
              <w:rPr>
                <w:rFonts w:hint="eastAsia" w:ascii="Times New Roman" w:hAnsi="Times New Roman"/>
                <w:color w:val="auto"/>
                <w:sz w:val="24"/>
              </w:rPr>
              <w:t>中</w:t>
            </w:r>
            <w:r>
              <w:rPr>
                <w:rFonts w:hint="eastAsia"/>
                <w:color w:val="auto"/>
                <w:sz w:val="24"/>
                <w:lang w:eastAsia="zh-CN"/>
              </w:rPr>
              <w:t>排放</w:t>
            </w:r>
            <w:r>
              <w:rPr>
                <w:rFonts w:hint="eastAsia" w:ascii="Times New Roman" w:hAnsi="Times New Roman"/>
                <w:color w:val="auto"/>
                <w:sz w:val="24"/>
              </w:rPr>
              <w:t>限值要求</w:t>
            </w:r>
            <w:r>
              <w:rPr>
                <w:rFonts w:hint="eastAsia"/>
                <w:color w:val="auto"/>
                <w:sz w:val="24"/>
                <w:lang w:eastAsia="zh-CN"/>
              </w:rPr>
              <w:t>；</w:t>
            </w:r>
            <w:r>
              <w:rPr>
                <w:rFonts w:hint="eastAsia" w:cs="Times New Roman"/>
                <w:b w:val="0"/>
                <w:bCs w:val="0"/>
                <w:color w:val="auto"/>
                <w:sz w:val="24"/>
                <w:szCs w:val="24"/>
                <w:lang w:val="en-US" w:eastAsia="zh-CN"/>
              </w:rPr>
              <w:t>融熔挤出废气所产生的</w:t>
            </w:r>
            <w:r>
              <w:rPr>
                <w:rFonts w:hint="eastAsia" w:cs="Times New Roman"/>
                <w:b/>
                <w:bCs/>
                <w:color w:val="auto"/>
                <w:sz w:val="24"/>
                <w:szCs w:val="24"/>
                <w:lang w:val="en-US" w:eastAsia="zh-CN"/>
              </w:rPr>
              <w:t>非甲烷总烃</w:t>
            </w:r>
            <w:r>
              <w:rPr>
                <w:rFonts w:hint="eastAsia"/>
                <w:color w:val="auto"/>
                <w:sz w:val="24"/>
                <w:lang w:eastAsia="zh-CN"/>
              </w:rPr>
              <w:t>执行《固定源挥发性有机物综合排放标准第6部分：其他行业》（DB34/4812.6-2024）表</w:t>
            </w:r>
            <w:r>
              <w:rPr>
                <w:rFonts w:hint="eastAsia"/>
                <w:color w:val="auto"/>
                <w:sz w:val="24"/>
                <w:lang w:val="en-US" w:eastAsia="zh-CN"/>
              </w:rPr>
              <w:t>1中塑料制品工业污染物排放限值；</w:t>
            </w:r>
            <w:r>
              <w:rPr>
                <w:rFonts w:hint="eastAsia" w:cs="Times New Roman"/>
                <w:b w:val="0"/>
                <w:bCs w:val="0"/>
                <w:color w:val="auto"/>
                <w:sz w:val="24"/>
                <w:szCs w:val="24"/>
                <w:lang w:val="en-US" w:eastAsia="zh-CN"/>
              </w:rPr>
              <w:t>融熔挤出废气所产生的</w:t>
            </w:r>
            <w:r>
              <w:rPr>
                <w:rFonts w:hint="eastAsia" w:cs="Times New Roman"/>
                <w:b/>
                <w:bCs/>
                <w:color w:val="auto"/>
                <w:kern w:val="2"/>
                <w:sz w:val="24"/>
                <w:szCs w:val="24"/>
                <w:lang w:val="en-US" w:eastAsia="zh-CN" w:bidi="ar-SA"/>
              </w:rPr>
              <w:t>氯化氢</w:t>
            </w:r>
            <w:r>
              <w:rPr>
                <w:rFonts w:hint="eastAsia"/>
                <w:color w:val="auto"/>
                <w:sz w:val="24"/>
                <w:lang w:eastAsia="zh-CN"/>
              </w:rPr>
              <w:t>执行</w:t>
            </w:r>
            <w:r>
              <w:rPr>
                <w:rFonts w:hint="default" w:ascii="Times New Roman" w:hAnsi="Times New Roman" w:eastAsia="宋体" w:cs="Times New Roman"/>
                <w:snapToGrid/>
                <w:color w:val="auto"/>
                <w:spacing w:val="0"/>
                <w:kern w:val="0"/>
                <w:position w:val="0"/>
                <w:sz w:val="24"/>
                <w:szCs w:val="24"/>
                <w:lang w:val="en-US" w:eastAsia="zh-CN"/>
              </w:rPr>
              <w:t>《合成树脂工业污染物排放标准》（GB</w:t>
            </w:r>
            <w:r>
              <w:rPr>
                <w:rFonts w:hint="eastAsia" w:ascii="Times New Roman" w:hAnsi="Times New Roman" w:eastAsia="宋体" w:cs="Times New Roman"/>
                <w:snapToGrid/>
                <w:color w:val="auto"/>
                <w:spacing w:val="0"/>
                <w:kern w:val="0"/>
                <w:position w:val="0"/>
                <w:sz w:val="24"/>
                <w:szCs w:val="24"/>
                <w:lang w:val="en-US" w:eastAsia="zh-CN"/>
              </w:rPr>
              <w:t>31572</w:t>
            </w:r>
            <w:r>
              <w:rPr>
                <w:rFonts w:hint="default" w:ascii="Times New Roman" w:hAnsi="Times New Roman" w:eastAsia="宋体" w:cs="Times New Roman"/>
                <w:snapToGrid/>
                <w:color w:val="auto"/>
                <w:spacing w:val="0"/>
                <w:kern w:val="0"/>
                <w:position w:val="0"/>
                <w:sz w:val="24"/>
                <w:szCs w:val="24"/>
                <w:lang w:val="en-US" w:eastAsia="zh-CN"/>
              </w:rPr>
              <w:t>-</w:t>
            </w:r>
            <w:r>
              <w:rPr>
                <w:rFonts w:hint="eastAsia" w:ascii="Times New Roman" w:hAnsi="Times New Roman" w:eastAsia="宋体" w:cs="Times New Roman"/>
                <w:snapToGrid/>
                <w:color w:val="auto"/>
                <w:spacing w:val="0"/>
                <w:kern w:val="0"/>
                <w:position w:val="0"/>
                <w:sz w:val="24"/>
                <w:szCs w:val="24"/>
                <w:lang w:val="en-US" w:eastAsia="zh-CN"/>
              </w:rPr>
              <w:t>2015</w:t>
            </w:r>
            <w:r>
              <w:rPr>
                <w:rFonts w:hint="default" w:ascii="Times New Roman" w:hAnsi="Times New Roman" w:eastAsia="宋体" w:cs="Times New Roman"/>
                <w:snapToGrid/>
                <w:color w:val="auto"/>
                <w:spacing w:val="0"/>
                <w:kern w:val="0"/>
                <w:position w:val="0"/>
                <w:sz w:val="24"/>
                <w:szCs w:val="24"/>
                <w:lang w:val="en-US" w:eastAsia="zh-CN"/>
              </w:rPr>
              <w:t>）</w:t>
            </w:r>
            <w:r>
              <w:rPr>
                <w:rFonts w:hint="eastAsia" w:ascii="Times New Roman" w:hAnsi="Times New Roman" w:eastAsia="宋体" w:cs="Times New Roman"/>
                <w:snapToGrid/>
                <w:color w:val="auto"/>
                <w:spacing w:val="0"/>
                <w:kern w:val="0"/>
                <w:position w:val="0"/>
                <w:sz w:val="24"/>
                <w:szCs w:val="24"/>
                <w:lang w:val="en-US" w:eastAsia="zh-CN"/>
              </w:rPr>
              <w:t>表4中污染物排放限值；</w:t>
            </w:r>
            <w:r>
              <w:rPr>
                <w:rFonts w:hint="eastAsia" w:cs="Times New Roman"/>
                <w:b w:val="0"/>
                <w:bCs w:val="0"/>
                <w:color w:val="auto"/>
                <w:sz w:val="24"/>
                <w:szCs w:val="24"/>
                <w:lang w:val="en-US" w:eastAsia="zh-CN"/>
              </w:rPr>
              <w:t>融熔挤出废气所产生的</w:t>
            </w:r>
            <w:r>
              <w:rPr>
                <w:rFonts w:hint="eastAsia" w:cs="Times New Roman"/>
                <w:b/>
                <w:bCs/>
                <w:color w:val="auto"/>
                <w:kern w:val="2"/>
                <w:sz w:val="24"/>
                <w:szCs w:val="24"/>
                <w:lang w:val="en-US" w:eastAsia="zh-CN" w:bidi="ar-SA"/>
              </w:rPr>
              <w:t>氯乙烯</w:t>
            </w:r>
            <w:r>
              <w:rPr>
                <w:rFonts w:hint="eastAsia"/>
                <w:color w:val="auto"/>
                <w:sz w:val="24"/>
                <w:lang w:eastAsia="zh-CN"/>
              </w:rPr>
              <w:t>执行《固定源挥发性有机物综合排放标准第6部分：其他行业》（DB34/4812.6-2024）表</w:t>
            </w:r>
            <w:r>
              <w:rPr>
                <w:rFonts w:hint="eastAsia"/>
                <w:color w:val="auto"/>
                <w:sz w:val="24"/>
                <w:lang w:val="en-US" w:eastAsia="zh-CN"/>
              </w:rPr>
              <w:t>2中污染物排放限值</w:t>
            </w:r>
            <w:r>
              <w:rPr>
                <w:rFonts w:hint="eastAsia" w:ascii="Times New Roman" w:hAnsi="Times New Roman" w:eastAsia="宋体" w:cs="Times New Roman"/>
                <w:snapToGrid/>
                <w:color w:val="auto"/>
                <w:spacing w:val="0"/>
                <w:kern w:val="0"/>
                <w:position w:val="0"/>
                <w:sz w:val="24"/>
                <w:szCs w:val="24"/>
                <w:lang w:val="en-US" w:eastAsia="zh-CN"/>
              </w:rPr>
              <w:t>。</w:t>
            </w:r>
          </w:p>
          <w:p w14:paraId="136AE24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eastAsia="宋体"/>
                <w:color w:val="auto"/>
                <w:lang w:val="en-US" w:eastAsia="zh-CN"/>
              </w:rPr>
            </w:pPr>
            <w:r>
              <w:rPr>
                <w:rFonts w:hint="eastAsia" w:ascii="Times New Roman" w:hAnsi="Times New Roman" w:eastAsia="宋体" w:cs="Times New Roman"/>
                <w:b/>
                <w:bCs/>
                <w:snapToGrid/>
                <w:color w:val="auto"/>
                <w:spacing w:val="0"/>
                <w:kern w:val="0"/>
                <w:position w:val="0"/>
                <w:sz w:val="24"/>
                <w:szCs w:val="24"/>
                <w:lang w:val="en-US" w:eastAsia="zh-CN"/>
              </w:rPr>
              <w:t>颗粒物</w:t>
            </w:r>
            <w:r>
              <w:rPr>
                <w:rFonts w:hint="eastAsia" w:ascii="Times New Roman" w:hAnsi="Times New Roman" w:eastAsia="宋体" w:cs="Times New Roman"/>
                <w:snapToGrid/>
                <w:color w:val="auto"/>
                <w:spacing w:val="0"/>
                <w:kern w:val="0"/>
                <w:position w:val="0"/>
                <w:sz w:val="24"/>
                <w:szCs w:val="24"/>
                <w:lang w:val="en-US" w:eastAsia="zh-CN"/>
              </w:rPr>
              <w:t>无组织排放执行《合成树脂工业污染物排放标准》（GB31572-2015）表9中污染物排放限值；</w:t>
            </w:r>
            <w:r>
              <w:rPr>
                <w:rFonts w:hint="eastAsia" w:ascii="Times New Roman" w:hAnsi="Times New Roman" w:eastAsia="宋体" w:cs="Times New Roman"/>
                <w:b/>
                <w:bCs/>
                <w:snapToGrid/>
                <w:color w:val="auto"/>
                <w:spacing w:val="0"/>
                <w:kern w:val="0"/>
                <w:position w:val="0"/>
                <w:sz w:val="24"/>
                <w:szCs w:val="24"/>
                <w:lang w:val="en-US" w:eastAsia="zh-CN"/>
              </w:rPr>
              <w:t>非甲烷总烃</w:t>
            </w:r>
            <w:r>
              <w:rPr>
                <w:rFonts w:hint="eastAsia" w:ascii="Times New Roman" w:hAnsi="Times New Roman" w:eastAsia="宋体" w:cs="Times New Roman"/>
                <w:snapToGrid/>
                <w:color w:val="auto"/>
                <w:spacing w:val="0"/>
                <w:kern w:val="0"/>
                <w:position w:val="0"/>
                <w:sz w:val="24"/>
                <w:szCs w:val="24"/>
                <w:lang w:val="en-US" w:eastAsia="zh-CN"/>
              </w:rPr>
              <w:t>无组织排放执行《大气污染物综合排放标准》（GB16297-1996）中无组织排放限值；</w:t>
            </w:r>
            <w:r>
              <w:rPr>
                <w:rFonts w:hint="eastAsia" w:ascii="Times New Roman" w:hAnsi="Times New Roman" w:eastAsia="宋体" w:cs="Times New Roman"/>
                <w:b/>
                <w:bCs/>
                <w:color w:val="auto"/>
                <w:sz w:val="24"/>
                <w:szCs w:val="24"/>
                <w:lang w:val="en-US" w:eastAsia="zh-CN"/>
              </w:rPr>
              <w:t>氯乙烯</w:t>
            </w:r>
            <w:r>
              <w:rPr>
                <w:rFonts w:hint="eastAsia" w:ascii="Times New Roman" w:hAnsi="Times New Roman" w:eastAsia="宋体" w:cs="Times New Roman"/>
                <w:snapToGrid/>
                <w:color w:val="auto"/>
                <w:spacing w:val="0"/>
                <w:kern w:val="0"/>
                <w:position w:val="0"/>
                <w:sz w:val="24"/>
                <w:szCs w:val="24"/>
                <w:lang w:val="en-US" w:eastAsia="zh-CN"/>
              </w:rPr>
              <w:t>无组织排放执行《固定源挥发性有机物综合排放标准第6部分：其他行业》（DB34/4812.6-2024）表5中的标准限值；</w:t>
            </w:r>
            <w:r>
              <w:rPr>
                <w:rFonts w:hint="eastAsia" w:ascii="Times New Roman" w:hAnsi="Times New Roman" w:eastAsia="宋体" w:cs="Times New Roman"/>
                <w:b/>
                <w:bCs/>
                <w:color w:val="auto"/>
                <w:sz w:val="24"/>
                <w:szCs w:val="24"/>
                <w:lang w:val="en-US" w:eastAsia="zh-CN"/>
              </w:rPr>
              <w:t>氯化氢</w:t>
            </w:r>
            <w:r>
              <w:rPr>
                <w:rFonts w:hint="eastAsia" w:ascii="Times New Roman" w:hAnsi="Times New Roman" w:eastAsia="宋体" w:cs="Times New Roman"/>
                <w:snapToGrid/>
                <w:color w:val="auto"/>
                <w:spacing w:val="0"/>
                <w:kern w:val="0"/>
                <w:position w:val="0"/>
                <w:sz w:val="24"/>
                <w:szCs w:val="24"/>
                <w:lang w:val="en-US" w:eastAsia="zh-CN"/>
              </w:rPr>
              <w:t>无组织排放执行《合成树脂工业污染物排放标准》（GB31572-2015）表9中污染物排放限值；</w:t>
            </w:r>
            <w:r>
              <w:rPr>
                <w:rFonts w:hint="eastAsia" w:ascii="Times New Roman" w:hAnsi="Times New Roman" w:eastAsia="宋体" w:cs="Times New Roman"/>
                <w:b/>
                <w:bCs/>
                <w:snapToGrid/>
                <w:color w:val="auto"/>
                <w:spacing w:val="0"/>
                <w:kern w:val="0"/>
                <w:position w:val="0"/>
                <w:sz w:val="24"/>
                <w:szCs w:val="24"/>
                <w:lang w:val="en-US" w:eastAsia="zh-CN"/>
              </w:rPr>
              <w:t>非甲烷总烃</w:t>
            </w:r>
            <w:r>
              <w:rPr>
                <w:rFonts w:hint="eastAsia" w:ascii="Times New Roman" w:hAnsi="Times New Roman" w:eastAsia="宋体" w:cs="Times New Roman"/>
                <w:snapToGrid/>
                <w:color w:val="auto"/>
                <w:spacing w:val="0"/>
                <w:kern w:val="0"/>
                <w:position w:val="0"/>
                <w:sz w:val="24"/>
                <w:szCs w:val="24"/>
                <w:lang w:val="en-US" w:eastAsia="zh-CN"/>
              </w:rPr>
              <w:t>厂区内无组织排放执行《固定源挥发性有机物综合排放标准第6部分：其他行业》（DB34/4812.6-2024）表4中污染物排放限值；</w:t>
            </w:r>
            <w:r>
              <w:rPr>
                <w:rFonts w:hint="eastAsia" w:ascii="Times New Roman" w:hAnsi="Times New Roman" w:eastAsia="宋体" w:cs="Times New Roman"/>
                <w:b/>
                <w:bCs/>
                <w:snapToGrid/>
                <w:color w:val="auto"/>
                <w:spacing w:val="0"/>
                <w:kern w:val="0"/>
                <w:position w:val="0"/>
                <w:sz w:val="24"/>
                <w:szCs w:val="24"/>
                <w:lang w:val="en-US" w:eastAsia="zh-CN"/>
              </w:rPr>
              <w:t>臭气浓度</w:t>
            </w:r>
            <w:r>
              <w:rPr>
                <w:rFonts w:hint="eastAsia" w:ascii="Times New Roman" w:hAnsi="Times New Roman" w:eastAsia="宋体" w:cs="Times New Roman"/>
                <w:snapToGrid/>
                <w:color w:val="auto"/>
                <w:spacing w:val="0"/>
                <w:kern w:val="0"/>
                <w:position w:val="0"/>
                <w:sz w:val="24"/>
                <w:szCs w:val="24"/>
                <w:lang w:val="en-US" w:eastAsia="zh-CN"/>
              </w:rPr>
              <w:t>无组织排放执行</w:t>
            </w:r>
            <w:r>
              <w:rPr>
                <w:rFonts w:hint="default" w:ascii="Times New Roman" w:hAnsi="Times New Roman" w:eastAsia="宋体" w:cs="Times New Roman"/>
                <w:b w:val="0"/>
                <w:bCs/>
                <w:color w:val="auto"/>
                <w:sz w:val="24"/>
                <w:szCs w:val="24"/>
                <w:highlight w:val="none"/>
                <w:lang w:eastAsia="zh-CN"/>
              </w:rPr>
              <w:t>《恶臭污染物排放标准》（ GB14554-93）</w:t>
            </w:r>
            <w:r>
              <w:rPr>
                <w:rFonts w:hint="eastAsia" w:ascii="Times New Roman" w:hAnsi="Times New Roman" w:eastAsia="宋体" w:cs="Times New Roman"/>
                <w:b w:val="0"/>
                <w:bCs/>
                <w:color w:val="auto"/>
                <w:sz w:val="24"/>
                <w:szCs w:val="24"/>
                <w:highlight w:val="none"/>
                <w:lang w:eastAsia="zh-CN"/>
              </w:rPr>
              <w:t>表</w:t>
            </w:r>
            <w:r>
              <w:rPr>
                <w:rFonts w:hint="eastAsia" w:ascii="Times New Roman" w:hAnsi="Times New Roman" w:eastAsia="宋体" w:cs="Times New Roman"/>
                <w:b w:val="0"/>
                <w:bCs/>
                <w:color w:val="auto"/>
                <w:sz w:val="24"/>
                <w:szCs w:val="24"/>
                <w:highlight w:val="none"/>
                <w:lang w:val="en-US" w:eastAsia="zh-CN"/>
              </w:rPr>
              <w:t>1中的标准限值</w:t>
            </w:r>
            <w:r>
              <w:rPr>
                <w:rFonts w:hint="eastAsia" w:ascii="Times New Roman" w:hAnsi="Times New Roman" w:eastAsia="宋体" w:cs="Times New Roman"/>
                <w:snapToGrid/>
                <w:color w:val="auto"/>
                <w:spacing w:val="0"/>
                <w:kern w:val="0"/>
                <w:position w:val="0"/>
                <w:sz w:val="24"/>
                <w:szCs w:val="24"/>
                <w:lang w:val="en-US" w:eastAsia="zh-CN"/>
              </w:rPr>
              <w:t>。</w:t>
            </w:r>
            <w:r>
              <w:rPr>
                <w:rFonts w:ascii="Times New Roman" w:hAnsi="Times New Roman"/>
                <w:color w:val="auto"/>
                <w:sz w:val="24"/>
              </w:rPr>
              <w:t>其标准限值见</w:t>
            </w:r>
            <w:r>
              <w:rPr>
                <w:rFonts w:hint="eastAsia"/>
                <w:color w:val="auto"/>
                <w:sz w:val="24"/>
                <w:lang w:val="en-US" w:eastAsia="zh-CN"/>
              </w:rPr>
              <w:t>下表</w:t>
            </w:r>
            <w:r>
              <w:rPr>
                <w:rFonts w:ascii="Times New Roman" w:hAnsi="Times New Roman"/>
                <w:color w:val="auto"/>
                <w:sz w:val="24"/>
              </w:rPr>
              <w:t>。</w:t>
            </w:r>
          </w:p>
          <w:p w14:paraId="7D2779E6">
            <w:pPr>
              <w:adjustRightInd w:val="0"/>
              <w:snapToGrid w:val="0"/>
              <w:spacing w:line="360" w:lineRule="auto"/>
              <w:jc w:val="center"/>
              <w:rPr>
                <w:b/>
                <w:bCs/>
                <w:color w:val="auto"/>
                <w:kern w:val="0"/>
                <w:sz w:val="24"/>
                <w:szCs w:val="24"/>
              </w:rPr>
            </w:pPr>
            <w:r>
              <w:rPr>
                <w:b/>
                <w:bCs/>
                <w:color w:val="auto"/>
                <w:kern w:val="0"/>
                <w:sz w:val="24"/>
                <w:szCs w:val="24"/>
              </w:rPr>
              <w:t>表3.</w:t>
            </w:r>
            <w:r>
              <w:rPr>
                <w:rFonts w:hint="eastAsia"/>
                <w:b/>
                <w:bCs/>
                <w:color w:val="auto"/>
                <w:kern w:val="0"/>
                <w:sz w:val="24"/>
                <w:szCs w:val="24"/>
                <w:lang w:val="en-US" w:eastAsia="zh-CN"/>
              </w:rPr>
              <w:t>7</w:t>
            </w:r>
            <w:r>
              <w:rPr>
                <w:b/>
                <w:bCs/>
                <w:color w:val="auto"/>
                <w:kern w:val="0"/>
                <w:sz w:val="24"/>
                <w:szCs w:val="24"/>
              </w:rPr>
              <w:t xml:space="preserve"> </w:t>
            </w:r>
            <w:r>
              <w:rPr>
                <w:rFonts w:hint="eastAsia"/>
                <w:b/>
                <w:bCs/>
                <w:color w:val="auto"/>
                <w:kern w:val="0"/>
                <w:sz w:val="24"/>
                <w:szCs w:val="24"/>
              </w:rPr>
              <w:t xml:space="preserve"> 大气污染物排放标准一览表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900"/>
              <w:gridCol w:w="630"/>
              <w:gridCol w:w="1140"/>
              <w:gridCol w:w="1019"/>
              <w:gridCol w:w="1456"/>
              <w:gridCol w:w="2303"/>
            </w:tblGrid>
            <w:tr w14:paraId="62F6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6" w:type="pct"/>
                  <w:noWrap w:val="0"/>
                  <w:vAlign w:val="center"/>
                </w:tcPr>
                <w:p w14:paraId="1BEEF76A">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产污环节</w:t>
                  </w:r>
                </w:p>
              </w:tc>
              <w:tc>
                <w:tcPr>
                  <w:tcW w:w="546" w:type="pct"/>
                  <w:noWrap w:val="0"/>
                  <w:vAlign w:val="center"/>
                </w:tcPr>
                <w:p w14:paraId="07FEE925">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排气筒</w:t>
                  </w:r>
                </w:p>
              </w:tc>
              <w:tc>
                <w:tcPr>
                  <w:tcW w:w="382" w:type="pct"/>
                  <w:noWrap w:val="0"/>
                  <w:vAlign w:val="center"/>
                </w:tcPr>
                <w:p w14:paraId="74FD988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污染物</w:t>
                  </w:r>
                </w:p>
              </w:tc>
              <w:tc>
                <w:tcPr>
                  <w:tcW w:w="692" w:type="pct"/>
                  <w:noWrap w:val="0"/>
                  <w:vAlign w:val="center"/>
                </w:tcPr>
                <w:p w14:paraId="3556CF7E">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最高允许排</w:t>
                  </w:r>
                  <w:r>
                    <w:rPr>
                      <w:rFonts w:hint="default" w:ascii="Times New Roman" w:hAnsi="Times New Roman" w:eastAsia="宋体" w:cs="Times New Roman"/>
                      <w:color w:val="auto"/>
                      <w:sz w:val="21"/>
                      <w:szCs w:val="21"/>
                      <w:lang w:eastAsia="zh-CN"/>
                    </w:rPr>
                    <w:t>放浓度限值</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p>
              </w:tc>
              <w:tc>
                <w:tcPr>
                  <w:tcW w:w="618" w:type="pct"/>
                  <w:noWrap w:val="0"/>
                  <w:vAlign w:val="center"/>
                </w:tcPr>
                <w:p w14:paraId="6A09C175">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val="0"/>
                      <w:bCs/>
                      <w:color w:val="auto"/>
                      <w:sz w:val="21"/>
                      <w:szCs w:val="21"/>
                      <w:highlight w:val="none"/>
                    </w:rPr>
                    <w:t>最高允许排放速率（kg/h）</w:t>
                  </w:r>
                </w:p>
              </w:tc>
              <w:tc>
                <w:tcPr>
                  <w:tcW w:w="884" w:type="pct"/>
                  <w:noWrap w:val="0"/>
                  <w:vAlign w:val="center"/>
                </w:tcPr>
                <w:p w14:paraId="6D2CAD1C">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无组织排放监控浓度限值（mg/m</w:t>
                  </w:r>
                  <w:r>
                    <w:rPr>
                      <w:rFonts w:hint="default" w:ascii="Times New Roman" w:hAnsi="Times New Roman" w:eastAsia="宋体" w:cs="Times New Roman"/>
                      <w:b w:val="0"/>
                      <w:bCs/>
                      <w:color w:val="auto"/>
                      <w:sz w:val="21"/>
                      <w:szCs w:val="21"/>
                      <w:highlight w:val="none"/>
                      <w:vertAlign w:val="superscript"/>
                    </w:rPr>
                    <w:t>3</w:t>
                  </w:r>
                  <w:r>
                    <w:rPr>
                      <w:rFonts w:hint="default" w:ascii="Times New Roman" w:hAnsi="Times New Roman" w:eastAsia="宋体" w:cs="Times New Roman"/>
                      <w:b w:val="0"/>
                      <w:bCs/>
                      <w:color w:val="auto"/>
                      <w:sz w:val="21"/>
                      <w:szCs w:val="21"/>
                      <w:highlight w:val="none"/>
                    </w:rPr>
                    <w:t>）</w:t>
                  </w:r>
                </w:p>
              </w:tc>
              <w:tc>
                <w:tcPr>
                  <w:tcW w:w="1398" w:type="pct"/>
                  <w:noWrap w:val="0"/>
                  <w:vAlign w:val="center"/>
                </w:tcPr>
                <w:p w14:paraId="033D4349">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标准来源</w:t>
                  </w:r>
                </w:p>
              </w:tc>
            </w:tr>
            <w:tr w14:paraId="1B9A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6" w:type="pct"/>
                  <w:noWrap w:val="0"/>
                  <w:vAlign w:val="center"/>
                </w:tcPr>
                <w:p w14:paraId="6A63E21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混料、</w:t>
                  </w:r>
                  <w:r>
                    <w:rPr>
                      <w:rFonts w:hint="eastAsia" w:cs="Times New Roman"/>
                      <w:color w:val="auto"/>
                      <w:sz w:val="21"/>
                      <w:szCs w:val="21"/>
                      <w:lang w:val="en-US" w:eastAsia="zh-CN"/>
                    </w:rPr>
                    <w:t>牵引</w:t>
                  </w:r>
                  <w:r>
                    <w:rPr>
                      <w:rFonts w:hint="default" w:ascii="Times New Roman" w:hAnsi="Times New Roman" w:eastAsia="宋体" w:cs="Times New Roman"/>
                      <w:color w:val="auto"/>
                      <w:sz w:val="21"/>
                      <w:szCs w:val="21"/>
                      <w:lang w:val="en-US" w:eastAsia="zh-CN"/>
                    </w:rPr>
                    <w:t>切割</w:t>
                  </w:r>
                  <w:r>
                    <w:rPr>
                      <w:rFonts w:hint="eastAsia" w:cs="Times New Roman"/>
                      <w:color w:val="auto"/>
                      <w:sz w:val="21"/>
                      <w:szCs w:val="21"/>
                      <w:lang w:val="en-US" w:eastAsia="zh-CN"/>
                    </w:rPr>
                    <w:t>、精确切割</w:t>
                  </w:r>
                  <w:r>
                    <w:rPr>
                      <w:rFonts w:hint="default" w:ascii="Times New Roman" w:hAnsi="Times New Roman" w:eastAsia="宋体" w:cs="Times New Roman"/>
                      <w:color w:val="auto"/>
                      <w:sz w:val="21"/>
                      <w:szCs w:val="21"/>
                      <w:lang w:val="en-US" w:eastAsia="zh-CN"/>
                    </w:rPr>
                    <w:t>、砂光打磨</w:t>
                  </w:r>
                </w:p>
              </w:tc>
              <w:tc>
                <w:tcPr>
                  <w:tcW w:w="546" w:type="pct"/>
                  <w:noWrap w:val="0"/>
                  <w:vAlign w:val="center"/>
                </w:tcPr>
                <w:p w14:paraId="058D6A32">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DA006</w:t>
                  </w:r>
                </w:p>
              </w:tc>
              <w:tc>
                <w:tcPr>
                  <w:tcW w:w="382" w:type="pct"/>
                  <w:noWrap w:val="0"/>
                  <w:vAlign w:val="center"/>
                </w:tcPr>
                <w:p w14:paraId="11B9B46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颗粒物</w:t>
                  </w:r>
                </w:p>
              </w:tc>
              <w:tc>
                <w:tcPr>
                  <w:tcW w:w="692" w:type="pct"/>
                  <w:noWrap w:val="0"/>
                  <w:vAlign w:val="center"/>
                </w:tcPr>
                <w:p w14:paraId="0E0E9733">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30</w:t>
                  </w:r>
                </w:p>
              </w:tc>
              <w:tc>
                <w:tcPr>
                  <w:tcW w:w="618" w:type="pct"/>
                  <w:noWrap w:val="0"/>
                  <w:vAlign w:val="center"/>
                </w:tcPr>
                <w:p w14:paraId="63DF8229">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884" w:type="pct"/>
                  <w:noWrap w:val="0"/>
                  <w:vAlign w:val="center"/>
                </w:tcPr>
                <w:p w14:paraId="25CBBCA1">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1.0</w:t>
                  </w:r>
                </w:p>
              </w:tc>
              <w:tc>
                <w:tcPr>
                  <w:tcW w:w="1398" w:type="pct"/>
                  <w:noWrap w:val="0"/>
                  <w:vAlign w:val="center"/>
                </w:tcPr>
                <w:p w14:paraId="0FE77B50">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rPr>
                    <w:t>《合成树脂工业污染物排放标准》（GB31572-2015）</w:t>
                  </w:r>
                </w:p>
              </w:tc>
            </w:tr>
            <w:tr w14:paraId="0C30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6" w:type="pct"/>
                  <w:vMerge w:val="restart"/>
                  <w:noWrap w:val="0"/>
                  <w:vAlign w:val="center"/>
                </w:tcPr>
                <w:p w14:paraId="465599E0">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融熔挤出</w:t>
                  </w:r>
                </w:p>
              </w:tc>
              <w:tc>
                <w:tcPr>
                  <w:tcW w:w="546" w:type="pct"/>
                  <w:vMerge w:val="restart"/>
                  <w:noWrap w:val="0"/>
                  <w:vAlign w:val="center"/>
                </w:tcPr>
                <w:p w14:paraId="6F287F3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DA007</w:t>
                  </w:r>
                </w:p>
              </w:tc>
              <w:tc>
                <w:tcPr>
                  <w:tcW w:w="382" w:type="pct"/>
                  <w:vMerge w:val="restart"/>
                  <w:noWrap w:val="0"/>
                  <w:vAlign w:val="center"/>
                </w:tcPr>
                <w:p w14:paraId="7CE585BA">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非甲烷总烃</w:t>
                  </w:r>
                </w:p>
              </w:tc>
              <w:tc>
                <w:tcPr>
                  <w:tcW w:w="692" w:type="pct"/>
                  <w:noWrap w:val="0"/>
                  <w:vAlign w:val="center"/>
                </w:tcPr>
                <w:p w14:paraId="4F9189D5">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40</w:t>
                  </w:r>
                </w:p>
              </w:tc>
              <w:tc>
                <w:tcPr>
                  <w:tcW w:w="618" w:type="pct"/>
                  <w:noWrap w:val="0"/>
                  <w:vAlign w:val="center"/>
                </w:tcPr>
                <w:p w14:paraId="2ACD9F95">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1.6</w:t>
                  </w:r>
                </w:p>
              </w:tc>
              <w:tc>
                <w:tcPr>
                  <w:tcW w:w="884" w:type="pct"/>
                  <w:noWrap w:val="0"/>
                  <w:vAlign w:val="center"/>
                </w:tcPr>
                <w:p w14:paraId="0995F1CD">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1398" w:type="pct"/>
                  <w:noWrap w:val="0"/>
                  <w:vAlign w:val="center"/>
                </w:tcPr>
                <w:p w14:paraId="39C4938C">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b w:val="0"/>
                      <w:bCs/>
                      <w:color w:val="auto"/>
                      <w:sz w:val="21"/>
                      <w:szCs w:val="21"/>
                      <w:highlight w:val="none"/>
                      <w:lang w:eastAsia="zh-CN"/>
                    </w:rPr>
                  </w:pPr>
                  <w:r>
                    <w:rPr>
                      <w:rFonts w:hint="eastAsia"/>
                      <w:color w:val="auto"/>
                      <w:sz w:val="21"/>
                      <w:szCs w:val="21"/>
                      <w:lang w:eastAsia="zh-CN"/>
                    </w:rPr>
                    <w:t>《固定源挥发性有机物综合排放标准第6部分：其他行业》（DB34/4812.6-2024）</w:t>
                  </w:r>
                </w:p>
              </w:tc>
            </w:tr>
            <w:tr w14:paraId="6E50A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6" w:type="pct"/>
                  <w:vMerge w:val="continue"/>
                  <w:noWrap w:val="0"/>
                  <w:vAlign w:val="center"/>
                </w:tcPr>
                <w:p w14:paraId="3778995A">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p>
              </w:tc>
              <w:tc>
                <w:tcPr>
                  <w:tcW w:w="546" w:type="pct"/>
                  <w:vMerge w:val="continue"/>
                  <w:noWrap w:val="0"/>
                  <w:vAlign w:val="center"/>
                </w:tcPr>
                <w:p w14:paraId="0D7E263F">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p>
              </w:tc>
              <w:tc>
                <w:tcPr>
                  <w:tcW w:w="382" w:type="pct"/>
                  <w:vMerge w:val="continue"/>
                  <w:noWrap w:val="0"/>
                  <w:vAlign w:val="center"/>
                </w:tcPr>
                <w:p w14:paraId="60FF7D5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1"/>
                      <w:szCs w:val="21"/>
                      <w:lang w:val="en-US" w:eastAsia="zh-CN"/>
                    </w:rPr>
                  </w:pPr>
                </w:p>
              </w:tc>
              <w:tc>
                <w:tcPr>
                  <w:tcW w:w="692" w:type="pct"/>
                  <w:noWrap w:val="0"/>
                  <w:vAlign w:val="center"/>
                </w:tcPr>
                <w:p w14:paraId="6E1D2ED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618" w:type="pct"/>
                  <w:noWrap w:val="0"/>
                  <w:vAlign w:val="center"/>
                </w:tcPr>
                <w:p w14:paraId="5B1D5A7A">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884" w:type="pct"/>
                  <w:noWrap w:val="0"/>
                  <w:vAlign w:val="center"/>
                </w:tcPr>
                <w:p w14:paraId="0BF07EDE">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4.0</w:t>
                  </w:r>
                </w:p>
              </w:tc>
              <w:tc>
                <w:tcPr>
                  <w:tcW w:w="1398" w:type="pct"/>
                  <w:noWrap w:val="0"/>
                  <w:vAlign w:val="center"/>
                </w:tcPr>
                <w:p w14:paraId="6FCBC092">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olor w:val="auto"/>
                      <w:sz w:val="21"/>
                      <w:szCs w:val="21"/>
                      <w:lang w:eastAsia="zh-CN"/>
                    </w:rPr>
                  </w:pPr>
                  <w:r>
                    <w:rPr>
                      <w:rFonts w:hint="default" w:ascii="Times New Roman" w:hAnsi="Times New Roman" w:eastAsia="宋体" w:cs="Times New Roman"/>
                      <w:b w:val="0"/>
                      <w:bCs/>
                      <w:color w:val="auto"/>
                      <w:sz w:val="21"/>
                      <w:szCs w:val="21"/>
                      <w:highlight w:val="none"/>
                      <w:lang w:eastAsia="zh-CN"/>
                    </w:rPr>
                    <w:t>《大气污染物综合排放标准》（GB16297-1996）</w:t>
                  </w:r>
                  <w:r>
                    <w:rPr>
                      <w:rFonts w:hint="eastAsia" w:ascii="Times New Roman" w:hAnsi="Times New Roman" w:eastAsia="宋体" w:cs="Times New Roman"/>
                      <w:b w:val="0"/>
                      <w:bCs/>
                      <w:color w:val="auto"/>
                      <w:sz w:val="21"/>
                      <w:szCs w:val="21"/>
                      <w:highlight w:val="none"/>
                      <w:lang w:val="en-US" w:eastAsia="zh-CN"/>
                    </w:rPr>
                    <w:t>中无组织</w:t>
                  </w:r>
                  <w:r>
                    <w:rPr>
                      <w:rFonts w:hint="default" w:ascii="Times New Roman" w:hAnsi="Times New Roman" w:eastAsia="宋体" w:cs="Times New Roman"/>
                      <w:b w:val="0"/>
                      <w:bCs/>
                      <w:color w:val="auto"/>
                      <w:sz w:val="21"/>
                      <w:szCs w:val="21"/>
                      <w:highlight w:val="none"/>
                      <w:lang w:eastAsia="zh-CN"/>
                    </w:rPr>
                    <w:t>排放</w:t>
                  </w:r>
                  <w:r>
                    <w:rPr>
                      <w:rFonts w:hint="eastAsia" w:cs="Times New Roman"/>
                      <w:b w:val="0"/>
                      <w:bCs/>
                      <w:color w:val="auto"/>
                      <w:sz w:val="21"/>
                      <w:szCs w:val="21"/>
                      <w:highlight w:val="none"/>
                      <w:lang w:val="en-US" w:eastAsia="zh-CN"/>
                    </w:rPr>
                    <w:t>标准</w:t>
                  </w:r>
                </w:p>
              </w:tc>
            </w:tr>
            <w:tr w14:paraId="368BE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6" w:type="pct"/>
                  <w:vMerge w:val="continue"/>
                  <w:noWrap w:val="0"/>
                  <w:vAlign w:val="center"/>
                </w:tcPr>
                <w:p w14:paraId="73CF3706">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p>
              </w:tc>
              <w:tc>
                <w:tcPr>
                  <w:tcW w:w="546" w:type="pct"/>
                  <w:vMerge w:val="continue"/>
                  <w:noWrap w:val="0"/>
                  <w:vAlign w:val="center"/>
                </w:tcPr>
                <w:p w14:paraId="621E29AD">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p>
              </w:tc>
              <w:tc>
                <w:tcPr>
                  <w:tcW w:w="382" w:type="pct"/>
                  <w:noWrap w:val="0"/>
                  <w:vAlign w:val="center"/>
                </w:tcPr>
                <w:p w14:paraId="11F590DA">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氯乙烯</w:t>
                  </w:r>
                </w:p>
              </w:tc>
              <w:tc>
                <w:tcPr>
                  <w:tcW w:w="692" w:type="pct"/>
                  <w:noWrap w:val="0"/>
                  <w:vAlign w:val="center"/>
                </w:tcPr>
                <w:p w14:paraId="36FFF24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5</w:t>
                  </w:r>
                </w:p>
              </w:tc>
              <w:tc>
                <w:tcPr>
                  <w:tcW w:w="618" w:type="pct"/>
                  <w:noWrap w:val="0"/>
                  <w:vAlign w:val="center"/>
                </w:tcPr>
                <w:p w14:paraId="76A54446">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884" w:type="pct"/>
                  <w:noWrap w:val="0"/>
                  <w:vAlign w:val="center"/>
                </w:tcPr>
                <w:p w14:paraId="2805987E">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0.15</w:t>
                  </w:r>
                </w:p>
              </w:tc>
              <w:tc>
                <w:tcPr>
                  <w:tcW w:w="1398" w:type="pct"/>
                  <w:noWrap w:val="0"/>
                  <w:vAlign w:val="center"/>
                </w:tcPr>
                <w:p w14:paraId="24A50C63">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b w:val="0"/>
                      <w:bCs/>
                      <w:color w:val="auto"/>
                      <w:sz w:val="21"/>
                      <w:szCs w:val="21"/>
                      <w:highlight w:val="none"/>
                      <w:lang w:eastAsia="zh-CN"/>
                    </w:rPr>
                  </w:pPr>
                  <w:r>
                    <w:rPr>
                      <w:rFonts w:hint="eastAsia"/>
                      <w:color w:val="auto"/>
                      <w:sz w:val="21"/>
                      <w:szCs w:val="21"/>
                      <w:lang w:eastAsia="zh-CN"/>
                    </w:rPr>
                    <w:t>《固定源挥发性有机物综合排放标准第6部分：其他行业》（DB34/4812.6-2024）</w:t>
                  </w:r>
                </w:p>
              </w:tc>
            </w:tr>
            <w:tr w14:paraId="6A463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6" w:type="pct"/>
                  <w:vMerge w:val="continue"/>
                  <w:noWrap w:val="0"/>
                  <w:vAlign w:val="center"/>
                </w:tcPr>
                <w:p w14:paraId="708208B6">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p>
              </w:tc>
              <w:tc>
                <w:tcPr>
                  <w:tcW w:w="546" w:type="pct"/>
                  <w:vMerge w:val="continue"/>
                  <w:noWrap w:val="0"/>
                  <w:vAlign w:val="center"/>
                </w:tcPr>
                <w:p w14:paraId="701F948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p>
              </w:tc>
              <w:tc>
                <w:tcPr>
                  <w:tcW w:w="382" w:type="pct"/>
                  <w:noWrap w:val="0"/>
                  <w:vAlign w:val="center"/>
                </w:tcPr>
                <w:p w14:paraId="55BE38B3">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氯化氢</w:t>
                  </w:r>
                </w:p>
              </w:tc>
              <w:tc>
                <w:tcPr>
                  <w:tcW w:w="692" w:type="pct"/>
                  <w:noWrap w:val="0"/>
                  <w:vAlign w:val="center"/>
                </w:tcPr>
                <w:p w14:paraId="4D2BA39B">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30</w:t>
                  </w:r>
                </w:p>
              </w:tc>
              <w:tc>
                <w:tcPr>
                  <w:tcW w:w="618" w:type="pct"/>
                  <w:noWrap w:val="0"/>
                  <w:vAlign w:val="center"/>
                </w:tcPr>
                <w:p w14:paraId="458408D0">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884" w:type="pct"/>
                  <w:noWrap w:val="0"/>
                  <w:vAlign w:val="center"/>
                </w:tcPr>
                <w:p w14:paraId="1AC4315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0.2</w:t>
                  </w:r>
                </w:p>
              </w:tc>
              <w:tc>
                <w:tcPr>
                  <w:tcW w:w="1398" w:type="pct"/>
                  <w:noWrap w:val="0"/>
                  <w:vAlign w:val="center"/>
                </w:tcPr>
                <w:p w14:paraId="26261C8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《合成树脂工业污染物排放标准》（GB31572-2015）</w:t>
                  </w:r>
                </w:p>
              </w:tc>
            </w:tr>
            <w:tr w14:paraId="27433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6" w:type="pct"/>
                  <w:vMerge w:val="continue"/>
                  <w:noWrap w:val="0"/>
                  <w:vAlign w:val="center"/>
                </w:tcPr>
                <w:p w14:paraId="02D801EF">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p>
              </w:tc>
              <w:tc>
                <w:tcPr>
                  <w:tcW w:w="546" w:type="pct"/>
                  <w:vMerge w:val="continue"/>
                  <w:noWrap w:val="0"/>
                  <w:vAlign w:val="center"/>
                </w:tcPr>
                <w:p w14:paraId="01C507D6">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p>
              </w:tc>
              <w:tc>
                <w:tcPr>
                  <w:tcW w:w="382" w:type="pct"/>
                  <w:noWrap w:val="0"/>
                  <w:vAlign w:val="center"/>
                </w:tcPr>
                <w:p w14:paraId="00097CE3">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臭气浓度</w:t>
                  </w:r>
                </w:p>
              </w:tc>
              <w:tc>
                <w:tcPr>
                  <w:tcW w:w="692" w:type="pct"/>
                  <w:noWrap w:val="0"/>
                  <w:vAlign w:val="center"/>
                </w:tcPr>
                <w:p w14:paraId="778E437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c>
                <w:tcPr>
                  <w:tcW w:w="618" w:type="pct"/>
                  <w:noWrap w:val="0"/>
                  <w:vAlign w:val="center"/>
                </w:tcPr>
                <w:p w14:paraId="136A02C5">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2000（无量纲）</w:t>
                  </w:r>
                </w:p>
              </w:tc>
              <w:tc>
                <w:tcPr>
                  <w:tcW w:w="884" w:type="pct"/>
                  <w:noWrap w:val="0"/>
                  <w:vAlign w:val="center"/>
                </w:tcPr>
                <w:p w14:paraId="69930086">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20（无量纲）</w:t>
                  </w:r>
                </w:p>
              </w:tc>
              <w:tc>
                <w:tcPr>
                  <w:tcW w:w="1398" w:type="pct"/>
                  <w:noWrap w:val="0"/>
                  <w:vAlign w:val="center"/>
                </w:tcPr>
                <w:p w14:paraId="3FA2C19F">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《恶臭污染物排放标准》（ GB14554-93）</w:t>
                  </w:r>
                </w:p>
              </w:tc>
            </w:tr>
          </w:tbl>
          <w:p w14:paraId="0C89395F">
            <w:pPr>
              <w:adjustRightInd w:val="0"/>
              <w:snapToGrid w:val="0"/>
              <w:spacing w:beforeLines="50" w:line="360" w:lineRule="auto"/>
              <w:jc w:val="center"/>
              <w:rPr>
                <w:b/>
                <w:sz w:val="24"/>
                <w:szCs w:val="24"/>
              </w:rPr>
            </w:pPr>
            <w:r>
              <w:rPr>
                <w:b/>
                <w:sz w:val="24"/>
                <w:szCs w:val="24"/>
              </w:rPr>
              <w:t>表</w:t>
            </w:r>
            <w:r>
              <w:rPr>
                <w:rFonts w:hint="eastAsia"/>
                <w:b/>
                <w:sz w:val="24"/>
                <w:szCs w:val="24"/>
              </w:rPr>
              <w:t>3.</w:t>
            </w:r>
            <w:r>
              <w:rPr>
                <w:rFonts w:hint="eastAsia"/>
                <w:b/>
                <w:sz w:val="24"/>
                <w:szCs w:val="24"/>
                <w:lang w:val="en-US" w:eastAsia="zh-CN"/>
              </w:rPr>
              <w:t>8</w:t>
            </w:r>
            <w:r>
              <w:rPr>
                <w:rFonts w:hint="eastAsia"/>
                <w:b/>
                <w:sz w:val="24"/>
                <w:szCs w:val="24"/>
              </w:rPr>
              <w:t xml:space="preserve">  </w:t>
            </w:r>
            <w:r>
              <w:rPr>
                <w:b/>
                <w:sz w:val="24"/>
                <w:szCs w:val="24"/>
              </w:rPr>
              <w:t>厂区内</w:t>
            </w:r>
            <w:r>
              <w:rPr>
                <w:rFonts w:hint="eastAsia"/>
                <w:b/>
                <w:sz w:val="24"/>
                <w:szCs w:val="24"/>
              </w:rPr>
              <w:t>VOCs</w:t>
            </w:r>
            <w:r>
              <w:rPr>
                <w:b/>
                <w:sz w:val="24"/>
                <w:szCs w:val="24"/>
              </w:rPr>
              <w:t>无组织排放限值</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394"/>
              <w:gridCol w:w="1933"/>
              <w:gridCol w:w="1635"/>
              <w:gridCol w:w="2264"/>
            </w:tblGrid>
            <w:tr w14:paraId="09789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3" w:type="dxa"/>
                  <w:noWrap w:val="0"/>
                  <w:vAlign w:val="center"/>
                </w:tcPr>
                <w:p w14:paraId="18FEA7F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污染物项目</w:t>
                  </w:r>
                </w:p>
              </w:tc>
              <w:tc>
                <w:tcPr>
                  <w:tcW w:w="1418" w:type="dxa"/>
                  <w:noWrap w:val="0"/>
                  <w:vAlign w:val="center"/>
                </w:tcPr>
                <w:p w14:paraId="03D765F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特别排放限值</w:t>
                  </w:r>
                  <w:r>
                    <w:rPr>
                      <w:rFonts w:hint="default" w:ascii="Times New Roman" w:hAnsi="Times New Roman" w:eastAsia="宋体" w:cs="Times New Roman"/>
                      <w:b w:val="0"/>
                      <w:bCs/>
                      <w:color w:val="000000" w:themeColor="text1"/>
                      <w:kern w:val="0"/>
                      <w:sz w:val="21"/>
                      <w:szCs w:val="21"/>
                      <w:lang w:val="en-US" w:eastAsia="zh-CN"/>
                      <w14:textFill>
                        <w14:solidFill>
                          <w14:schemeClr w14:val="tx1"/>
                        </w14:solidFill>
                      </w14:textFill>
                    </w:rPr>
                    <w:t>mg/m</w:t>
                  </w:r>
                  <w:r>
                    <w:rPr>
                      <w:rFonts w:hint="default" w:ascii="Times New Roman" w:hAnsi="Times New Roman" w:eastAsia="宋体" w:cs="Times New Roman"/>
                      <w:b w:val="0"/>
                      <w:bCs/>
                      <w:color w:val="000000" w:themeColor="text1"/>
                      <w:kern w:val="0"/>
                      <w:sz w:val="21"/>
                      <w:szCs w:val="21"/>
                      <w:vertAlign w:val="superscript"/>
                      <w:lang w:val="en-US" w:eastAsia="zh-CN"/>
                      <w14:textFill>
                        <w14:solidFill>
                          <w14:schemeClr w14:val="tx1"/>
                        </w14:solidFill>
                      </w14:textFill>
                    </w:rPr>
                    <w:t>3</w:t>
                  </w:r>
                </w:p>
              </w:tc>
              <w:tc>
                <w:tcPr>
                  <w:tcW w:w="1968" w:type="dxa"/>
                  <w:noWrap w:val="0"/>
                  <w:vAlign w:val="center"/>
                </w:tcPr>
                <w:p w14:paraId="4288697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t>限值</w:t>
                  </w: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含义</w:t>
                  </w:r>
                </w:p>
              </w:tc>
              <w:tc>
                <w:tcPr>
                  <w:tcW w:w="1664" w:type="dxa"/>
                  <w:noWrap w:val="0"/>
                  <w:vAlign w:val="center"/>
                </w:tcPr>
                <w:p w14:paraId="30ECE2A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无组织排放监控位置</w:t>
                  </w:r>
                </w:p>
              </w:tc>
              <w:tc>
                <w:tcPr>
                  <w:tcW w:w="2304" w:type="dxa"/>
                  <w:noWrap w:val="0"/>
                  <w:vAlign w:val="center"/>
                </w:tcPr>
                <w:p w14:paraId="0778A9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标准来源</w:t>
                  </w:r>
                </w:p>
              </w:tc>
            </w:tr>
            <w:tr w14:paraId="0E5F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3" w:type="dxa"/>
                  <w:vMerge w:val="restart"/>
                  <w:noWrap w:val="0"/>
                  <w:vAlign w:val="center"/>
                </w:tcPr>
                <w:p w14:paraId="35353A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NMHC</w:t>
                  </w:r>
                </w:p>
              </w:tc>
              <w:tc>
                <w:tcPr>
                  <w:tcW w:w="1418" w:type="dxa"/>
                  <w:noWrap w:val="0"/>
                  <w:vAlign w:val="center"/>
                </w:tcPr>
                <w:p w14:paraId="58BE8A6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6</w:t>
                  </w:r>
                </w:p>
              </w:tc>
              <w:tc>
                <w:tcPr>
                  <w:tcW w:w="1968" w:type="dxa"/>
                  <w:noWrap w:val="0"/>
                  <w:vAlign w:val="center"/>
                </w:tcPr>
                <w:p w14:paraId="110DF1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监控点处1h平均浓度</w:t>
                  </w:r>
                </w:p>
              </w:tc>
              <w:tc>
                <w:tcPr>
                  <w:tcW w:w="1664" w:type="dxa"/>
                  <w:vMerge w:val="restart"/>
                  <w:noWrap w:val="0"/>
                  <w:vAlign w:val="center"/>
                </w:tcPr>
                <w:p w14:paraId="25AEA73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在厂房外设置监控点</w:t>
                  </w:r>
                </w:p>
              </w:tc>
              <w:tc>
                <w:tcPr>
                  <w:tcW w:w="2304" w:type="dxa"/>
                  <w:vMerge w:val="restart"/>
                  <w:noWrap w:val="0"/>
                  <w:vAlign w:val="center"/>
                </w:tcPr>
                <w:p w14:paraId="2717F61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《固定源挥发性有机物综合排放标准第6部分：其他行业》（DB34/4812.6-2024）</w:t>
                  </w:r>
                </w:p>
              </w:tc>
            </w:tr>
            <w:tr w14:paraId="4B855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3" w:type="dxa"/>
                  <w:vMerge w:val="continue"/>
                  <w:noWrap w:val="0"/>
                  <w:vAlign w:val="center"/>
                </w:tcPr>
                <w:p w14:paraId="0ACCD14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pPr>
                </w:p>
              </w:tc>
              <w:tc>
                <w:tcPr>
                  <w:tcW w:w="1418" w:type="dxa"/>
                  <w:noWrap w:val="0"/>
                  <w:vAlign w:val="center"/>
                </w:tcPr>
                <w:p w14:paraId="7C28475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20</w:t>
                  </w:r>
                </w:p>
              </w:tc>
              <w:tc>
                <w:tcPr>
                  <w:tcW w:w="1968" w:type="dxa"/>
                  <w:noWrap w:val="0"/>
                  <w:vAlign w:val="center"/>
                </w:tcPr>
                <w:p w14:paraId="35338BB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000000" w:themeColor="text1"/>
                      <w:kern w:val="0"/>
                      <w:sz w:val="21"/>
                      <w:szCs w:val="21"/>
                      <w:vertAlign w:val="baseline"/>
                      <w:lang w:val="en-US" w:eastAsia="zh-CN"/>
                      <w14:textFill>
                        <w14:solidFill>
                          <w14:schemeClr w14:val="tx1"/>
                        </w14:solidFill>
                      </w14:textFill>
                    </w:rPr>
                  </w:pPr>
                  <w:r>
                    <w:rPr>
                      <w:rFonts w:hint="default" w:ascii="Times New Roman" w:hAnsi="Times New Roman" w:cs="Times New Roman"/>
                      <w:b w:val="0"/>
                      <w:bCs/>
                      <w:color w:val="000000" w:themeColor="text1"/>
                      <w:kern w:val="0"/>
                      <w:sz w:val="21"/>
                      <w:szCs w:val="21"/>
                      <w:vertAlign w:val="baseline"/>
                      <w:lang w:val="en-US" w:eastAsia="zh-CN"/>
                      <w14:textFill>
                        <w14:solidFill>
                          <w14:schemeClr w14:val="tx1"/>
                        </w14:solidFill>
                      </w14:textFill>
                    </w:rPr>
                    <w:t>监控点处任意一次浓度值</w:t>
                  </w:r>
                </w:p>
              </w:tc>
              <w:tc>
                <w:tcPr>
                  <w:tcW w:w="1664" w:type="dxa"/>
                  <w:vMerge w:val="continue"/>
                  <w:noWrap w:val="0"/>
                  <w:vAlign w:val="center"/>
                </w:tcPr>
                <w:p w14:paraId="7CC81E9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000000" w:themeColor="text1"/>
                      <w:kern w:val="0"/>
                      <w:sz w:val="21"/>
                      <w:szCs w:val="21"/>
                      <w:vertAlign w:val="baseline"/>
                      <w:lang w:val="en-US" w:eastAsia="zh-CN"/>
                      <w14:textFill>
                        <w14:solidFill>
                          <w14:schemeClr w14:val="tx1"/>
                        </w14:solidFill>
                      </w14:textFill>
                    </w:rPr>
                  </w:pPr>
                </w:p>
              </w:tc>
              <w:tc>
                <w:tcPr>
                  <w:tcW w:w="2304" w:type="dxa"/>
                  <w:vMerge w:val="continue"/>
                  <w:noWrap w:val="0"/>
                  <w:vAlign w:val="center"/>
                </w:tcPr>
                <w:p w14:paraId="158962E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000000" w:themeColor="text1"/>
                      <w:kern w:val="0"/>
                      <w:sz w:val="21"/>
                      <w:szCs w:val="21"/>
                      <w:vertAlign w:val="baseline"/>
                      <w:lang w:val="en-US" w:eastAsia="zh-CN"/>
                      <w14:textFill>
                        <w14:solidFill>
                          <w14:schemeClr w14:val="tx1"/>
                        </w14:solidFill>
                      </w14:textFill>
                    </w:rPr>
                  </w:pPr>
                </w:p>
              </w:tc>
            </w:tr>
          </w:tbl>
          <w:p w14:paraId="73125E64">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left"/>
              <w:textAlignment w:val="auto"/>
              <w:rPr>
                <w:rFonts w:hint="default" w:ascii="Times New Roman" w:hAnsi="Times New Roman" w:eastAsia="宋体" w:cs="Times New Roman"/>
                <w:b/>
                <w:bCs/>
                <w:kern w:val="0"/>
                <w:sz w:val="24"/>
                <w:szCs w:val="24"/>
                <w:highlight w:val="none"/>
                <w:shd w:val="clear" w:color="auto" w:fill="auto"/>
              </w:rPr>
            </w:pPr>
            <w:r>
              <w:rPr>
                <w:rFonts w:hint="eastAsia" w:cs="Times New Roman"/>
                <w:b/>
                <w:bCs/>
                <w:kern w:val="0"/>
                <w:sz w:val="24"/>
                <w:szCs w:val="24"/>
                <w:highlight w:val="none"/>
                <w:shd w:val="clear" w:color="auto" w:fill="auto"/>
                <w:lang w:eastAsia="zh-CN"/>
              </w:rPr>
              <w:t>3.</w:t>
            </w:r>
            <w:r>
              <w:rPr>
                <w:rFonts w:hint="default" w:ascii="Times New Roman" w:hAnsi="Times New Roman" w:eastAsia="宋体" w:cs="Times New Roman"/>
                <w:b/>
                <w:bCs/>
                <w:kern w:val="0"/>
                <w:sz w:val="24"/>
                <w:szCs w:val="24"/>
                <w:highlight w:val="none"/>
                <w:shd w:val="clear" w:color="auto" w:fill="auto"/>
              </w:rPr>
              <w:t>噪声排放标准</w:t>
            </w:r>
          </w:p>
          <w:p w14:paraId="35E3EBCC">
            <w:pPr>
              <w:adjustRightInd w:val="0"/>
              <w:snapToGrid w:val="0"/>
              <w:spacing w:line="360" w:lineRule="auto"/>
              <w:ind w:firstLine="480" w:firstLineChars="200"/>
              <w:jc w:val="both"/>
              <w:rPr>
                <w:color w:val="auto"/>
                <w:kern w:val="0"/>
                <w:sz w:val="24"/>
              </w:rPr>
            </w:pPr>
            <w:r>
              <w:rPr>
                <w:rFonts w:hint="eastAsia"/>
                <w:color w:val="auto"/>
                <w:sz w:val="24"/>
              </w:rPr>
              <w:t>本项目</w:t>
            </w:r>
            <w:r>
              <w:rPr>
                <w:color w:val="auto"/>
                <w:sz w:val="24"/>
              </w:rPr>
              <w:t>施工期噪声执行《建筑施工场界环境噪声排放标准》（GB12523-2011）中标准限值要求</w:t>
            </w:r>
            <w:r>
              <w:rPr>
                <w:rFonts w:hint="eastAsia"/>
                <w:color w:val="auto"/>
                <w:sz w:val="24"/>
              </w:rPr>
              <w:t>；</w:t>
            </w:r>
            <w:r>
              <w:rPr>
                <w:color w:val="auto"/>
                <w:sz w:val="24"/>
              </w:rPr>
              <w:t>运营期噪声执行《工业企业厂界环境噪声排放标准》（GB12348-2008）中3类标准</w:t>
            </w:r>
            <w:r>
              <w:rPr>
                <w:rFonts w:hint="eastAsia"/>
                <w:color w:val="auto"/>
                <w:sz w:val="24"/>
              </w:rPr>
              <w:t>；</w:t>
            </w:r>
            <w:r>
              <w:rPr>
                <w:color w:val="auto"/>
                <w:sz w:val="24"/>
              </w:rPr>
              <w:t>其标准限值见表</w:t>
            </w:r>
            <w:r>
              <w:rPr>
                <w:rFonts w:hint="eastAsia"/>
                <w:color w:val="auto"/>
                <w:sz w:val="24"/>
              </w:rPr>
              <w:t>3.</w:t>
            </w:r>
            <w:r>
              <w:rPr>
                <w:rFonts w:hint="eastAsia"/>
                <w:color w:val="auto"/>
                <w:sz w:val="24"/>
                <w:lang w:val="en-US" w:eastAsia="zh-CN"/>
              </w:rPr>
              <w:t>9</w:t>
            </w:r>
            <w:r>
              <w:rPr>
                <w:rFonts w:hint="eastAsia"/>
                <w:color w:val="auto"/>
                <w:sz w:val="24"/>
              </w:rPr>
              <w:t>、</w:t>
            </w:r>
            <w:r>
              <w:rPr>
                <w:rFonts w:hint="eastAsia"/>
                <w:color w:val="auto"/>
                <w:sz w:val="24"/>
                <w:lang w:eastAsia="zh-CN"/>
              </w:rPr>
              <w:t>表</w:t>
            </w:r>
            <w:r>
              <w:rPr>
                <w:rFonts w:hint="eastAsia"/>
                <w:color w:val="auto"/>
                <w:sz w:val="24"/>
              </w:rPr>
              <w:t>3.</w:t>
            </w:r>
            <w:r>
              <w:rPr>
                <w:rFonts w:hint="eastAsia"/>
                <w:color w:val="auto"/>
                <w:sz w:val="24"/>
                <w:lang w:val="en-US" w:eastAsia="zh-CN"/>
              </w:rPr>
              <w:t>10</w:t>
            </w:r>
            <w:r>
              <w:rPr>
                <w:color w:val="auto"/>
                <w:sz w:val="24"/>
              </w:rPr>
              <w:t>。</w:t>
            </w:r>
          </w:p>
          <w:p w14:paraId="2A7339B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b/>
                <w:bCs/>
                <w:color w:val="auto"/>
                <w:sz w:val="24"/>
              </w:rPr>
            </w:pPr>
            <w:r>
              <w:rPr>
                <w:b/>
                <w:bCs/>
                <w:color w:val="auto"/>
                <w:sz w:val="24"/>
              </w:rPr>
              <w:t>表</w:t>
            </w:r>
            <w:r>
              <w:rPr>
                <w:rFonts w:hint="eastAsia"/>
                <w:b/>
                <w:bCs/>
                <w:color w:val="auto"/>
                <w:sz w:val="24"/>
              </w:rPr>
              <w:t>3.</w:t>
            </w:r>
            <w:r>
              <w:rPr>
                <w:rFonts w:hint="eastAsia"/>
                <w:b/>
                <w:bCs/>
                <w:color w:val="auto"/>
                <w:sz w:val="24"/>
                <w:lang w:val="en-US" w:eastAsia="zh-CN"/>
              </w:rPr>
              <w:t>9</w:t>
            </w:r>
            <w:r>
              <w:rPr>
                <w:b/>
                <w:bCs/>
                <w:color w:val="auto"/>
                <w:sz w:val="24"/>
              </w:rPr>
              <w:t xml:space="preserve"> 建筑施工场界噪声排放标准 单位：dB（A）</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8"/>
              <w:gridCol w:w="4118"/>
            </w:tblGrid>
            <w:tr w14:paraId="173D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8" w:type="dxa"/>
                  <w:noWrap w:val="0"/>
                  <w:vAlign w:val="center"/>
                </w:tcPr>
                <w:p w14:paraId="153AFE65">
                  <w:pPr>
                    <w:adjustRightInd w:val="0"/>
                    <w:snapToGrid w:val="0"/>
                    <w:spacing w:before="72" w:beforeLines="30"/>
                    <w:jc w:val="center"/>
                    <w:rPr>
                      <w:color w:val="auto"/>
                      <w:szCs w:val="21"/>
                    </w:rPr>
                  </w:pPr>
                  <w:r>
                    <w:rPr>
                      <w:color w:val="auto"/>
                      <w:szCs w:val="21"/>
                    </w:rPr>
                    <w:t>昼间</w:t>
                  </w:r>
                </w:p>
              </w:tc>
              <w:tc>
                <w:tcPr>
                  <w:tcW w:w="4428" w:type="dxa"/>
                  <w:noWrap w:val="0"/>
                  <w:vAlign w:val="center"/>
                </w:tcPr>
                <w:p w14:paraId="107C6C06">
                  <w:pPr>
                    <w:adjustRightInd w:val="0"/>
                    <w:snapToGrid w:val="0"/>
                    <w:spacing w:before="72" w:beforeLines="30"/>
                    <w:jc w:val="center"/>
                    <w:rPr>
                      <w:color w:val="auto"/>
                      <w:szCs w:val="21"/>
                    </w:rPr>
                  </w:pPr>
                  <w:r>
                    <w:rPr>
                      <w:color w:val="auto"/>
                      <w:szCs w:val="21"/>
                    </w:rPr>
                    <w:t>夜间</w:t>
                  </w:r>
                </w:p>
              </w:tc>
            </w:tr>
            <w:tr w14:paraId="2FE9D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28" w:type="dxa"/>
                  <w:noWrap w:val="0"/>
                  <w:vAlign w:val="center"/>
                </w:tcPr>
                <w:p w14:paraId="09DC6949">
                  <w:pPr>
                    <w:adjustRightInd w:val="0"/>
                    <w:snapToGrid w:val="0"/>
                    <w:spacing w:before="72" w:beforeLines="30"/>
                    <w:jc w:val="center"/>
                    <w:rPr>
                      <w:color w:val="auto"/>
                      <w:szCs w:val="21"/>
                    </w:rPr>
                  </w:pPr>
                  <w:r>
                    <w:rPr>
                      <w:color w:val="auto"/>
                      <w:szCs w:val="21"/>
                    </w:rPr>
                    <w:t>70</w:t>
                  </w:r>
                </w:p>
              </w:tc>
              <w:tc>
                <w:tcPr>
                  <w:tcW w:w="4428" w:type="dxa"/>
                  <w:noWrap w:val="0"/>
                  <w:vAlign w:val="center"/>
                </w:tcPr>
                <w:p w14:paraId="1833C13F">
                  <w:pPr>
                    <w:adjustRightInd w:val="0"/>
                    <w:snapToGrid w:val="0"/>
                    <w:spacing w:before="72" w:beforeLines="30"/>
                    <w:jc w:val="center"/>
                    <w:rPr>
                      <w:color w:val="auto"/>
                      <w:szCs w:val="21"/>
                    </w:rPr>
                  </w:pPr>
                  <w:r>
                    <w:rPr>
                      <w:color w:val="auto"/>
                      <w:szCs w:val="21"/>
                    </w:rPr>
                    <w:t>55</w:t>
                  </w:r>
                </w:p>
              </w:tc>
            </w:tr>
          </w:tbl>
          <w:p w14:paraId="2BBC6EA4">
            <w:pPr>
              <w:adjustRightInd w:val="0"/>
              <w:snapToGrid w:val="0"/>
              <w:spacing w:before="120" w:beforeLines="50" w:line="360" w:lineRule="auto"/>
              <w:jc w:val="center"/>
              <w:rPr>
                <w:b/>
                <w:color w:val="auto"/>
                <w:sz w:val="24"/>
              </w:rPr>
            </w:pPr>
            <w:r>
              <w:rPr>
                <w:b/>
                <w:color w:val="auto"/>
                <w:sz w:val="24"/>
              </w:rPr>
              <w:t>表</w:t>
            </w:r>
            <w:r>
              <w:rPr>
                <w:rFonts w:hint="eastAsia"/>
                <w:b/>
                <w:color w:val="auto"/>
                <w:sz w:val="24"/>
              </w:rPr>
              <w:t>3.</w:t>
            </w:r>
            <w:r>
              <w:rPr>
                <w:rFonts w:hint="eastAsia"/>
                <w:b/>
                <w:color w:val="auto"/>
                <w:sz w:val="24"/>
                <w:lang w:val="en-US" w:eastAsia="zh-CN"/>
              </w:rPr>
              <w:t>10</w:t>
            </w:r>
            <w:r>
              <w:rPr>
                <w:b/>
                <w:color w:val="auto"/>
                <w:sz w:val="24"/>
              </w:rPr>
              <w:t xml:space="preserve"> 工业企业厂界环境噪声排放标准 单位：dB（A）</w:t>
            </w:r>
          </w:p>
          <w:tbl>
            <w:tblPr>
              <w:tblStyle w:val="24"/>
              <w:tblW w:w="5000" w:type="pct"/>
              <w:jc w:val="center"/>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fixed"/>
              <w:tblCellMar>
                <w:top w:w="0" w:type="dxa"/>
                <w:left w:w="108" w:type="dxa"/>
                <w:bottom w:w="0" w:type="dxa"/>
                <w:right w:w="108" w:type="dxa"/>
              </w:tblCellMar>
            </w:tblPr>
            <w:tblGrid>
              <w:gridCol w:w="3751"/>
              <w:gridCol w:w="2257"/>
              <w:gridCol w:w="2238"/>
            </w:tblGrid>
            <w:tr w14:paraId="3421B208">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4061" w:type="dxa"/>
                  <w:tcBorders>
                    <w:top w:val="single" w:color="auto" w:sz="8" w:space="0"/>
                    <w:left w:val="single" w:color="auto" w:sz="8" w:space="0"/>
                    <w:bottom w:val="single" w:color="auto" w:sz="8" w:space="0"/>
                  </w:tcBorders>
                  <w:noWrap w:val="0"/>
                  <w:vAlign w:val="center"/>
                </w:tcPr>
                <w:p w14:paraId="21F49DAF">
                  <w:pPr>
                    <w:autoSpaceDE w:val="0"/>
                    <w:autoSpaceDN w:val="0"/>
                    <w:adjustRightInd w:val="0"/>
                    <w:snapToGrid w:val="0"/>
                    <w:spacing w:before="72" w:beforeLines="30"/>
                    <w:jc w:val="center"/>
                    <w:rPr>
                      <w:bCs/>
                      <w:color w:val="auto"/>
                      <w:szCs w:val="21"/>
                      <w:lang w:val="zh-CN"/>
                    </w:rPr>
                  </w:pPr>
                  <w:r>
                    <w:rPr>
                      <w:bCs/>
                      <w:color w:val="auto"/>
                      <w:szCs w:val="21"/>
                      <w:lang w:val="zh-CN"/>
                    </w:rPr>
                    <w:t>声环境功能区类别</w:t>
                  </w:r>
                </w:p>
              </w:tc>
              <w:tc>
                <w:tcPr>
                  <w:tcW w:w="2436" w:type="dxa"/>
                  <w:tcBorders>
                    <w:top w:val="single" w:color="auto" w:sz="8" w:space="0"/>
                    <w:bottom w:val="single" w:color="auto" w:sz="8" w:space="0"/>
                  </w:tcBorders>
                  <w:noWrap w:val="0"/>
                  <w:vAlign w:val="center"/>
                </w:tcPr>
                <w:p w14:paraId="778D11FF">
                  <w:pPr>
                    <w:autoSpaceDE w:val="0"/>
                    <w:autoSpaceDN w:val="0"/>
                    <w:adjustRightInd w:val="0"/>
                    <w:snapToGrid w:val="0"/>
                    <w:spacing w:before="72" w:beforeLines="30"/>
                    <w:jc w:val="center"/>
                    <w:rPr>
                      <w:bCs/>
                      <w:color w:val="auto"/>
                      <w:szCs w:val="21"/>
                      <w:lang w:val="zh-CN"/>
                    </w:rPr>
                  </w:pPr>
                  <w:r>
                    <w:rPr>
                      <w:bCs/>
                      <w:color w:val="auto"/>
                      <w:szCs w:val="21"/>
                      <w:lang w:val="zh-CN"/>
                    </w:rPr>
                    <w:t>昼间</w:t>
                  </w:r>
                </w:p>
              </w:tc>
              <w:tc>
                <w:tcPr>
                  <w:tcW w:w="2415" w:type="dxa"/>
                  <w:tcBorders>
                    <w:top w:val="single" w:color="auto" w:sz="8" w:space="0"/>
                    <w:bottom w:val="single" w:color="auto" w:sz="8" w:space="0"/>
                    <w:right w:val="single" w:color="auto" w:sz="8" w:space="0"/>
                  </w:tcBorders>
                  <w:noWrap w:val="0"/>
                  <w:vAlign w:val="center"/>
                </w:tcPr>
                <w:p w14:paraId="65997032">
                  <w:pPr>
                    <w:autoSpaceDE w:val="0"/>
                    <w:autoSpaceDN w:val="0"/>
                    <w:adjustRightInd w:val="0"/>
                    <w:snapToGrid w:val="0"/>
                    <w:spacing w:before="72" w:beforeLines="30"/>
                    <w:jc w:val="center"/>
                    <w:rPr>
                      <w:bCs/>
                      <w:color w:val="auto"/>
                      <w:szCs w:val="21"/>
                      <w:lang w:val="zh-CN"/>
                    </w:rPr>
                  </w:pPr>
                  <w:r>
                    <w:rPr>
                      <w:bCs/>
                      <w:color w:val="auto"/>
                      <w:szCs w:val="21"/>
                      <w:lang w:val="zh-CN"/>
                    </w:rPr>
                    <w:t>夜间</w:t>
                  </w:r>
                </w:p>
              </w:tc>
            </w:tr>
            <w:tr w14:paraId="31AE0FB0">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4061" w:type="dxa"/>
                  <w:tcBorders>
                    <w:top w:val="single" w:color="auto" w:sz="8" w:space="0"/>
                    <w:left w:val="single" w:color="auto" w:sz="8" w:space="0"/>
                    <w:bottom w:val="single" w:color="auto" w:sz="8" w:space="0"/>
                  </w:tcBorders>
                  <w:noWrap w:val="0"/>
                  <w:vAlign w:val="center"/>
                </w:tcPr>
                <w:p w14:paraId="59A728B0">
                  <w:pPr>
                    <w:autoSpaceDE w:val="0"/>
                    <w:autoSpaceDN w:val="0"/>
                    <w:adjustRightInd w:val="0"/>
                    <w:snapToGrid w:val="0"/>
                    <w:spacing w:before="72" w:beforeLines="30"/>
                    <w:jc w:val="center"/>
                    <w:rPr>
                      <w:bCs/>
                      <w:color w:val="auto"/>
                      <w:szCs w:val="21"/>
                      <w:lang w:val="zh-CN"/>
                    </w:rPr>
                  </w:pPr>
                  <w:r>
                    <w:rPr>
                      <w:bCs/>
                      <w:color w:val="auto"/>
                      <w:szCs w:val="21"/>
                    </w:rPr>
                    <w:t>3</w:t>
                  </w:r>
                  <w:r>
                    <w:rPr>
                      <w:bCs/>
                      <w:color w:val="auto"/>
                      <w:szCs w:val="21"/>
                      <w:lang w:val="zh-CN"/>
                    </w:rPr>
                    <w:t>类</w:t>
                  </w:r>
                </w:p>
              </w:tc>
              <w:tc>
                <w:tcPr>
                  <w:tcW w:w="2436" w:type="dxa"/>
                  <w:tcBorders>
                    <w:top w:val="single" w:color="auto" w:sz="8" w:space="0"/>
                    <w:bottom w:val="single" w:color="auto" w:sz="8" w:space="0"/>
                  </w:tcBorders>
                  <w:noWrap w:val="0"/>
                  <w:vAlign w:val="center"/>
                </w:tcPr>
                <w:p w14:paraId="601209FD">
                  <w:pPr>
                    <w:autoSpaceDE w:val="0"/>
                    <w:autoSpaceDN w:val="0"/>
                    <w:adjustRightInd w:val="0"/>
                    <w:snapToGrid w:val="0"/>
                    <w:spacing w:before="72" w:beforeLines="30"/>
                    <w:jc w:val="center"/>
                    <w:rPr>
                      <w:bCs/>
                      <w:color w:val="auto"/>
                      <w:szCs w:val="21"/>
                    </w:rPr>
                  </w:pPr>
                  <w:r>
                    <w:rPr>
                      <w:bCs/>
                      <w:color w:val="auto"/>
                      <w:szCs w:val="21"/>
                    </w:rPr>
                    <w:t>65</w:t>
                  </w:r>
                </w:p>
              </w:tc>
              <w:tc>
                <w:tcPr>
                  <w:tcW w:w="2415" w:type="dxa"/>
                  <w:tcBorders>
                    <w:top w:val="single" w:color="auto" w:sz="8" w:space="0"/>
                    <w:bottom w:val="single" w:color="auto" w:sz="8" w:space="0"/>
                    <w:right w:val="single" w:color="auto" w:sz="8" w:space="0"/>
                  </w:tcBorders>
                  <w:noWrap w:val="0"/>
                  <w:vAlign w:val="center"/>
                </w:tcPr>
                <w:p w14:paraId="3AA162B2">
                  <w:pPr>
                    <w:autoSpaceDE w:val="0"/>
                    <w:autoSpaceDN w:val="0"/>
                    <w:adjustRightInd w:val="0"/>
                    <w:snapToGrid w:val="0"/>
                    <w:spacing w:before="72" w:beforeLines="30"/>
                    <w:jc w:val="center"/>
                    <w:rPr>
                      <w:bCs/>
                      <w:color w:val="auto"/>
                      <w:szCs w:val="21"/>
                    </w:rPr>
                  </w:pPr>
                  <w:r>
                    <w:rPr>
                      <w:bCs/>
                      <w:color w:val="auto"/>
                      <w:szCs w:val="21"/>
                    </w:rPr>
                    <w:t>55</w:t>
                  </w:r>
                </w:p>
              </w:tc>
            </w:tr>
          </w:tbl>
          <w:p w14:paraId="4A9081F9">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left"/>
              <w:textAlignment w:val="auto"/>
              <w:rPr>
                <w:rFonts w:hint="default" w:ascii="Times New Roman" w:hAnsi="Times New Roman" w:eastAsia="宋体" w:cs="Times New Roman"/>
                <w:b/>
                <w:bCs/>
                <w:kern w:val="0"/>
                <w:sz w:val="24"/>
                <w:szCs w:val="24"/>
                <w:highlight w:val="none"/>
                <w:shd w:val="clear" w:color="auto" w:fill="auto"/>
              </w:rPr>
            </w:pPr>
            <w:r>
              <w:rPr>
                <w:rFonts w:hint="eastAsia" w:cs="Times New Roman"/>
                <w:b/>
                <w:bCs/>
                <w:kern w:val="0"/>
                <w:sz w:val="24"/>
                <w:szCs w:val="24"/>
                <w:highlight w:val="none"/>
                <w:shd w:val="clear" w:color="auto" w:fill="auto"/>
                <w:lang w:eastAsia="zh-CN"/>
              </w:rPr>
              <w:t>4.</w:t>
            </w:r>
            <w:r>
              <w:rPr>
                <w:rFonts w:hint="default" w:ascii="Times New Roman" w:hAnsi="Times New Roman" w:eastAsia="宋体" w:cs="Times New Roman"/>
                <w:b/>
                <w:bCs/>
                <w:kern w:val="0"/>
                <w:sz w:val="24"/>
                <w:szCs w:val="24"/>
                <w:highlight w:val="none"/>
                <w:shd w:val="clear" w:color="auto" w:fill="auto"/>
              </w:rPr>
              <w:t>固废排放标准</w:t>
            </w:r>
          </w:p>
          <w:p w14:paraId="20481107">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jc w:val="both"/>
              <w:textAlignment w:val="auto"/>
              <w:rPr>
                <w:rFonts w:hint="default" w:ascii="Times New Roman" w:hAnsi="Times New Roman" w:cs="Times New Roman"/>
                <w:kern w:val="0"/>
                <w:sz w:val="24"/>
                <w:szCs w:val="24"/>
                <w:lang w:val="en-US" w:eastAsia="zh-CN"/>
              </w:rPr>
            </w:pPr>
            <w:r>
              <w:rPr>
                <w:rFonts w:hint="default" w:ascii="Times New Roman" w:hAnsi="Times New Roman" w:eastAsia="宋体" w:cs="Times New Roman"/>
                <w:kern w:val="0"/>
                <w:sz w:val="24"/>
                <w:szCs w:val="24"/>
                <w:highlight w:val="none"/>
                <w:shd w:val="clear" w:color="auto" w:fill="auto"/>
              </w:rPr>
              <w:t>一般固体废物的贮存执行《中华人民共和国固体废物污染环境防治法》的贮存要求，参照执行</w:t>
            </w:r>
            <w:r>
              <w:rPr>
                <w:rFonts w:hint="default" w:ascii="Times New Roman" w:hAnsi="Times New Roman" w:eastAsia="宋体" w:cs="Times New Roman"/>
                <w:sz w:val="24"/>
                <w:szCs w:val="24"/>
                <w:highlight w:val="none"/>
                <w:shd w:val="clear" w:color="auto" w:fill="auto"/>
              </w:rPr>
              <w:t>《一般工业固体废物贮存</w:t>
            </w:r>
            <w:r>
              <w:rPr>
                <w:rFonts w:hint="eastAsia" w:ascii="Times New Roman" w:hAnsi="Times New Roman" w:eastAsia="宋体" w:cs="Times New Roman"/>
                <w:sz w:val="24"/>
                <w:szCs w:val="24"/>
                <w:highlight w:val="none"/>
                <w:shd w:val="clear" w:color="auto" w:fill="auto"/>
                <w:lang w:eastAsia="zh-CN"/>
              </w:rPr>
              <w:t>和填埋污染控制标准</w:t>
            </w:r>
            <w:r>
              <w:rPr>
                <w:rFonts w:hint="default" w:ascii="Times New Roman" w:hAnsi="Times New Roman" w:eastAsia="宋体" w:cs="Times New Roman"/>
                <w:sz w:val="24"/>
                <w:szCs w:val="24"/>
                <w:highlight w:val="none"/>
                <w:shd w:val="clear" w:color="auto" w:fill="auto"/>
              </w:rPr>
              <w:t>》（GB18599-20</w:t>
            </w:r>
            <w:r>
              <w:rPr>
                <w:rFonts w:hint="eastAsia" w:ascii="Times New Roman" w:hAnsi="Times New Roman" w:eastAsia="宋体" w:cs="Times New Roman"/>
                <w:sz w:val="24"/>
                <w:szCs w:val="24"/>
                <w:highlight w:val="none"/>
                <w:shd w:val="clear" w:color="auto" w:fill="auto"/>
                <w:lang w:val="en-US" w:eastAsia="zh-CN"/>
              </w:rPr>
              <w:t>20</w:t>
            </w:r>
            <w:r>
              <w:rPr>
                <w:rFonts w:hint="default" w:ascii="Times New Roman" w:hAnsi="Times New Roman" w:eastAsia="宋体" w:cs="Times New Roman"/>
                <w:sz w:val="24"/>
                <w:szCs w:val="24"/>
                <w:highlight w:val="none"/>
                <w:shd w:val="clear" w:color="auto" w:fill="auto"/>
              </w:rPr>
              <w:t>）</w:t>
            </w:r>
            <w:r>
              <w:rPr>
                <w:rFonts w:hint="default" w:ascii="Times New Roman" w:hAnsi="Times New Roman" w:eastAsia="宋体" w:cs="Times New Roman"/>
                <w:color w:val="auto"/>
                <w:kern w:val="0"/>
                <w:sz w:val="24"/>
                <w:szCs w:val="24"/>
                <w:highlight w:val="none"/>
                <w:shd w:val="clear" w:color="auto" w:fill="auto"/>
              </w:rPr>
              <w:t>中的相关规定</w:t>
            </w:r>
            <w:r>
              <w:rPr>
                <w:rFonts w:hint="default" w:ascii="Times New Roman" w:hAnsi="Times New Roman" w:cs="Times New Roman"/>
                <w:kern w:val="0"/>
                <w:sz w:val="24"/>
                <w:szCs w:val="24"/>
                <w:lang w:val="en-US" w:eastAsia="zh-CN"/>
              </w:rPr>
              <w:t>。</w:t>
            </w:r>
            <w:r>
              <w:rPr>
                <w:rFonts w:hint="default" w:ascii="Times New Roman" w:hAnsi="Times New Roman" w:eastAsia="宋体" w:cs="Times New Roman"/>
                <w:snapToGrid/>
                <w:color w:val="auto"/>
                <w:spacing w:val="0"/>
                <w:kern w:val="0"/>
                <w:position w:val="0"/>
                <w:sz w:val="24"/>
                <w:szCs w:val="24"/>
              </w:rPr>
              <w:t>危险废物执行《危险废物贮存污染控制标</w:t>
            </w:r>
            <w:r>
              <w:rPr>
                <w:rFonts w:hint="eastAsia" w:ascii="Times New Roman" w:hAnsi="Times New Roman" w:eastAsia="宋体" w:cs="Times New Roman"/>
                <w:snapToGrid/>
                <w:color w:val="auto"/>
                <w:spacing w:val="0"/>
                <w:kern w:val="0"/>
                <w:position w:val="0"/>
                <w:sz w:val="24"/>
                <w:szCs w:val="24"/>
                <w:lang w:eastAsia="zh-CN"/>
              </w:rPr>
              <w:t>准》</w:t>
            </w:r>
            <w:r>
              <w:rPr>
                <w:rFonts w:hint="default" w:ascii="Times New Roman" w:hAnsi="Times New Roman" w:eastAsia="宋体" w:cs="Times New Roman"/>
                <w:snapToGrid/>
                <w:color w:val="auto"/>
                <w:spacing w:val="0"/>
                <w:kern w:val="0"/>
                <w:position w:val="0"/>
                <w:sz w:val="24"/>
                <w:szCs w:val="24"/>
              </w:rPr>
              <w:t>（GB18597-20</w:t>
            </w:r>
            <w:r>
              <w:rPr>
                <w:rFonts w:hint="eastAsia" w:cs="Times New Roman"/>
                <w:snapToGrid/>
                <w:color w:val="auto"/>
                <w:spacing w:val="0"/>
                <w:kern w:val="0"/>
                <w:position w:val="0"/>
                <w:sz w:val="24"/>
                <w:szCs w:val="24"/>
                <w:lang w:val="en-US" w:eastAsia="zh-CN"/>
              </w:rPr>
              <w:t>23</w:t>
            </w:r>
            <w:r>
              <w:rPr>
                <w:rFonts w:hint="default" w:ascii="Times New Roman" w:hAnsi="Times New Roman" w:eastAsia="宋体" w:cs="Times New Roman"/>
                <w:snapToGrid/>
                <w:color w:val="auto"/>
                <w:spacing w:val="0"/>
                <w:kern w:val="0"/>
                <w:position w:val="0"/>
                <w:sz w:val="24"/>
                <w:szCs w:val="24"/>
              </w:rPr>
              <w:t>）中的相关规定。</w:t>
            </w:r>
          </w:p>
          <w:p w14:paraId="7EB3141F">
            <w:pPr>
              <w:adjustRightInd w:val="0"/>
              <w:snapToGrid w:val="0"/>
              <w:jc w:val="both"/>
              <w:rPr>
                <w:rFonts w:hint="eastAsia" w:cs="Times New Roman"/>
                <w:kern w:val="0"/>
                <w:sz w:val="24"/>
                <w:szCs w:val="24"/>
                <w:lang w:val="en-US" w:eastAsia="zh-CN"/>
              </w:rPr>
            </w:pPr>
          </w:p>
          <w:p w14:paraId="5D24D8F4">
            <w:pPr>
              <w:adjustRightInd w:val="0"/>
              <w:snapToGrid w:val="0"/>
              <w:jc w:val="both"/>
              <w:rPr>
                <w:rFonts w:hint="eastAsia" w:cs="Times New Roman"/>
                <w:kern w:val="0"/>
                <w:sz w:val="24"/>
                <w:szCs w:val="24"/>
                <w:lang w:val="en-US" w:eastAsia="zh-CN"/>
              </w:rPr>
            </w:pPr>
          </w:p>
          <w:p w14:paraId="2BA61211">
            <w:pPr>
              <w:adjustRightInd w:val="0"/>
              <w:snapToGrid w:val="0"/>
              <w:jc w:val="both"/>
              <w:rPr>
                <w:rFonts w:hint="default" w:ascii="Times New Roman" w:hAnsi="Times New Roman" w:eastAsia="宋体" w:cs="Times New Roman"/>
                <w:kern w:val="0"/>
                <w:sz w:val="24"/>
                <w:szCs w:val="24"/>
                <w:lang w:val="en-US" w:eastAsia="zh-CN"/>
              </w:rPr>
            </w:pPr>
          </w:p>
        </w:tc>
      </w:tr>
      <w:tr w14:paraId="318429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20" w:hRule="atLeast"/>
          <w:jc w:val="center"/>
        </w:trPr>
        <w:tc>
          <w:tcPr>
            <w:tcW w:w="528" w:type="dxa"/>
            <w:tcBorders>
              <w:tl2br w:val="nil"/>
              <w:tr2bl w:val="nil"/>
            </w:tcBorders>
            <w:noWrap w:val="0"/>
            <w:vAlign w:val="center"/>
          </w:tcPr>
          <w:p w14:paraId="0529A12B">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总量</w:t>
            </w:r>
          </w:p>
          <w:p w14:paraId="0DE2AFED">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控制</w:t>
            </w:r>
          </w:p>
          <w:p w14:paraId="276F561F">
            <w:pPr>
              <w:adjustRightInd w:val="0"/>
              <w:snapToGrid w:val="0"/>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指标</w:t>
            </w:r>
          </w:p>
        </w:tc>
        <w:tc>
          <w:tcPr>
            <w:tcW w:w="8462" w:type="dxa"/>
            <w:tcBorders>
              <w:tl2br w:val="nil"/>
              <w:tr2bl w:val="nil"/>
            </w:tcBorders>
            <w:noWrap w:val="0"/>
            <w:vAlign w:val="center"/>
          </w:tcPr>
          <w:p w14:paraId="3C9F04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根据《安徽省</w:t>
            </w:r>
            <w:r>
              <w:rPr>
                <w:rFonts w:hint="eastAsia" w:ascii="宋体" w:hAnsi="宋体" w:eastAsia="宋体" w:cs="宋体"/>
                <w:sz w:val="24"/>
                <w:szCs w:val="24"/>
              </w:rPr>
              <w:t>“十四五”</w:t>
            </w:r>
            <w:r>
              <w:rPr>
                <w:rFonts w:hint="default" w:ascii="Times New Roman" w:hAnsi="Times New Roman" w:eastAsia="宋体" w:cs="Times New Roman"/>
                <w:sz w:val="24"/>
                <w:szCs w:val="24"/>
              </w:rPr>
              <w:t>生态环境保护规划》和《关于进一步加强建设项目新增大气主要污染物总量指标管理工作的通知》（安徽省环保厅（皖环发</w:t>
            </w:r>
            <w:r>
              <w:rPr>
                <w:rFonts w:hint="eastAsia" w:cs="Times New Roman"/>
                <w:sz w:val="24"/>
                <w:szCs w:val="24"/>
                <w:lang w:eastAsia="zh-CN"/>
              </w:rPr>
              <w:t>〔2017〕19号</w:t>
            </w:r>
            <w:r>
              <w:rPr>
                <w:rFonts w:hint="default" w:ascii="Times New Roman" w:hAnsi="Times New Roman" w:eastAsia="宋体" w:cs="Times New Roman"/>
                <w:sz w:val="24"/>
                <w:szCs w:val="24"/>
              </w:rPr>
              <w:t>）），对水污染物化学需氧量（COD）、氨氮（NH</w:t>
            </w:r>
            <w:r>
              <w:rPr>
                <w:rFonts w:hint="default" w:ascii="Times New Roman" w:hAnsi="Times New Roman" w:eastAsia="宋体" w:cs="Times New Roman"/>
                <w:sz w:val="24"/>
                <w:szCs w:val="24"/>
                <w:vertAlign w:val="subscript"/>
              </w:rPr>
              <w:t>3</w:t>
            </w:r>
            <w:r>
              <w:rPr>
                <w:rFonts w:hint="default" w:ascii="Times New Roman" w:hAnsi="Times New Roman" w:eastAsia="宋体" w:cs="Times New Roman"/>
                <w:sz w:val="24"/>
                <w:szCs w:val="24"/>
              </w:rPr>
              <w:t>-N）两项指标，大气污染物二氧化硫（SO</w:t>
            </w:r>
            <w:r>
              <w:rPr>
                <w:rFonts w:hint="default" w:ascii="Times New Roman" w:hAnsi="Times New Roman" w:eastAsia="宋体" w:cs="Times New Roman"/>
                <w:sz w:val="24"/>
                <w:szCs w:val="24"/>
                <w:vertAlign w:val="subscript"/>
              </w:rPr>
              <w:t>2</w:t>
            </w:r>
            <w:r>
              <w:rPr>
                <w:rFonts w:hint="default" w:ascii="Times New Roman" w:hAnsi="Times New Roman" w:eastAsia="宋体" w:cs="Times New Roman"/>
                <w:sz w:val="24"/>
                <w:szCs w:val="24"/>
              </w:rPr>
              <w:t>）、氮氧化物（NO</w:t>
            </w:r>
            <w:r>
              <w:rPr>
                <w:rFonts w:hint="default" w:ascii="Times New Roman" w:hAnsi="Times New Roman" w:eastAsia="宋体" w:cs="Times New Roman"/>
                <w:sz w:val="24"/>
                <w:szCs w:val="24"/>
                <w:vertAlign w:val="subscript"/>
              </w:rPr>
              <w:t>X</w:t>
            </w:r>
            <w:r>
              <w:rPr>
                <w:rFonts w:hint="default" w:ascii="Times New Roman" w:hAnsi="Times New Roman" w:eastAsia="宋体" w:cs="Times New Roman"/>
                <w:sz w:val="24"/>
                <w:szCs w:val="24"/>
              </w:rPr>
              <w:t>）、烟（粉）尘、挥发性有机物（VOC</w:t>
            </w:r>
            <w:r>
              <w:rPr>
                <w:rFonts w:hint="default" w:ascii="Times New Roman" w:hAnsi="Times New Roman" w:eastAsia="宋体" w:cs="Times New Roman"/>
                <w:sz w:val="24"/>
                <w:szCs w:val="24"/>
                <w:vertAlign w:val="subscript"/>
              </w:rPr>
              <w:t>S</w:t>
            </w:r>
            <w:r>
              <w:rPr>
                <w:rFonts w:hint="default" w:ascii="Times New Roman" w:hAnsi="Times New Roman" w:eastAsia="宋体" w:cs="Times New Roman"/>
                <w:sz w:val="24"/>
                <w:szCs w:val="24"/>
              </w:rPr>
              <w:t>）四项指标实施污染物排放总量控制。</w:t>
            </w:r>
          </w:p>
          <w:p w14:paraId="638143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安徽省排污权有偿使用和交易管理办法（试行）》，实施排污权交易的排污单位为全省列入排污许可重点和简化管理范围内有污染物许可排放量要求的排污单位，实施排污权交易的污染物种类为化学需氧量（COD）、氨氮（NH</w:t>
            </w:r>
            <w:r>
              <w:rPr>
                <w:rFonts w:hint="default" w:ascii="Times New Roman" w:hAnsi="Times New Roman" w:eastAsia="宋体" w:cs="Times New Roman"/>
                <w:sz w:val="24"/>
                <w:szCs w:val="24"/>
                <w:vertAlign w:val="subscript"/>
              </w:rPr>
              <w:t>3</w:t>
            </w:r>
            <w:r>
              <w:rPr>
                <w:rFonts w:hint="default" w:ascii="Times New Roman" w:hAnsi="Times New Roman" w:eastAsia="宋体" w:cs="Times New Roman"/>
                <w:sz w:val="24"/>
                <w:szCs w:val="24"/>
              </w:rPr>
              <w:t>-N）、二氧化硫（SO</w:t>
            </w:r>
            <w:r>
              <w:rPr>
                <w:rFonts w:hint="default" w:ascii="Times New Roman" w:hAnsi="Times New Roman" w:eastAsia="宋体" w:cs="Times New Roman"/>
                <w:sz w:val="24"/>
                <w:szCs w:val="24"/>
                <w:vertAlign w:val="subscript"/>
              </w:rPr>
              <w:t>2</w:t>
            </w:r>
            <w:r>
              <w:rPr>
                <w:rFonts w:hint="default" w:ascii="Times New Roman" w:hAnsi="Times New Roman" w:eastAsia="宋体" w:cs="Times New Roman"/>
                <w:sz w:val="24"/>
                <w:szCs w:val="24"/>
              </w:rPr>
              <w:t>）、氮氧化物（NO</w:t>
            </w:r>
            <w:r>
              <w:rPr>
                <w:rFonts w:hint="default" w:ascii="Times New Roman" w:hAnsi="Times New Roman" w:eastAsia="宋体" w:cs="Times New Roman"/>
                <w:sz w:val="24"/>
                <w:szCs w:val="24"/>
                <w:vertAlign w:val="subscript"/>
              </w:rPr>
              <w:t>X</w:t>
            </w:r>
            <w:r>
              <w:rPr>
                <w:rFonts w:hint="default" w:ascii="Times New Roman" w:hAnsi="Times New Roman" w:eastAsia="宋体" w:cs="Times New Roman"/>
                <w:sz w:val="24"/>
                <w:szCs w:val="24"/>
              </w:rPr>
              <w:t>）4类。</w:t>
            </w:r>
          </w:p>
          <w:p w14:paraId="47D1C6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本项目</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生活污水经化粪池预处理后</w:t>
            </w:r>
            <w:r>
              <w:rPr>
                <w:rFonts w:hint="default" w:ascii="Times New Roman" w:hAnsi="Times New Roman" w:eastAsia="宋体" w:cs="Times New Roman"/>
                <w:color w:val="000000" w:themeColor="text1"/>
                <w:sz w:val="24"/>
                <w:szCs w:val="24"/>
                <w14:textFill>
                  <w14:solidFill>
                    <w14:schemeClr w14:val="tx1"/>
                  </w14:solidFill>
                </w14:textFill>
              </w:rPr>
              <w:t>达</w:t>
            </w:r>
            <w:r>
              <w:rPr>
                <w:rFonts w:hint="eastAsia" w:cs="Times New Roman"/>
                <w:color w:val="000000" w:themeColor="text1"/>
                <w:sz w:val="24"/>
                <w:szCs w:val="24"/>
                <w:lang w:eastAsia="zh-CN"/>
                <w14:textFill>
                  <w14:solidFill>
                    <w14:schemeClr w14:val="tx1"/>
                  </w14:solidFill>
                </w14:textFill>
              </w:rPr>
              <w:t>到《污水综合排放标准》（GB8978-1996）中三级排放标准</w:t>
            </w:r>
            <w:r>
              <w:rPr>
                <w:rFonts w:hint="default" w:ascii="Times New Roman" w:hAnsi="Times New Roman" w:eastAsia="宋体" w:cs="Times New Roman"/>
                <w:color w:val="000000" w:themeColor="text1"/>
                <w:sz w:val="24"/>
                <w:szCs w:val="24"/>
                <w14:textFill>
                  <w14:solidFill>
                    <w14:schemeClr w14:val="tx1"/>
                  </w14:solidFill>
                </w14:textFill>
              </w:rPr>
              <w:t>及</w:t>
            </w:r>
            <w:r>
              <w:rPr>
                <w:rFonts w:hint="eastAsia"/>
                <w:sz w:val="24"/>
              </w:rPr>
              <w:t>城东污水处理厂</w:t>
            </w:r>
            <w:r>
              <w:rPr>
                <w:rFonts w:hint="default" w:ascii="Times New Roman" w:hAnsi="Times New Roman" w:eastAsia="宋体" w:cs="Times New Roman"/>
                <w:color w:val="000000" w:themeColor="text1"/>
                <w:sz w:val="24"/>
                <w:szCs w:val="24"/>
                <w14:textFill>
                  <w14:solidFill>
                    <w14:schemeClr w14:val="tx1"/>
                  </w14:solidFill>
                </w14:textFill>
              </w:rPr>
              <w:t>接管标准限值后排入</w:t>
            </w:r>
            <w:r>
              <w:rPr>
                <w:rFonts w:hint="eastAsia"/>
                <w:sz w:val="24"/>
              </w:rPr>
              <w:t>城东污水处理厂</w:t>
            </w:r>
            <w:r>
              <w:rPr>
                <w:rFonts w:hint="default" w:ascii="Times New Roman" w:hAnsi="Times New Roman" w:eastAsia="宋体" w:cs="Times New Roman"/>
                <w:color w:val="000000" w:themeColor="text1"/>
                <w:sz w:val="24"/>
                <w:szCs w:val="24"/>
                <w14:textFill>
                  <w14:solidFill>
                    <w14:schemeClr w14:val="tx1"/>
                  </w14:solidFill>
                </w14:textFill>
              </w:rPr>
              <w:t>集中处理</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p w14:paraId="63C226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根据主要环境影响和保护措施分析计算，本项目运营期排放的废气污染物排放量为：</w:t>
            </w:r>
            <w:r>
              <w:rPr>
                <w:rFonts w:hint="eastAsia" w:ascii="Times New Roman" w:hAnsi="Times New Roman" w:eastAsia="宋体" w:cs="Times New Roman"/>
                <w:color w:val="000000" w:themeColor="text1"/>
                <w:sz w:val="24"/>
                <w:szCs w:val="24"/>
                <w:lang w:eastAsia="zh-CN"/>
                <w14:textFill>
                  <w14:solidFill>
                    <w14:schemeClr w14:val="tx1"/>
                  </w14:solidFill>
                </w14:textFill>
              </w:rPr>
              <w:t>颗粒物：</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0.665t/a</w:t>
            </w:r>
            <w:r>
              <w:rPr>
                <w:rFonts w:hint="eastAsia" w:ascii="Times New Roman" w:hAnsi="Times New Roman" w:eastAsia="宋体" w:cs="Times New Roman"/>
                <w:color w:val="000000" w:themeColor="text1"/>
                <w:sz w:val="24"/>
                <w:szCs w:val="24"/>
                <w:lang w:eastAsia="zh-CN"/>
                <w14:textFill>
                  <w14:solidFill>
                    <w14:schemeClr w14:val="tx1"/>
                  </w14:solidFill>
                </w14:textFill>
              </w:rPr>
              <w:t>，挥发性有机物：</w:t>
            </w:r>
            <w:r>
              <w:rPr>
                <w:rFonts w:hint="eastAsia" w:cs="Times New Roman"/>
                <w:color w:val="000000" w:themeColor="text1"/>
                <w:sz w:val="24"/>
                <w:szCs w:val="24"/>
                <w:lang w:val="en-US" w:eastAsia="zh-CN"/>
                <w14:textFill>
                  <w14:solidFill>
                    <w14:schemeClr w14:val="tx1"/>
                  </w14:solidFill>
                </w14:textFill>
              </w:rPr>
              <w:t>0.669</w:t>
            </w:r>
            <w:r>
              <w:rPr>
                <w:rFonts w:hint="default" w:ascii="Times New Roman" w:hAnsi="Times New Roman" w:eastAsia="宋体" w:cs="Times New Roman"/>
                <w:color w:val="000000" w:themeColor="text1"/>
                <w:sz w:val="24"/>
                <w:szCs w:val="24"/>
                <w14:textFill>
                  <w14:solidFill>
                    <w14:schemeClr w14:val="tx1"/>
                  </w14:solidFill>
                </w14:textFill>
              </w:rPr>
              <w:t>t/a。</w:t>
            </w:r>
          </w:p>
          <w:p w14:paraId="0B1984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snapToGrid/>
                <w:color w:val="000000" w:themeColor="text1"/>
                <w:spacing w:val="0"/>
                <w:kern w:val="0"/>
                <w:position w:val="0"/>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lang w:val="en-US" w:eastAsia="zh-CN"/>
                <w14:textFill>
                  <w14:solidFill>
                    <w14:schemeClr w14:val="tx1"/>
                  </w14:solidFill>
                </w14:textFill>
              </w:rPr>
              <w:t>宿州市生态环境局核定</w:t>
            </w:r>
            <w:r>
              <w:rPr>
                <w:rFonts w:hint="default" w:ascii="Times New Roman" w:hAnsi="Times New Roman" w:eastAsia="宋体" w:cs="Times New Roman"/>
                <w:sz w:val="24"/>
                <w:szCs w:val="24"/>
                <w:lang w:val="en-US" w:eastAsia="zh-CN"/>
              </w:rPr>
              <w:t>安徽爱乐新材料科技有限公司年产一万吨高性能秸秆木塑型材智能制造项目</w:t>
            </w:r>
            <w:r>
              <w:rPr>
                <w:rFonts w:hint="default" w:ascii="Times New Roman" w:hAnsi="Times New Roman" w:eastAsia="宋体" w:cs="Times New Roman"/>
                <w:color w:val="000000" w:themeColor="text1"/>
                <w:sz w:val="24"/>
                <w:szCs w:val="24"/>
                <w14:textFill>
                  <w14:solidFill>
                    <w14:schemeClr w14:val="tx1"/>
                  </w14:solidFill>
                </w14:textFill>
              </w:rPr>
              <w:t>新增主要污染物排放总量控制目标为：</w:t>
            </w:r>
            <w:r>
              <w:rPr>
                <w:rFonts w:hint="eastAsia" w:ascii="Times New Roman" w:hAnsi="Times New Roman" w:eastAsia="宋体" w:cs="Times New Roman"/>
                <w:color w:val="000000" w:themeColor="text1"/>
                <w:sz w:val="24"/>
                <w:szCs w:val="24"/>
                <w:lang w:eastAsia="zh-CN"/>
                <w14:textFill>
                  <w14:solidFill>
                    <w14:schemeClr w14:val="tx1"/>
                  </w14:solidFill>
                </w14:textFill>
              </w:rPr>
              <w:t>颗粒物：</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0.827t/a</w:t>
            </w:r>
            <w:r>
              <w:rPr>
                <w:rFonts w:hint="eastAsia" w:ascii="Times New Roman" w:hAnsi="Times New Roman" w:eastAsia="宋体" w:cs="Times New Roman"/>
                <w:color w:val="000000" w:themeColor="text1"/>
                <w:sz w:val="24"/>
                <w:szCs w:val="24"/>
                <w:lang w:eastAsia="zh-CN"/>
                <w14:textFill>
                  <w14:solidFill>
                    <w14:schemeClr w14:val="tx1"/>
                  </w14:solidFill>
                </w14:textFill>
              </w:rPr>
              <w:t>，挥发性有机物：</w:t>
            </w:r>
            <w:r>
              <w:rPr>
                <w:rFonts w:hint="eastAsia" w:cs="Times New Roman"/>
                <w:color w:val="000000" w:themeColor="text1"/>
                <w:sz w:val="24"/>
                <w:szCs w:val="24"/>
                <w:lang w:val="en-US" w:eastAsia="zh-CN"/>
                <w14:textFill>
                  <w14:solidFill>
                    <w14:schemeClr w14:val="tx1"/>
                  </w14:solidFill>
                </w14:textFill>
              </w:rPr>
              <w:t>1.425</w:t>
            </w:r>
            <w:r>
              <w:rPr>
                <w:rFonts w:hint="default" w:ascii="Times New Roman" w:hAnsi="Times New Roman" w:eastAsia="宋体" w:cs="Times New Roman"/>
                <w:color w:val="000000" w:themeColor="text1"/>
                <w:sz w:val="24"/>
                <w:szCs w:val="24"/>
                <w14:textFill>
                  <w14:solidFill>
                    <w14:schemeClr w14:val="tx1"/>
                  </w14:solidFill>
                </w14:textFill>
              </w:rPr>
              <w:t>t/a。</w:t>
            </w:r>
          </w:p>
          <w:p w14:paraId="5D1ADF1D">
            <w:pPr>
              <w:pStyle w:val="30"/>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lang w:val="en-US" w:eastAsia="zh-CN"/>
              </w:rPr>
            </w:pPr>
            <w:r>
              <w:rPr>
                <w:rFonts w:hint="default" w:ascii="Times New Roman" w:hAnsi="Times New Roman" w:eastAsia="宋体" w:cs="Times New Roman"/>
                <w:color w:val="000000" w:themeColor="text1"/>
                <w:sz w:val="24"/>
                <w:szCs w:val="24"/>
                <w14:textFill>
                  <w14:solidFill>
                    <w14:schemeClr w14:val="tx1"/>
                  </w14:solidFill>
                </w14:textFill>
              </w:rPr>
              <w:t>综上所述，本项目总量控制指标满足核定要求（详见附件</w:t>
            </w:r>
            <w:r>
              <w:rPr>
                <w:rFonts w:hint="eastAsia" w:cs="Times New Roman"/>
                <w:color w:val="000000" w:themeColor="text1"/>
                <w:sz w:val="24"/>
                <w:szCs w:val="24"/>
                <w:lang w:val="en-US" w:eastAsia="zh-CN"/>
                <w14:textFill>
                  <w14:solidFill>
                    <w14:schemeClr w14:val="tx1"/>
                  </w14:solidFill>
                </w14:textFill>
              </w:rPr>
              <w:t>11</w:t>
            </w:r>
            <w:r>
              <w:rPr>
                <w:rFonts w:hint="default" w:ascii="Times New Roman" w:hAnsi="Times New Roman" w:eastAsia="宋体" w:cs="Times New Roman"/>
                <w:color w:val="000000" w:themeColor="text1"/>
                <w:sz w:val="24"/>
                <w:szCs w:val="24"/>
                <w14:textFill>
                  <w14:solidFill>
                    <w14:schemeClr w14:val="tx1"/>
                  </w14:solidFill>
                </w14:textFill>
              </w:rPr>
              <w:t>）</w:t>
            </w:r>
          </w:p>
          <w:p w14:paraId="4984F8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kern w:val="0"/>
                <w:sz w:val="24"/>
                <w:szCs w:val="24"/>
              </w:rPr>
            </w:pPr>
          </w:p>
        </w:tc>
      </w:tr>
    </w:tbl>
    <w:p w14:paraId="0B76949E">
      <w:pPr>
        <w:pStyle w:val="22"/>
        <w:keepNext w:val="0"/>
        <w:keepLines w:val="0"/>
        <w:pageBreakBefore w:val="0"/>
        <w:widowControl/>
        <w:kinsoku/>
        <w:wordWrap/>
        <w:overflowPunct/>
        <w:topLinePunct w:val="0"/>
        <w:autoSpaceDE/>
        <w:autoSpaceDN/>
        <w:bidi w:val="0"/>
        <w:adjustRightInd/>
        <w:snapToGrid/>
        <w:spacing w:before="0" w:beforeAutospacing="0" w:after="157" w:afterLines="50" w:afterAutospacing="0"/>
        <w:jc w:val="center"/>
        <w:textAlignment w:val="auto"/>
        <w:outlineLvl w:val="0"/>
        <w:rPr>
          <w:rFonts w:hint="eastAsia" w:ascii="宋体" w:cs="宋体"/>
          <w:b/>
          <w:kern w:val="0"/>
          <w:sz w:val="28"/>
          <w:szCs w:val="28"/>
        </w:rPr>
      </w:pPr>
      <w:r>
        <w:rPr>
          <w:rFonts w:ascii="黑体" w:hAnsi="黑体" w:eastAsia="黑体"/>
          <w:snapToGrid w:val="0"/>
          <w:sz w:val="36"/>
          <w:szCs w:val="36"/>
        </w:rPr>
        <w:br w:type="page"/>
      </w:r>
      <w:r>
        <w:rPr>
          <w:rFonts w:hint="eastAsia" w:ascii="宋体" w:hAnsi="宋体" w:eastAsia="宋体" w:cs="宋体"/>
          <w:b/>
          <w:bCs/>
          <w:snapToGrid w:val="0"/>
          <w:sz w:val="30"/>
          <w:szCs w:val="30"/>
        </w:rPr>
        <w:t>四、主要环境影响和保护措施</w:t>
      </w:r>
    </w:p>
    <w:tbl>
      <w:tblPr>
        <w:tblStyle w:val="24"/>
        <w:tblW w:w="890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02"/>
        <w:gridCol w:w="8406"/>
      </w:tblGrid>
      <w:tr w14:paraId="60A33C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9" w:hRule="atLeast"/>
          <w:jc w:val="center"/>
        </w:trPr>
        <w:tc>
          <w:tcPr>
            <w:tcW w:w="502" w:type="dxa"/>
            <w:tcBorders>
              <w:tl2br w:val="nil"/>
              <w:tr2bl w:val="nil"/>
            </w:tcBorders>
            <w:noWrap w:val="0"/>
            <w:tcMar>
              <w:left w:w="28" w:type="dxa"/>
              <w:right w:w="28" w:type="dxa"/>
            </w:tcMar>
            <w:vAlign w:val="center"/>
          </w:tcPr>
          <w:p w14:paraId="47C4A099">
            <w:pPr>
              <w:pStyle w:val="22"/>
              <w:adjustRightInd w:val="0"/>
              <w:snapToGrid w:val="0"/>
              <w:spacing w:before="0" w:beforeAutospacing="0" w:after="0" w:afterAutospacing="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施工</w:t>
            </w:r>
          </w:p>
          <w:p w14:paraId="30DD86D2">
            <w:pPr>
              <w:pStyle w:val="22"/>
              <w:adjustRightInd w:val="0"/>
              <w:snapToGrid w:val="0"/>
              <w:spacing w:before="0" w:beforeAutospacing="0" w:after="0" w:afterAutospacing="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期环</w:t>
            </w:r>
          </w:p>
          <w:p w14:paraId="789E7614">
            <w:pPr>
              <w:pStyle w:val="22"/>
              <w:adjustRightInd w:val="0"/>
              <w:snapToGrid w:val="0"/>
              <w:spacing w:before="0" w:beforeAutospacing="0" w:after="0" w:afterAutospacing="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境保</w:t>
            </w:r>
          </w:p>
          <w:p w14:paraId="5EF5ABE7">
            <w:pPr>
              <w:pStyle w:val="22"/>
              <w:adjustRightInd w:val="0"/>
              <w:snapToGrid w:val="0"/>
              <w:spacing w:before="0" w:beforeAutospacing="0" w:after="0" w:afterAutospacing="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护措</w:t>
            </w:r>
          </w:p>
          <w:p w14:paraId="34D851A9">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kern w:val="2"/>
                <w:sz w:val="24"/>
                <w:szCs w:val="24"/>
              </w:rPr>
              <w:t>施</w:t>
            </w:r>
          </w:p>
        </w:tc>
        <w:tc>
          <w:tcPr>
            <w:tcW w:w="8406" w:type="dxa"/>
            <w:tcBorders>
              <w:tl2br w:val="nil"/>
              <w:tr2bl w:val="nil"/>
            </w:tcBorders>
            <w:noWrap w:val="0"/>
            <w:vAlign w:val="center"/>
          </w:tcPr>
          <w:p w14:paraId="0848ADB6">
            <w:pPr>
              <w:pStyle w:val="31"/>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0" w:firstLineChars="200"/>
              <w:textAlignment w:val="auto"/>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本项目</w:t>
            </w:r>
            <w:r>
              <w:rPr>
                <w:rFonts w:hint="eastAsia" w:cs="Times New Roman"/>
                <w:color w:val="000000" w:themeColor="text1"/>
                <w:sz w:val="24"/>
                <w:szCs w:val="24"/>
                <w:lang w:val="en-US" w:eastAsia="zh-CN"/>
                <w14:textFill>
                  <w14:solidFill>
                    <w14:schemeClr w14:val="tx1"/>
                  </w14:solidFill>
                </w14:textFill>
              </w:rPr>
              <w:t>场地为空地</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拟建设生产车间、以及其他辅助用房。厂房建成后进行简单的装修和生产设备的安装。施工期</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产生的环境影响相对营运期而言属于短期和暂时影响，环境影响随着施工期的结束而消失，但仍需采取相应的环保措施降低对周边环境影响。</w:t>
            </w:r>
          </w:p>
          <w:p w14:paraId="6BF23B4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bCs/>
                <w:color w:val="000000" w:themeColor="text1"/>
                <w:kern w:val="2"/>
                <w:sz w:val="24"/>
                <w:szCs w:val="24"/>
                <w:lang w:val="en-US" w:eastAsia="zh-CN" w:bidi="ar"/>
                <w14:textFill>
                  <w14:solidFill>
                    <w14:schemeClr w14:val="tx1"/>
                  </w14:solidFill>
                </w14:textFill>
              </w:rPr>
            </w:pPr>
            <w:r>
              <w:rPr>
                <w:rFonts w:hint="eastAsia" w:cs="Times New Roman"/>
                <w:b/>
                <w:bCs/>
                <w:color w:val="000000" w:themeColor="text1"/>
                <w:kern w:val="2"/>
                <w:sz w:val="24"/>
                <w:szCs w:val="24"/>
                <w:lang w:val="en-US" w:eastAsia="zh-CN" w:bidi="ar"/>
                <w14:textFill>
                  <w14:solidFill>
                    <w14:schemeClr w14:val="tx1"/>
                  </w14:solidFill>
                </w14:textFill>
              </w:rPr>
              <w:t>1.</w:t>
            </w:r>
            <w:r>
              <w:rPr>
                <w:rFonts w:hint="default" w:ascii="Times New Roman" w:hAnsi="Times New Roman" w:eastAsia="宋体" w:cs="Times New Roman"/>
                <w:b/>
                <w:bCs/>
                <w:color w:val="000000" w:themeColor="text1"/>
                <w:kern w:val="2"/>
                <w:sz w:val="24"/>
                <w:szCs w:val="24"/>
                <w:lang w:val="en-US" w:eastAsia="zh-CN" w:bidi="ar"/>
                <w14:textFill>
                  <w14:solidFill>
                    <w14:schemeClr w14:val="tx1"/>
                  </w14:solidFill>
                </w14:textFill>
              </w:rPr>
              <w:t>大气环境影响和保护措施</w:t>
            </w:r>
          </w:p>
          <w:p w14:paraId="5F38FD2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项目施工期大气污染物主要为建筑材料运输、基础施工产生的扬尘以及运输车辆产生的汽车尾气等，施工期间产生的</w:t>
            </w:r>
            <w:r>
              <w:rPr>
                <w:rFonts w:hint="eastAsia" w:ascii="宋体" w:hAnsi="宋体" w:cs="宋体"/>
                <w:color w:val="000000" w:themeColor="text1"/>
                <w:sz w:val="24"/>
                <w:szCs w:val="24"/>
                <w:lang w:val="en-US" w:eastAsia="zh-CN" w:bidi="ar"/>
                <w14:textFill>
                  <w14:solidFill>
                    <w14:schemeClr w14:val="tx1"/>
                  </w14:solidFill>
                </w14:textFill>
              </w:rPr>
              <w:t>颗粒物</w:t>
            </w:r>
            <w:r>
              <w:rPr>
                <w:rFonts w:hint="eastAsia" w:ascii="宋体" w:hAnsi="宋体" w:cs="宋体"/>
                <w:color w:val="000000" w:themeColor="text1"/>
                <w:sz w:val="24"/>
                <w:szCs w:val="24"/>
                <w:lang w:bidi="ar"/>
                <w14:textFill>
                  <w14:solidFill>
                    <w14:schemeClr w14:val="tx1"/>
                  </w14:solidFill>
                </w14:textFill>
              </w:rPr>
              <w:t>污染主要决定于施工作业方式、材料的堆放及风力等因素，其中受风力因素的影响最大。</w:t>
            </w:r>
          </w:p>
          <w:p w14:paraId="0FE3F1F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Times New Roman" w:hAnsi="Times New Roman"/>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施工扬尘</w:t>
            </w:r>
          </w:p>
          <w:p w14:paraId="4E57FA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施工期对大气造成污染的主要是</w:t>
            </w:r>
            <w:r>
              <w:rPr>
                <w:rFonts w:hint="eastAsia" w:ascii="宋体" w:hAnsi="宋体" w:cs="宋体"/>
                <w:color w:val="000000" w:themeColor="text1"/>
                <w:sz w:val="24"/>
                <w:szCs w:val="24"/>
                <w:lang w:val="en-US" w:eastAsia="zh-CN" w:bidi="ar"/>
                <w14:textFill>
                  <w14:solidFill>
                    <w14:schemeClr w14:val="tx1"/>
                  </w14:solidFill>
                </w14:textFill>
              </w:rPr>
              <w:t>颗粒物</w:t>
            </w:r>
            <w:r>
              <w:rPr>
                <w:rFonts w:hint="eastAsia" w:ascii="宋体" w:hAnsi="宋体" w:cs="宋体"/>
                <w:color w:val="000000" w:themeColor="text1"/>
                <w:sz w:val="24"/>
                <w:szCs w:val="24"/>
                <w:lang w:bidi="ar"/>
                <w14:textFill>
                  <w14:solidFill>
                    <w14:schemeClr w14:val="tx1"/>
                  </w14:solidFill>
                </w14:textFill>
              </w:rPr>
              <w:t>，应严格按照</w:t>
            </w:r>
            <w:r>
              <w:rPr>
                <w:rFonts w:hint="eastAsia" w:ascii="宋体" w:hAnsi="宋体" w:cs="宋体"/>
                <w:color w:val="000000" w:themeColor="text1"/>
                <w:spacing w:val="2"/>
                <w:sz w:val="24"/>
                <w:szCs w:val="24"/>
                <w:lang w:bidi="ar"/>
                <w14:textFill>
                  <w14:solidFill>
                    <w14:schemeClr w14:val="tx1"/>
                  </w14:solidFill>
                </w14:textFill>
              </w:rPr>
              <w:t>《安徽省建筑工程施工扬尘污染防治规定》及</w:t>
            </w:r>
            <w:r>
              <w:rPr>
                <w:rFonts w:hint="eastAsia" w:ascii="宋体" w:hAnsi="宋体" w:cs="宋体"/>
                <w:color w:val="000000" w:themeColor="text1"/>
                <w:kern w:val="44"/>
                <w:sz w:val="24"/>
                <w:szCs w:val="24"/>
                <w:lang w:bidi="ar"/>
                <w14:textFill>
                  <w14:solidFill>
                    <w14:schemeClr w14:val="tx1"/>
                  </w14:solidFill>
                </w14:textFill>
              </w:rPr>
              <w:t>《宿州市建设工程施工扬尘污染治理工作实施方案》</w:t>
            </w:r>
            <w:r>
              <w:rPr>
                <w:rFonts w:hint="eastAsia" w:ascii="宋体" w:hAnsi="宋体" w:cs="宋体"/>
                <w:color w:val="000000" w:themeColor="text1"/>
                <w:sz w:val="24"/>
                <w:szCs w:val="24"/>
                <w:lang w:bidi="ar"/>
                <w14:textFill>
                  <w14:solidFill>
                    <w14:schemeClr w14:val="tx1"/>
                  </w14:solidFill>
                </w14:textFill>
              </w:rPr>
              <w:t>中相关规定控制施工期</w:t>
            </w:r>
            <w:r>
              <w:rPr>
                <w:rFonts w:hint="eastAsia" w:ascii="宋体" w:hAnsi="宋体" w:cs="宋体"/>
                <w:color w:val="000000" w:themeColor="text1"/>
                <w:sz w:val="24"/>
                <w:szCs w:val="24"/>
                <w:lang w:val="en-US" w:eastAsia="zh-CN" w:bidi="ar"/>
                <w14:textFill>
                  <w14:solidFill>
                    <w14:schemeClr w14:val="tx1"/>
                  </w14:solidFill>
                </w14:textFill>
              </w:rPr>
              <w:t>颗粒物</w:t>
            </w:r>
            <w:r>
              <w:rPr>
                <w:rFonts w:hint="eastAsia" w:ascii="宋体" w:hAnsi="宋体" w:cs="宋体"/>
                <w:color w:val="000000" w:themeColor="text1"/>
                <w:sz w:val="24"/>
                <w:szCs w:val="24"/>
                <w:lang w:bidi="ar"/>
                <w14:textFill>
                  <w14:solidFill>
                    <w14:schemeClr w14:val="tx1"/>
                  </w14:solidFill>
                </w14:textFill>
              </w:rPr>
              <w:t>，具体措施如下：</w:t>
            </w:r>
          </w:p>
          <w:p w14:paraId="00FC9F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1）施工现场实行围挡全封闭。主要路段施工现场围挡要严格按照建筑工程施工扬尘污染防治规定要求设立，主要路段围挡高度不得低于2.5米，一般路段围挡高度不得低于1.8米。围挡要进行美化亮化，公益广告不得破损。</w:t>
            </w:r>
            <w:r>
              <w:rPr>
                <w:rFonts w:hint="eastAsia"/>
                <w:color w:val="000000" w:themeColor="text1"/>
                <w:sz w:val="24"/>
                <w:szCs w:val="24"/>
                <w:lang w:eastAsia="zh-CN" w:bidi="ar"/>
                <w14:textFill>
                  <w14:solidFill>
                    <w14:schemeClr w14:val="tx1"/>
                  </w14:solidFill>
                </w14:textFill>
              </w:rPr>
              <w:t>围挡</w:t>
            </w:r>
            <w:r>
              <w:rPr>
                <w:rFonts w:ascii="Times New Roman" w:hAnsi="Times New Roman"/>
                <w:color w:val="000000" w:themeColor="text1"/>
                <w:sz w:val="24"/>
                <w:szCs w:val="24"/>
                <w:lang w:bidi="ar"/>
                <w14:textFill>
                  <w14:solidFill>
                    <w14:schemeClr w14:val="tx1"/>
                  </w14:solidFill>
                </w14:textFill>
              </w:rPr>
              <w:t>底边应当封闭并设置防溢沉淀井，不得有泥浆外漏。</w:t>
            </w:r>
          </w:p>
          <w:p w14:paraId="63AE51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（2）施工现场内道路、加工区实施混凝土硬化。硬化后的地面，不得有浮土、积土，裸露场地应当采取覆盖或绿化措施，祼土堆积时间</w:t>
            </w:r>
            <w:r>
              <w:rPr>
                <w:rFonts w:hint="eastAsia"/>
                <w:color w:val="000000" w:themeColor="text1"/>
                <w:sz w:val="24"/>
                <w:szCs w:val="24"/>
                <w:lang w:eastAsia="zh-CN" w:bidi="ar"/>
                <w14:textFill>
                  <w14:solidFill>
                    <w14:schemeClr w14:val="tx1"/>
                  </w14:solidFill>
                </w14:textFill>
              </w:rPr>
              <w:t>超过3个月</w:t>
            </w:r>
            <w:r>
              <w:rPr>
                <w:rFonts w:ascii="Times New Roman" w:hAnsi="Times New Roman"/>
                <w:color w:val="000000" w:themeColor="text1"/>
                <w:sz w:val="24"/>
                <w:szCs w:val="24"/>
                <w:lang w:bidi="ar"/>
                <w14:textFill>
                  <w14:solidFill>
                    <w14:schemeClr w14:val="tx1"/>
                  </w14:solidFill>
                </w14:textFill>
              </w:rPr>
              <w:t>的必须绿化。</w:t>
            </w:r>
          </w:p>
          <w:p w14:paraId="4DF503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（3）施工现场设置洒水降尘设施，安排专人定时洒水降尘。</w:t>
            </w:r>
          </w:p>
          <w:p w14:paraId="0BB75F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（4）施工现场土方开挖后尽快完成回填，不能及时回填的场地，采取覆盖等防尘措施；砂石等散体材料集中堆放并覆盖。</w:t>
            </w:r>
          </w:p>
          <w:p w14:paraId="054F62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（5）渣土等建筑垃圾集中、分类堆放，严密遮盖，采用封闭式管道或装袋清运，严禁高处</w:t>
            </w:r>
            <w:r>
              <w:rPr>
                <w:rFonts w:hint="eastAsia"/>
                <w:color w:val="000000" w:themeColor="text1"/>
                <w:sz w:val="24"/>
                <w:szCs w:val="24"/>
                <w:lang w:eastAsia="zh-CN" w:bidi="ar"/>
                <w14:textFill>
                  <w14:solidFill>
                    <w14:schemeClr w14:val="tx1"/>
                  </w14:solidFill>
                </w14:textFill>
              </w:rPr>
              <w:t>抛撒</w:t>
            </w:r>
            <w:r>
              <w:rPr>
                <w:rFonts w:ascii="Times New Roman" w:hAnsi="Times New Roman"/>
                <w:color w:val="000000" w:themeColor="text1"/>
                <w:sz w:val="24"/>
                <w:szCs w:val="24"/>
                <w:lang w:bidi="ar"/>
                <w14:textFill>
                  <w14:solidFill>
                    <w14:schemeClr w14:val="tx1"/>
                  </w14:solidFill>
                </w14:textFill>
              </w:rPr>
              <w:t>。需要运输、处理的，按照市、县政府市容环境治理有关规定和要求办理。</w:t>
            </w:r>
          </w:p>
          <w:p w14:paraId="7F0FC3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（6）外脚手架应当设置悬挂密目式安全网封闭，并保持严密整洁。</w:t>
            </w:r>
          </w:p>
          <w:p w14:paraId="75190A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（7）施工现场禁止焚烧沥青、油毡、橡胶、塑料、皮革、垃圾以及其他产生有毒有害烟尘和恶臭气体的物质。</w:t>
            </w:r>
          </w:p>
          <w:p w14:paraId="364DE4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hint="default" w:ascii="Times New Roman" w:hAnsi="Times New Roman" w:cs="Times New Roman"/>
                <w:color w:val="000000" w:themeColor="text1"/>
                <w:sz w:val="24"/>
                <w:szCs w:val="24"/>
                <w:lang w:bidi="ar"/>
                <w14:textFill>
                  <w14:solidFill>
                    <w14:schemeClr w14:val="tx1"/>
                  </w14:solidFill>
                </w14:textFill>
              </w:rPr>
              <w:t>（8）</w:t>
            </w:r>
            <w:r>
              <w:rPr>
                <w:rFonts w:ascii="Times New Roman" w:hAnsi="Times New Roman"/>
                <w:color w:val="000000" w:themeColor="text1"/>
                <w:sz w:val="24"/>
                <w:szCs w:val="24"/>
                <w:lang w:bidi="ar"/>
                <w14:textFill>
                  <w14:solidFill>
                    <w14:schemeClr w14:val="tx1"/>
                  </w14:solidFill>
                </w14:textFill>
              </w:rPr>
              <w:t>施工现场必须使用商品混凝土和预拌砂浆，严禁现场搅拌混凝土、配制砂浆作业。</w:t>
            </w:r>
          </w:p>
          <w:p w14:paraId="6A17E8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（9）施工现场大门出口处必须设置自动冲洗设施，并保持设备处于开启使用状态，视频监控装置要实时监控，并保存车辆冲洗影像资料。</w:t>
            </w:r>
          </w:p>
          <w:p w14:paraId="2AA052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（10）建筑面积1万平方米及以上的建筑施工工地现场要安装扬尘在线监测和视频监控装置并与当地住建部门联网，实行施工全过程监控。</w:t>
            </w:r>
          </w:p>
          <w:p w14:paraId="28B97F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（11）施工单位应配备相应降尘设备（雾炮机、洒水车），保证现场防尘使用，在用设备外观必须干净美观。</w:t>
            </w:r>
          </w:p>
          <w:p w14:paraId="7F685C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12）喷淋系统设置。塔式起重机安装高压喷淋系统，覆盖整个施工区域，每天不少于4次喷淋作业；外脚手架在首层悬挑周围或者10米高度设置喷淋系统，每隔5米设置一个喷头；道路安装喷淋系统定时洒水减少扬尘。</w:t>
            </w:r>
          </w:p>
          <w:p w14:paraId="718209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（13）施工后期道路排水工程、绿化工程，施工时围挡不得拆除。挖土整平施工时必须进行湿式作业。裸土必须覆盖，渣土及时清运。</w:t>
            </w:r>
          </w:p>
          <w:p w14:paraId="00FCDF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000000" w:themeColor="text1"/>
                <w:sz w:val="24"/>
                <w:szCs w:val="24"/>
                <w:lang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（14）根据《安徽省重污染天气应急预案》启动Ⅲ级（黄色）预警以上或气象预报风速达到五级以上时，不得进行土方挖填和转运、拆除、道路路面鼓风机吹灰等易产生扬尘的作业。</w:t>
            </w:r>
          </w:p>
          <w:p w14:paraId="2CFB7E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bCs/>
                <w:color w:val="000000" w:themeColor="text1"/>
                <w:kern w:val="2"/>
                <w:sz w:val="24"/>
                <w:szCs w:val="24"/>
                <w:lang w:val="en-US" w:eastAsia="zh-CN" w:bidi="ar"/>
                <w14:textFill>
                  <w14:solidFill>
                    <w14:schemeClr w14:val="tx1"/>
                  </w14:solidFill>
                </w14:textFill>
              </w:rPr>
            </w:pPr>
            <w:r>
              <w:rPr>
                <w:rFonts w:ascii="Times New Roman" w:hAnsi="Times New Roman"/>
                <w:color w:val="000000" w:themeColor="text1"/>
                <w:sz w:val="24"/>
                <w:szCs w:val="24"/>
                <w:lang w:bidi="ar"/>
                <w14:textFill>
                  <w14:solidFill>
                    <w14:schemeClr w14:val="tx1"/>
                  </w14:solidFill>
                </w14:textFill>
              </w:rPr>
              <w:t>（15）建筑施工现场的施工总承包单位和工程监理单位要定期进行扬尘污染防治专项检查，并形成书面记录。对不能有效整改的项目，工程监理单位有向建设行政主管部门报告的义务。</w:t>
            </w:r>
          </w:p>
          <w:p w14:paraId="5F3953C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尾气</w:t>
            </w:r>
          </w:p>
          <w:p w14:paraId="2EDEF9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尾气污染产生的主要决定因素为燃料油种类、机械性能、作业方式和风力等，其中机械性能、作业方式影响最大。运输车辆和部分施工机械在怠速、减速和加速时产生的污染最为严重。根据同类资料类比分析，在一般气象条件下，平均风速3.8m/s时，建筑工地的CO、NO</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以及未完全燃烧的碳氢化物THC为其上风向的5.4-6倍，其CO、NO</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以及碳氢化物THC影响范围在其下风向可达100m，影响范围内CO、NO</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以及碳氢化物THC浓度均值分别为10.03mg/Nm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、0.216m/Nm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和1.05mg/Nm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。CO、NO</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浓度值分别为《环境空气质量标准》中二级标准值的2.2倍和2.5倍，碳氢化物THC不超标（我国无该污染物的质量标准，参照以色列居民区大气中有害物质的最大允许浓度2.0mg/Nm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p w14:paraId="79DE36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本项目所在地区风速相对较小，只有在大风及干燥天气施工，施工现场及其下风向将有CO、NO</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以及碳氢化物 THC 存在。本项目施工期较长，通过密闭施工，设置围栏，在同等气象条件下，其影响距离可缩短30%，即影响范围为70m。</w:t>
            </w:r>
          </w:p>
          <w:p w14:paraId="0B4DE0B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有机溶剂废气</w:t>
            </w:r>
          </w:p>
          <w:p w14:paraId="0DD21A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室内装修阶段对环境产生污染的材料主要是人造板、饰面人造板以及油漆等有机溶剂（主要有溶剂型涂料、溶剂型</w:t>
            </w:r>
            <w:r>
              <w:rPr>
                <w:rFonts w:hint="eastAsia" w:cs="Times New Roman"/>
                <w:color w:val="000000" w:themeColor="text1"/>
                <w:sz w:val="24"/>
                <w:szCs w:val="24"/>
                <w:lang w:val="en-US" w:eastAsia="zh-CN"/>
                <w14:textFill>
                  <w14:solidFill>
                    <w14:schemeClr w14:val="tx1"/>
                  </w14:solidFill>
                </w14:textFill>
              </w:rPr>
              <w:t>胶黏剂</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，水性阻燃剂、防水剂、防腐剂及防虫剂等）等。其主要污染因子为VOCs，此外还有极少量的汽油、丁醇和丙醇等。</w:t>
            </w:r>
          </w:p>
          <w:p w14:paraId="409C1D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根据本项目工程分析，装修</w:t>
            </w:r>
            <w:r>
              <w:rPr>
                <w:rFonts w:hint="eastAsia" w:cs="Times New Roman"/>
                <w:color w:val="000000" w:themeColor="text1"/>
                <w:sz w:val="24"/>
                <w:szCs w:val="24"/>
                <w:lang w:val="en-US" w:eastAsia="zh-CN"/>
                <w14:textFill>
                  <w14:solidFill>
                    <w14:schemeClr w14:val="tx1"/>
                  </w14:solidFill>
                </w14:textFill>
              </w:rPr>
              <w:t>阶段</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需向周围大气环境排放VOCs，为无组织排放，排放周期短且作业点分散。因此，在装修油漆期间，应加强室内的通风换气，油漆结束完成以后，也应每天进行通风换气一至</w:t>
            </w:r>
            <w:r>
              <w:rPr>
                <w:rFonts w:hint="eastAsia" w:cs="Times New Roman"/>
                <w:color w:val="000000" w:themeColor="text1"/>
                <w:sz w:val="24"/>
                <w:szCs w:val="24"/>
                <w:lang w:val="en-US" w:eastAsia="zh-CN"/>
                <w14:textFill>
                  <w14:solidFill>
                    <w14:schemeClr w14:val="tx1"/>
                  </w14:solidFill>
                </w14:textFill>
              </w:rPr>
              <w:t>两个</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月后才能营业或居住。由于装修时采用的三合板和油漆中含有的甲醛、VOCs等影响环境质量的有毒有害物质挥发时间长，所以项目运营后也要注意室内空气的流畅</w:t>
            </w:r>
            <w:r>
              <w:rPr>
                <w:rFonts w:hint="default" w:ascii="Times New Roman" w:hAnsi="Times New Roman" w:cs="Times New Roman"/>
                <w:color w:val="000000" w:themeColor="text1"/>
                <w:sz w:val="24"/>
                <w:szCs w:val="24"/>
                <w:lang w:eastAsia="zh-CN"/>
                <w14:textFill>
                  <w14:solidFill>
                    <w14:schemeClr w14:val="tx1"/>
                  </w14:solidFill>
                </w14:textFill>
              </w:rPr>
              <w:t>。</w:t>
            </w:r>
          </w:p>
          <w:p w14:paraId="50D34F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right="0"/>
              <w:jc w:val="both"/>
              <w:textAlignment w:val="auto"/>
              <w:rPr>
                <w:rFonts w:hint="default" w:ascii="Times New Roman" w:hAnsi="Times New Roman" w:eastAsia="宋体" w:cs="Times New Roman"/>
                <w:b/>
                <w:bCs w:val="0"/>
                <w:color w:val="000000" w:themeColor="text1"/>
                <w:kern w:val="2"/>
                <w:sz w:val="24"/>
                <w:szCs w:val="24"/>
                <w14:textFill>
                  <w14:solidFill>
                    <w14:schemeClr w14:val="tx1"/>
                  </w14:solidFill>
                </w14:textFill>
              </w:rPr>
            </w:pPr>
            <w:r>
              <w:rPr>
                <w:rFonts w:hint="eastAsia" w:cs="Times New Roman"/>
                <w:b/>
                <w:bCs w:val="0"/>
                <w:color w:val="000000" w:themeColor="text1"/>
                <w:kern w:val="2"/>
                <w:sz w:val="24"/>
                <w:szCs w:val="24"/>
                <w:lang w:val="en-US" w:eastAsia="zh-CN" w:bidi="ar"/>
                <w14:textFill>
                  <w14:solidFill>
                    <w14:schemeClr w14:val="tx1"/>
                  </w14:solidFill>
                </w14:textFill>
              </w:rPr>
              <w:t>2.</w:t>
            </w:r>
            <w:r>
              <w:rPr>
                <w:rFonts w:hint="default" w:ascii="Times New Roman" w:hAnsi="Times New Roman" w:eastAsia="宋体" w:cs="Times New Roman"/>
                <w:b/>
                <w:bCs w:val="0"/>
                <w:color w:val="000000" w:themeColor="text1"/>
                <w:kern w:val="2"/>
                <w:sz w:val="24"/>
                <w:szCs w:val="24"/>
                <w:lang w:val="en-US" w:eastAsia="zh-CN" w:bidi="ar"/>
                <w14:textFill>
                  <w14:solidFill>
                    <w14:schemeClr w14:val="tx1"/>
                  </w14:solidFill>
                </w14:textFill>
              </w:rPr>
              <w:t>水环境影响和保护措施</w:t>
            </w:r>
          </w:p>
          <w:p w14:paraId="6EFBA2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本项目施工期间产生的废水主要为施工废水及施工人员生活污水。施工废水不得任意直接排放、应采取现场建造集水池、沉砂池、排水沟等水处理构筑物，对施工期废污水进行收集简单处理后达标排放，施工人员产生的生活废水经化粪池</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统一处理</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w:t>
            </w:r>
          </w:p>
          <w:p w14:paraId="4DE235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通过采取上述废水治理措施后，项目施工期产生的废水可以得到妥善处理，不会对项目所在区域地表水环境产生影响。</w:t>
            </w:r>
          </w:p>
          <w:p w14:paraId="5D8474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right="0"/>
              <w:jc w:val="both"/>
              <w:textAlignment w:val="auto"/>
              <w:rPr>
                <w:rFonts w:hint="default" w:ascii="Times New Roman" w:hAnsi="Times New Roman" w:eastAsia="宋体" w:cs="Times New Roman"/>
                <w:b/>
                <w:bCs w:val="0"/>
                <w:color w:val="000000" w:themeColor="text1"/>
                <w:kern w:val="2"/>
                <w:sz w:val="24"/>
                <w:szCs w:val="24"/>
                <w14:textFill>
                  <w14:solidFill>
                    <w14:schemeClr w14:val="tx1"/>
                  </w14:solidFill>
                </w14:textFill>
              </w:rPr>
            </w:pPr>
            <w:r>
              <w:rPr>
                <w:rFonts w:hint="eastAsia" w:cs="Times New Roman"/>
                <w:b/>
                <w:bCs w:val="0"/>
                <w:color w:val="000000" w:themeColor="text1"/>
                <w:kern w:val="2"/>
                <w:sz w:val="24"/>
                <w:szCs w:val="24"/>
                <w:lang w:val="en-US" w:eastAsia="zh-CN" w:bidi="ar"/>
                <w14:textFill>
                  <w14:solidFill>
                    <w14:schemeClr w14:val="tx1"/>
                  </w14:solidFill>
                </w14:textFill>
              </w:rPr>
              <w:t>3.</w:t>
            </w:r>
            <w:r>
              <w:rPr>
                <w:rFonts w:hint="default" w:ascii="Times New Roman" w:hAnsi="Times New Roman" w:eastAsia="宋体" w:cs="Times New Roman"/>
                <w:b/>
                <w:bCs w:val="0"/>
                <w:color w:val="000000" w:themeColor="text1"/>
                <w:kern w:val="2"/>
                <w:sz w:val="24"/>
                <w:szCs w:val="24"/>
                <w:lang w:val="en-US" w:eastAsia="zh-CN" w:bidi="ar"/>
                <w14:textFill>
                  <w14:solidFill>
                    <w14:schemeClr w14:val="tx1"/>
                  </w14:solidFill>
                </w14:textFill>
              </w:rPr>
              <w:t>声环境影响和保护措施</w:t>
            </w:r>
          </w:p>
          <w:p w14:paraId="7EF7CD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项目工程施工噪声源主要包括：工程开挖、构筑物砌筑、场地清理和修理等使用施工机械的固定声源噪声以及施工运输车辆的流动噪声声源。经建筑工程施工工地噪声源强类比调查分析，确定工程的噪声影响主要来源于施工现场（场址区内）的声源噪声。施工期主要工程项目有地基平整、压实、基础开挖、商业用房及其它辅助与公用设施的建设、装修等。在施工过程中，设备产生的噪声可能对作业人员和场址周围环境造成一定影响，噪声源的声压级一般在</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80</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90dB(A</w:t>
            </w:r>
            <w:r>
              <w:rPr>
                <w:rFonts w:hint="eastAsia"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左右。施工方应在施工期采取有效的噪声控制措施：</w:t>
            </w:r>
          </w:p>
          <w:p w14:paraId="100498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①</w:t>
            </w:r>
            <w:r>
              <w:rPr>
                <w:rFonts w:hint="eastAsia" w:ascii="Times New Roman" w:hAnsi="Times New Roman" w:eastAsia="宋体" w:cs="Times New Roman"/>
                <w:color w:val="000000" w:themeColor="text1"/>
                <w:kern w:val="2"/>
                <w:sz w:val="24"/>
                <w:szCs w:val="24"/>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在设备选型时尽量采用低噪声设备，采用围栏进行施工。</w:t>
            </w:r>
          </w:p>
          <w:p w14:paraId="3183E4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②</w:t>
            </w:r>
            <w:r>
              <w:rPr>
                <w:rFonts w:hint="eastAsia" w:ascii="Times New Roman" w:hAnsi="Times New Roman" w:eastAsia="宋体" w:cs="Times New Roman"/>
                <w:color w:val="000000" w:themeColor="text1"/>
                <w:kern w:val="2"/>
                <w:sz w:val="24"/>
                <w:szCs w:val="24"/>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合理安排施工时间，高噪声设备禁止在夜间</w:t>
            </w:r>
            <w:r>
              <w:rPr>
                <w:rFonts w:hint="eastAsia"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22</w:t>
            </w:r>
            <w:r>
              <w:rPr>
                <w:rFonts w:hint="eastAsia"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00-6</w:t>
            </w:r>
            <w:r>
              <w:rPr>
                <w:rFonts w:hint="eastAsia"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00</w:t>
            </w:r>
            <w:r>
              <w:rPr>
                <w:rFonts w:hint="eastAsia"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进行施工，尤其是要严格控制施工机械噪声值在大于</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85dB</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A</w:t>
            </w:r>
            <w:r>
              <w:rPr>
                <w:rFonts w:hint="eastAsia"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的作业。</w:t>
            </w:r>
          </w:p>
          <w:p w14:paraId="2976B3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③</w:t>
            </w:r>
            <w:r>
              <w:rPr>
                <w:rFonts w:hint="eastAsia" w:ascii="Times New Roman" w:hAnsi="Times New Roman" w:eastAsia="宋体" w:cs="Times New Roman"/>
                <w:color w:val="000000" w:themeColor="text1"/>
                <w:kern w:val="2"/>
                <w:sz w:val="24"/>
                <w:szCs w:val="24"/>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合理布局施工现场。施工时应将高噪声设备布置在场区中央，同时尽可能避免多台高噪声设备同时作业。</w:t>
            </w:r>
          </w:p>
          <w:p w14:paraId="16E3E1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④</w:t>
            </w:r>
            <w:r>
              <w:rPr>
                <w:rFonts w:hint="eastAsia" w:ascii="Times New Roman" w:hAnsi="Times New Roman" w:eastAsia="宋体" w:cs="Times New Roman"/>
                <w:color w:val="000000" w:themeColor="text1"/>
                <w:kern w:val="2"/>
                <w:sz w:val="24"/>
                <w:szCs w:val="24"/>
                <w:lang w:val="en-US" w:eastAsia="zh-CN" w:bidi="ar"/>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加强管理，尽量减少人为噪声（如钢管、模板等构件的装卸、搬运等）。</w:t>
            </w:r>
          </w:p>
          <w:p w14:paraId="4CE124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由于项目施工工期较短，负面影响只是暂时性的，在采取隔声降噪措施和严格管理下，场界噪声能达到国家《建筑施工场界环境噪声排放标准》（</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GB12523</w:t>
            </w:r>
            <w:r>
              <w:rPr>
                <w:rFonts w:hint="eastAsia" w:cs="Times New Roman"/>
                <w:color w:val="000000" w:themeColor="text1"/>
                <w:kern w:val="2"/>
                <w:sz w:val="24"/>
                <w:szCs w:val="24"/>
                <w:lang w:val="en-US" w:eastAsia="zh-CN" w:bidi="ar"/>
                <w14:textFill>
                  <w14:solidFill>
                    <w14:schemeClr w14:val="tx1"/>
                  </w14:solidFill>
                </w14:textFill>
              </w:rPr>
              <w:t>-</w:t>
            </w:r>
            <w:r>
              <w:rPr>
                <w:rFonts w:hint="default" w:ascii="Times New Roman" w:hAnsi="Times New Roman" w:cs="Times New Roman"/>
                <w:color w:val="000000" w:themeColor="text1"/>
                <w:kern w:val="2"/>
                <w:sz w:val="24"/>
                <w:szCs w:val="24"/>
                <w:lang w:val="en-US" w:eastAsia="zh-CN" w:bidi="ar"/>
                <w14:textFill>
                  <w14:solidFill>
                    <w14:schemeClr w14:val="tx1"/>
                  </w14:solidFill>
                </w14:textFill>
              </w:rPr>
              <w:t>2011</w:t>
            </w: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）的规定，因此在采取以上措施后，施工噪声对周围环境产生的影响较小。</w:t>
            </w:r>
          </w:p>
          <w:p w14:paraId="09D503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right="0"/>
              <w:jc w:val="both"/>
              <w:textAlignment w:val="auto"/>
              <w:rPr>
                <w:rFonts w:hint="default" w:ascii="Times New Roman" w:hAnsi="Times New Roman" w:cs="Times New Roman"/>
                <w:b w:val="0"/>
                <w:bCs/>
                <w:color w:val="000000" w:themeColor="text1"/>
                <w:kern w:val="2"/>
                <w:sz w:val="24"/>
                <w:szCs w:val="24"/>
                <w14:textFill>
                  <w14:solidFill>
                    <w14:schemeClr w14:val="tx1"/>
                  </w14:solidFill>
                </w14:textFill>
              </w:rPr>
            </w:pPr>
            <w:r>
              <w:rPr>
                <w:rFonts w:hint="eastAsia" w:cs="Times New Roman"/>
                <w:b/>
                <w:bCs w:val="0"/>
                <w:color w:val="000000" w:themeColor="text1"/>
                <w:kern w:val="2"/>
                <w:sz w:val="24"/>
                <w:szCs w:val="24"/>
                <w:lang w:val="en-US" w:eastAsia="zh-CN" w:bidi="ar"/>
                <w14:textFill>
                  <w14:solidFill>
                    <w14:schemeClr w14:val="tx1"/>
                  </w14:solidFill>
                </w14:textFill>
              </w:rPr>
              <w:t>4.</w:t>
            </w:r>
            <w:r>
              <w:rPr>
                <w:rFonts w:hint="default" w:ascii="Times New Roman" w:hAnsi="Times New Roman" w:eastAsia="宋体" w:cs="Times New Roman"/>
                <w:b/>
                <w:bCs w:val="0"/>
                <w:color w:val="000000" w:themeColor="text1"/>
                <w:kern w:val="2"/>
                <w:sz w:val="24"/>
                <w:szCs w:val="24"/>
                <w:lang w:val="en-US" w:eastAsia="zh-CN" w:bidi="ar"/>
                <w14:textFill>
                  <w14:solidFill>
                    <w14:schemeClr w14:val="tx1"/>
                  </w14:solidFill>
                </w14:textFill>
              </w:rPr>
              <w:t>固体废物环境影响和保护措施</w:t>
            </w:r>
          </w:p>
          <w:p w14:paraId="39D2AD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项目施工期产生的固体废物主要有施工场地产生的建筑垃圾和施工人员产生的生活垃圾。施工产生的建筑垃圾应集中堆放，由施工单位运至市政指定建筑废渣专用堆放场，以免影响施工和环境卫生；施工人员产生的生活垃圾应全部及时交由环卫部门进行处置。</w:t>
            </w:r>
          </w:p>
          <w:p w14:paraId="036E76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
                <w14:textFill>
                  <w14:solidFill>
                    <w14:schemeClr w14:val="tx1"/>
                  </w14:solidFill>
                </w14:textFill>
              </w:rPr>
              <w:t>在落实以上环保措施后，项目产生的固体废物不会对区域环境产生不利影响，但值得注意的是建筑垃圾和生活垃圾应分类收集、分类存放、分类运输和分类处置，不得混装。</w:t>
            </w:r>
          </w:p>
          <w:p w14:paraId="21E2FB2F">
            <w:pPr>
              <w:keepNext w:val="0"/>
              <w:keepLines w:val="0"/>
              <w:pageBreakBefore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Cs/>
                <w:spacing w:val="-10"/>
                <w:sz w:val="24"/>
                <w:szCs w:val="24"/>
                <w:lang w:val="en-US" w:eastAsia="zh-CN"/>
              </w:rPr>
            </w:pPr>
          </w:p>
        </w:tc>
      </w:tr>
      <w:tr w14:paraId="73F30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9" w:hRule="atLeast"/>
          <w:jc w:val="center"/>
        </w:trPr>
        <w:tc>
          <w:tcPr>
            <w:tcW w:w="502" w:type="dxa"/>
            <w:tcBorders>
              <w:tl2br w:val="nil"/>
              <w:tr2bl w:val="nil"/>
            </w:tcBorders>
            <w:noWrap w:val="0"/>
            <w:tcMar>
              <w:left w:w="28" w:type="dxa"/>
              <w:right w:w="28" w:type="dxa"/>
            </w:tcMar>
            <w:vAlign w:val="center"/>
          </w:tcPr>
          <w:p w14:paraId="48CB7E55">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运营</w:t>
            </w:r>
          </w:p>
          <w:p w14:paraId="49E8771D">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期环</w:t>
            </w:r>
          </w:p>
          <w:p w14:paraId="52C6F488">
            <w:pPr>
              <w:pStyle w:val="22"/>
              <w:adjustRightInd w:val="0"/>
              <w:snapToGrid w:val="0"/>
              <w:spacing w:before="0" w:beforeAutospacing="0" w:after="0" w:afterAutospacing="0"/>
              <w:jc w:val="center"/>
              <w:rPr>
                <w:rFonts w:hint="eastAsia" w:ascii="Times New Roman" w:hAnsi="Times New Roman" w:eastAsia="宋体" w:cs="Times New Roman"/>
                <w:bCs/>
                <w:kern w:val="2"/>
                <w:sz w:val="24"/>
                <w:szCs w:val="24"/>
                <w:lang w:val="en-US" w:eastAsia="zh-CN"/>
              </w:rPr>
            </w:pPr>
            <w:r>
              <w:rPr>
                <w:rFonts w:hint="default" w:ascii="Times New Roman" w:hAnsi="Times New Roman" w:eastAsia="宋体" w:cs="Times New Roman"/>
                <w:bCs/>
                <w:kern w:val="2"/>
                <w:sz w:val="24"/>
                <w:szCs w:val="24"/>
              </w:rPr>
              <w:t>境影</w:t>
            </w:r>
            <w:r>
              <w:rPr>
                <w:rFonts w:hint="eastAsia" w:ascii="Times New Roman" w:hAnsi="Times New Roman" w:cs="Times New Roman"/>
                <w:bCs/>
                <w:kern w:val="2"/>
                <w:sz w:val="24"/>
                <w:szCs w:val="24"/>
                <w:lang w:val="en-US" w:eastAsia="zh-CN"/>
              </w:rPr>
              <w:t>响</w:t>
            </w:r>
          </w:p>
          <w:p w14:paraId="5499A641">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和</w:t>
            </w:r>
          </w:p>
          <w:p w14:paraId="3D9DFDFD">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保护</w:t>
            </w:r>
          </w:p>
          <w:p w14:paraId="3DF0A0D2">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措施</w:t>
            </w:r>
          </w:p>
        </w:tc>
        <w:tc>
          <w:tcPr>
            <w:tcW w:w="8406" w:type="dxa"/>
            <w:tcBorders>
              <w:tl2br w:val="nil"/>
              <w:tr2bl w:val="nil"/>
            </w:tcBorders>
            <w:noWrap w:val="0"/>
            <w:vAlign w:val="top"/>
          </w:tcPr>
          <w:p w14:paraId="61C5DB32">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both"/>
              <w:textAlignment w:val="auto"/>
              <w:rPr>
                <w:rFonts w:hint="eastAsia" w:ascii="Times New Roman" w:hAnsi="Times New Roman" w:eastAsia="宋体" w:cs="Times New Roman"/>
                <w:bCs/>
                <w:spacing w:val="-10"/>
                <w:sz w:val="24"/>
                <w:szCs w:val="24"/>
                <w:lang w:eastAsia="zh-CN"/>
              </w:rPr>
            </w:pPr>
            <w:r>
              <w:rPr>
                <w:rFonts w:hint="eastAsia"/>
                <w:b/>
                <w:bCs/>
                <w:color w:val="000000"/>
                <w:sz w:val="24"/>
                <w:szCs w:val="24"/>
                <w:lang w:val="en-US" w:eastAsia="zh-CN"/>
              </w:rPr>
              <w:t>1.</w:t>
            </w:r>
            <w:r>
              <w:rPr>
                <w:rFonts w:hint="default"/>
                <w:b/>
                <w:bCs/>
                <w:color w:val="000000"/>
                <w:sz w:val="24"/>
                <w:szCs w:val="24"/>
              </w:rPr>
              <w:t>废气</w:t>
            </w:r>
          </w:p>
          <w:p w14:paraId="49F760BC">
            <w:pPr>
              <w:pStyle w:val="31"/>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olor w:val="auto"/>
                <w:sz w:val="24"/>
              </w:rPr>
            </w:pPr>
            <w:r>
              <w:rPr>
                <w:rFonts w:hint="default" w:ascii="Times New Roman" w:hAnsi="Times New Roman" w:eastAsia="宋体" w:cs="Times New Roman"/>
                <w:color w:val="auto"/>
                <w:sz w:val="24"/>
                <w:szCs w:val="24"/>
                <w:lang w:val="en-US" w:eastAsia="zh-CN"/>
              </w:rPr>
              <w:t>根据项目工程分析</w:t>
            </w:r>
            <w:r>
              <w:rPr>
                <w:rFonts w:hint="eastAsia" w:ascii="Times New Roman" w:hAnsi="Times New Roman" w:eastAsia="宋体" w:cs="Times New Roman"/>
                <w:color w:val="auto"/>
                <w:sz w:val="24"/>
                <w:szCs w:val="24"/>
                <w:lang w:val="en-US" w:eastAsia="zh-CN"/>
              </w:rPr>
              <w:t>，项目建设投入运营过程中主要废气是</w:t>
            </w:r>
            <w:r>
              <w:rPr>
                <w:rFonts w:hint="eastAsia" w:cs="Times New Roman"/>
                <w:color w:val="auto"/>
                <w:sz w:val="24"/>
                <w:szCs w:val="24"/>
                <w:lang w:val="en-US" w:eastAsia="zh-CN"/>
              </w:rPr>
              <w:t>混料</w:t>
            </w:r>
            <w:r>
              <w:rPr>
                <w:rFonts w:hint="eastAsia" w:cs="Times New Roman"/>
                <w:b w:val="0"/>
                <w:bCs w:val="0"/>
                <w:color w:val="auto"/>
                <w:sz w:val="24"/>
                <w:szCs w:val="24"/>
                <w:lang w:val="en-US" w:eastAsia="zh-CN"/>
              </w:rPr>
              <w:t>废气、熔融挤出废气、</w:t>
            </w:r>
            <w:r>
              <w:rPr>
                <w:rFonts w:hint="eastAsia" w:cs="Times New Roman"/>
                <w:color w:val="000000" w:themeColor="text1"/>
                <w:kern w:val="2"/>
                <w:sz w:val="24"/>
                <w:szCs w:val="24"/>
                <w:lang w:val="en-US" w:eastAsia="zh-CN" w:bidi="ar-SA"/>
                <w14:textFill>
                  <w14:solidFill>
                    <w14:schemeClr w14:val="tx1"/>
                  </w14:solidFill>
                </w14:textFill>
              </w:rPr>
              <w:t>牵引切割、精确切割</w:t>
            </w:r>
            <w:r>
              <w:rPr>
                <w:rFonts w:hint="eastAsia" w:cs="Times New Roman"/>
                <w:b w:val="0"/>
                <w:bCs w:val="0"/>
                <w:color w:val="auto"/>
                <w:sz w:val="24"/>
                <w:szCs w:val="24"/>
                <w:lang w:val="en-US" w:eastAsia="zh-CN"/>
              </w:rPr>
              <w:t>、</w:t>
            </w:r>
            <w:r>
              <w:rPr>
                <w:rFonts w:hint="eastAsia" w:cs="Times New Roman"/>
                <w:bCs/>
                <w:color w:val="auto"/>
                <w:kern w:val="24"/>
                <w:sz w:val="24"/>
                <w:lang w:eastAsia="zh-CN"/>
              </w:rPr>
              <w:t>砂光打磨</w:t>
            </w:r>
            <w:r>
              <w:rPr>
                <w:rFonts w:hint="default" w:ascii="Times New Roman" w:hAnsi="Times New Roman" w:eastAsia="宋体" w:cs="Times New Roman"/>
                <w:color w:val="auto"/>
                <w:kern w:val="2"/>
                <w:sz w:val="24"/>
                <w:szCs w:val="24"/>
                <w:lang w:val="en-US" w:eastAsia="zh-CN" w:bidi="ar-SA"/>
              </w:rPr>
              <w:t>废气</w:t>
            </w:r>
            <w:r>
              <w:rPr>
                <w:rFonts w:hint="default" w:ascii="Times New Roman" w:hAnsi="Times New Roman" w:eastAsia="宋体" w:cs="Times New Roman"/>
                <w:color w:val="auto"/>
                <w:sz w:val="24"/>
                <w:szCs w:val="24"/>
                <w:lang w:val="en-US" w:eastAsia="zh-CN"/>
              </w:rPr>
              <w:t>。</w:t>
            </w:r>
            <w:r>
              <w:rPr>
                <w:rFonts w:hint="eastAsia" w:ascii="宋体" w:hAnsi="宋体" w:eastAsia="宋体" w:cs="宋体"/>
                <w:color w:val="auto"/>
                <w:sz w:val="24"/>
                <w:szCs w:val="24"/>
              </w:rPr>
              <w:t>废气污染源强分析如下</w:t>
            </w:r>
            <w:r>
              <w:rPr>
                <w:rFonts w:hint="eastAsia" w:ascii="宋体" w:hAnsi="宋体" w:eastAsia="宋体"/>
                <w:color w:val="auto"/>
                <w:sz w:val="24"/>
              </w:rPr>
              <w:t>：</w:t>
            </w:r>
          </w:p>
          <w:p w14:paraId="7A802CF5">
            <w:pPr>
              <w:pStyle w:val="37"/>
              <w:adjustRightInd w:val="0"/>
              <w:snapToGrid w:val="0"/>
              <w:spacing w:line="360" w:lineRule="auto"/>
              <w:ind w:firstLine="482"/>
              <w:rPr>
                <w:rFonts w:hint="eastAsia" w:ascii="Times New Roman" w:hAnsi="Times New Roman" w:eastAsia="宋体"/>
                <w:b/>
                <w:bCs/>
                <w:color w:val="auto"/>
                <w:lang w:eastAsia="zh-CN"/>
              </w:rPr>
            </w:pPr>
            <w:r>
              <w:rPr>
                <w:rFonts w:hint="eastAsia" w:ascii="宋体" w:hAnsi="宋体" w:eastAsia="宋体" w:cs="宋体"/>
                <w:b/>
                <w:bCs/>
                <w:color w:val="auto"/>
              </w:rPr>
              <w:t>废气源强核算过程</w:t>
            </w:r>
            <w:r>
              <w:rPr>
                <w:rFonts w:hint="eastAsia" w:ascii="宋体" w:hAnsi="宋体" w:eastAsia="宋体" w:cs="宋体"/>
                <w:b/>
                <w:bCs/>
                <w:color w:val="auto"/>
                <w:lang w:eastAsia="zh-CN"/>
              </w:rPr>
              <w:t>：</w:t>
            </w:r>
          </w:p>
          <w:p w14:paraId="0E4A99D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eastAsia="宋体" w:cs="Times New Roman"/>
                <w:bCs/>
                <w:color w:val="auto"/>
                <w:kern w:val="24"/>
                <w:sz w:val="24"/>
                <w:szCs w:val="24"/>
                <w:lang w:val="en-US" w:eastAsia="zh-CN" w:bidi="ar-SA"/>
              </w:rPr>
            </w:pPr>
            <w:r>
              <w:rPr>
                <w:rFonts w:hint="eastAsia" w:ascii="Times New Roman" w:hAnsi="Times New Roman" w:eastAsia="宋体" w:cs="Times New Roman"/>
                <w:bCs/>
                <w:color w:val="auto"/>
                <w:kern w:val="24"/>
                <w:sz w:val="24"/>
                <w:szCs w:val="24"/>
                <w:lang w:val="en-US" w:eastAsia="zh-CN" w:bidi="ar-SA"/>
              </w:rPr>
              <w:t>（1）</w:t>
            </w:r>
            <w:r>
              <w:rPr>
                <w:rFonts w:hint="eastAsia" w:cs="Times New Roman"/>
                <w:color w:val="auto"/>
                <w:sz w:val="24"/>
                <w:szCs w:val="24"/>
                <w:lang w:val="en-US" w:eastAsia="zh-CN"/>
              </w:rPr>
              <w:t>混料</w:t>
            </w:r>
            <w:r>
              <w:rPr>
                <w:rFonts w:hint="eastAsia" w:cs="Times New Roman"/>
                <w:b w:val="0"/>
                <w:bCs w:val="0"/>
                <w:color w:val="auto"/>
                <w:sz w:val="24"/>
                <w:szCs w:val="24"/>
                <w:lang w:val="en-US" w:eastAsia="zh-CN"/>
              </w:rPr>
              <w:t>废气</w:t>
            </w:r>
          </w:p>
          <w:p w14:paraId="68C4E4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本项目</w:t>
            </w:r>
            <w:r>
              <w:rPr>
                <w:rFonts w:hint="eastAsia" w:cs="Times New Roman"/>
                <w:color w:val="auto"/>
                <w:kern w:val="2"/>
                <w:sz w:val="24"/>
                <w:szCs w:val="24"/>
                <w:lang w:val="en-US" w:eastAsia="zh-CN" w:bidi="ar-SA"/>
              </w:rPr>
              <w:t>PVC板材、PE板材均采用人工拆包的方式将原辅料投入混料机，</w:t>
            </w:r>
            <w:r>
              <w:rPr>
                <w:rFonts w:hint="default" w:ascii="Times New Roman" w:hAnsi="Times New Roman" w:eastAsia="宋体" w:cs="Times New Roman"/>
                <w:color w:val="auto"/>
                <w:kern w:val="2"/>
                <w:sz w:val="24"/>
                <w:szCs w:val="24"/>
                <w:lang w:val="en-US" w:eastAsia="zh-CN" w:bidi="ar-SA"/>
              </w:rPr>
              <w:t>根据《排放源统计调查产排污核算方法和系</w:t>
            </w:r>
            <w:r>
              <w:rPr>
                <w:rFonts w:hint="eastAsia" w:cs="Times New Roman"/>
                <w:color w:val="auto"/>
                <w:kern w:val="2"/>
                <w:sz w:val="24"/>
                <w:szCs w:val="24"/>
                <w:lang w:val="en-US" w:eastAsia="zh-CN" w:bidi="ar-SA"/>
              </w:rPr>
              <w:t>数</w:t>
            </w:r>
            <w:r>
              <w:rPr>
                <w:rFonts w:hint="default" w:ascii="Times New Roman" w:hAnsi="Times New Roman" w:eastAsia="宋体" w:cs="Times New Roman"/>
                <w:color w:val="auto"/>
                <w:kern w:val="2"/>
                <w:sz w:val="24"/>
                <w:szCs w:val="24"/>
                <w:lang w:val="en-US" w:eastAsia="zh-CN" w:bidi="ar-SA"/>
              </w:rPr>
              <w:t>手册》中292 塑料制品行业系数手册</w:t>
            </w:r>
            <w:r>
              <w:rPr>
                <w:rFonts w:hint="eastAsia" w:cs="Times New Roman"/>
                <w:color w:val="auto"/>
                <w:kern w:val="2"/>
                <w:sz w:val="24"/>
                <w:szCs w:val="24"/>
                <w:lang w:val="en-US" w:eastAsia="zh-CN" w:bidi="ar-SA"/>
              </w:rPr>
              <w:t>－树脂、助剂配料混合挤出颗粒物产生系数为6kg/吨－产品。本项目PVC板材、PE板材年产量为10000吨，则混料工序颗粒物产生量为60t/a。</w:t>
            </w:r>
          </w:p>
          <w:p w14:paraId="19754DEC">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cs="Times New Roman"/>
                <w:b w:val="0"/>
                <w:bCs w:val="0"/>
                <w:color w:val="auto"/>
                <w:sz w:val="24"/>
                <w:szCs w:val="24"/>
                <w:lang w:val="en-US" w:eastAsia="zh-CN"/>
              </w:rPr>
            </w:pPr>
            <w:r>
              <w:rPr>
                <w:rFonts w:hint="eastAsia" w:cs="Times New Roman"/>
                <w:color w:val="auto"/>
                <w:sz w:val="24"/>
                <w:szCs w:val="24"/>
                <w:lang w:eastAsia="zh-CN"/>
              </w:rPr>
              <w:t>（</w:t>
            </w:r>
            <w:r>
              <w:rPr>
                <w:rFonts w:hint="eastAsia" w:cs="Times New Roman"/>
                <w:color w:val="auto"/>
                <w:sz w:val="24"/>
                <w:szCs w:val="24"/>
                <w:lang w:val="en-US" w:eastAsia="zh-CN"/>
              </w:rPr>
              <w:t>2</w:t>
            </w:r>
            <w:r>
              <w:rPr>
                <w:rFonts w:hint="eastAsia" w:cs="Times New Roman"/>
                <w:color w:val="auto"/>
                <w:sz w:val="24"/>
                <w:szCs w:val="24"/>
                <w:lang w:eastAsia="zh-CN"/>
              </w:rPr>
              <w:t>）</w:t>
            </w:r>
            <w:r>
              <w:rPr>
                <w:rFonts w:hint="eastAsia" w:cs="Times New Roman"/>
                <w:b w:val="0"/>
                <w:bCs w:val="0"/>
                <w:color w:val="auto"/>
                <w:sz w:val="24"/>
                <w:szCs w:val="24"/>
                <w:lang w:val="en-US" w:eastAsia="zh-CN"/>
              </w:rPr>
              <w:t>切割废气</w:t>
            </w:r>
          </w:p>
          <w:p w14:paraId="1089592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auto"/>
                <w:kern w:val="2"/>
                <w:sz w:val="24"/>
                <w:szCs w:val="24"/>
                <w:lang w:val="en-US" w:eastAsia="zh-CN" w:bidi="ar-SA"/>
              </w:rPr>
            </w:pPr>
            <w:r>
              <w:rPr>
                <w:rFonts w:hint="eastAsia" w:cs="Times New Roman"/>
                <w:color w:val="auto"/>
                <w:kern w:val="2"/>
                <w:sz w:val="24"/>
                <w:szCs w:val="24"/>
                <w:lang w:val="en-US" w:eastAsia="zh-CN" w:bidi="ar-SA"/>
              </w:rPr>
              <w:t>项目板材需根据客户要求尺寸进行切割，本项目涉及的切割主要是牵引切割、精确切割。参考</w:t>
            </w:r>
            <w:r>
              <w:rPr>
                <w:rFonts w:hint="default" w:cs="Times New Roman"/>
                <w:color w:val="auto"/>
                <w:kern w:val="2"/>
                <w:sz w:val="24"/>
                <w:szCs w:val="24"/>
                <w:lang w:val="en-US" w:eastAsia="zh-CN" w:bidi="ar-SA"/>
              </w:rPr>
              <w:t>《排放源统计调查产排污核算方法和系</w:t>
            </w:r>
            <w:r>
              <w:rPr>
                <w:rFonts w:hint="eastAsia" w:cs="Times New Roman"/>
                <w:color w:val="auto"/>
                <w:kern w:val="2"/>
                <w:sz w:val="24"/>
                <w:szCs w:val="24"/>
                <w:lang w:val="en-US" w:eastAsia="zh-CN" w:bidi="ar-SA"/>
              </w:rPr>
              <w:t>数</w:t>
            </w:r>
            <w:r>
              <w:rPr>
                <w:rFonts w:hint="default" w:cs="Times New Roman"/>
                <w:color w:val="auto"/>
                <w:kern w:val="2"/>
                <w:sz w:val="24"/>
                <w:szCs w:val="24"/>
                <w:lang w:val="en-US" w:eastAsia="zh-CN" w:bidi="ar-SA"/>
              </w:rPr>
              <w:t>手册》中201 木材加工行业系数手册</w:t>
            </w:r>
            <w:r>
              <w:rPr>
                <w:rFonts w:hint="eastAsia" w:cs="Times New Roman"/>
                <w:color w:val="auto"/>
                <w:kern w:val="2"/>
                <w:sz w:val="24"/>
                <w:szCs w:val="24"/>
                <w:lang w:val="en-US" w:eastAsia="zh-CN" w:bidi="ar-SA"/>
              </w:rPr>
              <w:t>－锯材、木片、单板下料切割颗粒物产生系数为0.243kg/m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lang w:val="en-US" w:eastAsia="zh-CN" w:bidi="ar-SA"/>
              </w:rPr>
              <w:t>产品。本项目PVC板材年产量为7100t/a、PE板材年产量为2900t/a，PVC板材密度取1.5g/cm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lang w:val="en-US" w:eastAsia="zh-CN" w:bidi="ar-SA"/>
              </w:rPr>
              <w:t>，PE板材密度取0.95g/cm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lang w:val="en-US" w:eastAsia="zh-CN" w:bidi="ar-SA"/>
              </w:rPr>
              <w:t>，PVC板材、PE板材产品总体积为7786m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lang w:val="en-US" w:eastAsia="zh-CN" w:bidi="ar-SA"/>
              </w:rPr>
              <w:t>。切割工艺颗粒物产生量为1.89t/a。</w:t>
            </w:r>
          </w:p>
          <w:p w14:paraId="6F41B68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w:t>
            </w:r>
            <w:r>
              <w:rPr>
                <w:rFonts w:hint="eastAsia" w:cs="Times New Roman"/>
                <w:color w:val="auto"/>
                <w:kern w:val="2"/>
                <w:sz w:val="24"/>
                <w:szCs w:val="24"/>
                <w:lang w:val="en-US" w:eastAsia="zh-CN" w:bidi="ar-SA"/>
              </w:rPr>
              <w:t>3</w:t>
            </w:r>
            <w:r>
              <w:rPr>
                <w:rFonts w:hint="default" w:ascii="Times New Roman" w:hAnsi="Times New Roman" w:eastAsia="宋体" w:cs="Times New Roman"/>
                <w:color w:val="auto"/>
                <w:kern w:val="2"/>
                <w:sz w:val="24"/>
                <w:szCs w:val="24"/>
                <w:lang w:val="en-US" w:eastAsia="zh-CN" w:bidi="ar-SA"/>
              </w:rPr>
              <w:t>）</w:t>
            </w:r>
            <w:r>
              <w:rPr>
                <w:rFonts w:hint="eastAsia" w:cs="Times New Roman"/>
                <w:bCs/>
                <w:color w:val="auto"/>
                <w:kern w:val="24"/>
                <w:sz w:val="24"/>
                <w:lang w:eastAsia="zh-CN"/>
              </w:rPr>
              <w:t>砂光打磨</w:t>
            </w:r>
            <w:r>
              <w:rPr>
                <w:rFonts w:hint="default" w:ascii="Times New Roman" w:hAnsi="Times New Roman" w:eastAsia="宋体" w:cs="Times New Roman"/>
                <w:color w:val="auto"/>
                <w:kern w:val="2"/>
                <w:sz w:val="24"/>
                <w:szCs w:val="24"/>
                <w:lang w:val="en-US" w:eastAsia="zh-CN" w:bidi="ar-SA"/>
              </w:rPr>
              <w:t>废气</w:t>
            </w:r>
          </w:p>
          <w:p w14:paraId="72175842">
            <w:pPr>
              <w:pStyle w:val="8"/>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cs="Times New Roman"/>
                <w:bCs/>
                <w:color w:val="auto"/>
                <w:kern w:val="24"/>
                <w:sz w:val="24"/>
                <w:lang w:val="en-US" w:eastAsia="zh-CN"/>
              </w:rPr>
            </w:pPr>
            <w:r>
              <w:rPr>
                <w:rFonts w:hint="eastAsia" w:cs="Times New Roman"/>
                <w:color w:val="auto"/>
                <w:kern w:val="2"/>
                <w:sz w:val="24"/>
                <w:szCs w:val="24"/>
                <w:lang w:val="en-US" w:eastAsia="zh-CN" w:bidi="ar-SA"/>
              </w:rPr>
              <w:t>项目PVC板材精确切割后会进行</w:t>
            </w:r>
            <w:r>
              <w:rPr>
                <w:rFonts w:hint="eastAsia" w:cs="Times New Roman"/>
                <w:bCs/>
                <w:color w:val="auto"/>
                <w:kern w:val="24"/>
                <w:sz w:val="24"/>
                <w:lang w:eastAsia="zh-CN"/>
              </w:rPr>
              <w:t>砂光打磨，让产品的表面更加光滑。砂光打磨工艺会产生颗粒物。参考</w:t>
            </w:r>
            <w:r>
              <w:rPr>
                <w:rFonts w:hint="default" w:cs="Times New Roman"/>
                <w:color w:val="auto"/>
                <w:kern w:val="2"/>
                <w:sz w:val="24"/>
                <w:szCs w:val="24"/>
                <w:lang w:val="en-US" w:eastAsia="zh-CN" w:bidi="ar-SA"/>
              </w:rPr>
              <w:t>《排放源统计调查产排污核算方法和系</w:t>
            </w:r>
            <w:r>
              <w:rPr>
                <w:rFonts w:hint="eastAsia" w:cs="Times New Roman"/>
                <w:color w:val="auto"/>
                <w:kern w:val="2"/>
                <w:sz w:val="24"/>
                <w:szCs w:val="24"/>
                <w:lang w:val="en-US" w:eastAsia="zh-CN" w:bidi="ar-SA"/>
              </w:rPr>
              <w:t>数</w:t>
            </w:r>
            <w:r>
              <w:rPr>
                <w:rFonts w:hint="default" w:cs="Times New Roman"/>
                <w:color w:val="auto"/>
                <w:kern w:val="2"/>
                <w:sz w:val="24"/>
                <w:szCs w:val="24"/>
                <w:lang w:val="en-US" w:eastAsia="zh-CN" w:bidi="ar-SA"/>
              </w:rPr>
              <w:t>手册》中201 木材加工行业系数手册</w:t>
            </w:r>
            <w:r>
              <w:rPr>
                <w:rFonts w:hint="eastAsia" w:cs="Times New Roman"/>
                <w:color w:val="auto"/>
                <w:kern w:val="2"/>
                <w:sz w:val="24"/>
                <w:szCs w:val="24"/>
                <w:lang w:val="en-US" w:eastAsia="zh-CN" w:bidi="ar-SA"/>
              </w:rPr>
              <w:t>－冷却/裁边/砂光后处理颗粒物产生系数为1.71kg/m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lang w:val="en-US" w:eastAsia="zh-CN" w:bidi="ar-SA"/>
              </w:rPr>
              <w:t>产品。PVC板材体积为4733m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lang w:val="en-US" w:eastAsia="zh-CN" w:bidi="ar-SA"/>
              </w:rPr>
              <w:t>/a，则</w:t>
            </w:r>
            <w:r>
              <w:rPr>
                <w:rFonts w:hint="eastAsia" w:cs="Times New Roman"/>
                <w:bCs/>
                <w:color w:val="auto"/>
                <w:kern w:val="24"/>
                <w:sz w:val="24"/>
                <w:lang w:eastAsia="zh-CN"/>
              </w:rPr>
              <w:t>砂光打磨工艺颗粒物产生量为</w:t>
            </w:r>
            <w:r>
              <w:rPr>
                <w:rFonts w:hint="eastAsia" w:cs="Times New Roman"/>
                <w:bCs/>
                <w:color w:val="auto"/>
                <w:kern w:val="24"/>
                <w:sz w:val="24"/>
                <w:lang w:val="en-US" w:eastAsia="zh-CN"/>
              </w:rPr>
              <w:t>8.09t/a。</w:t>
            </w:r>
          </w:p>
          <w:p w14:paraId="456F15E7">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default" w:cs="Times New Roman"/>
                <w:b w:val="0"/>
                <w:bCs w:val="0"/>
                <w:color w:val="auto"/>
                <w:sz w:val="24"/>
                <w:szCs w:val="24"/>
                <w:lang w:val="en-US" w:eastAsia="zh-CN"/>
              </w:rPr>
            </w:pPr>
            <w:r>
              <w:rPr>
                <w:rFonts w:hint="eastAsia" w:cs="Times New Roman"/>
                <w:b/>
                <w:bCs/>
                <w:color w:val="auto"/>
                <w:sz w:val="24"/>
                <w:szCs w:val="24"/>
                <w:lang w:val="en-US" w:eastAsia="zh-CN"/>
              </w:rPr>
              <w:t>混料、切割、</w:t>
            </w:r>
            <w:r>
              <w:rPr>
                <w:rFonts w:hint="eastAsia" w:cs="Times New Roman"/>
                <w:b/>
                <w:bCs/>
                <w:color w:val="auto"/>
                <w:kern w:val="24"/>
                <w:sz w:val="24"/>
                <w:lang w:eastAsia="zh-CN"/>
              </w:rPr>
              <w:t>砂光打磨</w:t>
            </w:r>
            <w:r>
              <w:rPr>
                <w:rFonts w:hint="default" w:ascii="Times New Roman" w:hAnsi="Times New Roman" w:eastAsia="宋体" w:cs="Times New Roman"/>
                <w:b/>
                <w:bCs/>
                <w:color w:val="auto"/>
                <w:kern w:val="2"/>
                <w:sz w:val="24"/>
                <w:szCs w:val="24"/>
                <w:lang w:val="en-US" w:eastAsia="zh-CN" w:bidi="ar-SA"/>
              </w:rPr>
              <w:t>废气</w:t>
            </w:r>
            <w:r>
              <w:rPr>
                <w:rFonts w:hint="eastAsia" w:cs="Times New Roman"/>
                <w:color w:val="auto"/>
                <w:kern w:val="2"/>
                <w:sz w:val="24"/>
                <w:szCs w:val="24"/>
                <w:lang w:val="en-US" w:eastAsia="zh-CN" w:bidi="ar-SA"/>
              </w:rPr>
              <w:t>采用集气罩收集后经布袋除尘器处理，通过15m高排气筒（DA006）排放。风机风量设置为20000m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lang w:val="en-US" w:eastAsia="zh-CN" w:bidi="ar-SA"/>
              </w:rPr>
              <w:t>/h，工作时长取2400h/a，集气罩收集效率取95%，布袋除尘器处理效率取99%。颗粒物产生总量为69.98t/a，有组织颗粒物产生量为66.481t/a，产生浓度为1385.02mg/m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vertAlign w:val="baseline"/>
                <w:lang w:val="en-US" w:eastAsia="zh-CN" w:bidi="ar-SA"/>
              </w:rPr>
              <w:t>，</w:t>
            </w:r>
            <w:r>
              <w:rPr>
                <w:rFonts w:hint="eastAsia" w:cs="Times New Roman"/>
                <w:color w:val="auto"/>
                <w:kern w:val="2"/>
                <w:sz w:val="24"/>
                <w:szCs w:val="24"/>
                <w:lang w:val="en-US" w:eastAsia="zh-CN" w:bidi="ar-SA"/>
              </w:rPr>
              <w:t>经布袋除尘器处理后颗粒物排放量为0.665t/a，排放速率为0.277kg/h，排放浓度为13.85mg/m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vertAlign w:val="baseline"/>
                <w:lang w:val="en-US" w:eastAsia="zh-CN" w:bidi="ar-SA"/>
              </w:rPr>
              <w:t>，无组织排放量为3.499t/a。</w:t>
            </w:r>
          </w:p>
          <w:p w14:paraId="60734762">
            <w:pPr>
              <w:keepNext w:val="0"/>
              <w:keepLines w:val="0"/>
              <w:pageBreakBefore w:val="0"/>
              <w:widowControl w:val="0"/>
              <w:kinsoku/>
              <w:wordWrap/>
              <w:overflowPunct/>
              <w:topLinePunct w:val="0"/>
              <w:autoSpaceDE/>
              <w:autoSpaceDN/>
              <w:bidi w:val="0"/>
              <w:adjustRightInd w:val="0"/>
              <w:snapToGrid w:val="0"/>
              <w:spacing w:line="348" w:lineRule="auto"/>
              <w:ind w:firstLine="482" w:firstLineChars="200"/>
              <w:textAlignment w:val="auto"/>
              <w:rPr>
                <w:rFonts w:hint="eastAsia" w:eastAsia="宋体" w:cs="Times New Roman"/>
                <w:color w:val="auto"/>
                <w:sz w:val="24"/>
                <w:szCs w:val="24"/>
                <w:lang w:val="en-US" w:eastAsia="zh-CN"/>
              </w:rPr>
            </w:pPr>
            <w:r>
              <w:rPr>
                <w:rFonts w:hint="eastAsia" w:eastAsia="宋体" w:cs="Times New Roman"/>
                <w:b/>
                <w:bCs/>
                <w:color w:val="auto"/>
                <w:sz w:val="24"/>
                <w:szCs w:val="24"/>
                <w:lang w:val="en-US" w:eastAsia="zh-CN"/>
              </w:rPr>
              <w:t>风量计算：</w:t>
            </w:r>
          </w:p>
          <w:p w14:paraId="4C3A1E96">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根据《简明通风设计手册》，单个集气罩集气风量计算公式：</w:t>
            </w:r>
          </w:p>
          <w:p w14:paraId="4AED04E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Q=K（a＋b）×h×V</w:t>
            </w:r>
            <w:r>
              <w:rPr>
                <w:rFonts w:hint="eastAsia" w:eastAsia="宋体" w:cs="Times New Roman"/>
                <w:color w:val="auto"/>
                <w:sz w:val="24"/>
                <w:szCs w:val="24"/>
                <w:vertAlign w:val="subscript"/>
                <w:lang w:val="en-US" w:eastAsia="zh-CN"/>
              </w:rPr>
              <w:t>0</w:t>
            </w:r>
            <w:r>
              <w:rPr>
                <w:rFonts w:hint="eastAsia" w:eastAsia="宋体" w:cs="Times New Roman"/>
                <w:color w:val="auto"/>
                <w:sz w:val="24"/>
                <w:szCs w:val="24"/>
                <w:lang w:val="en-US" w:eastAsia="zh-CN"/>
              </w:rPr>
              <w:t>×3600</w:t>
            </w:r>
          </w:p>
          <w:p w14:paraId="1FBFE103">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式中：Q——为集气罩集气风量，单位为m</w:t>
            </w:r>
            <w:r>
              <w:rPr>
                <w:rFonts w:hint="eastAsia" w:eastAsia="宋体" w:cs="Times New Roman"/>
                <w:color w:val="auto"/>
                <w:sz w:val="24"/>
                <w:szCs w:val="24"/>
                <w:vertAlign w:val="superscript"/>
                <w:lang w:val="en-US" w:eastAsia="zh-CN"/>
              </w:rPr>
              <w:t>3</w:t>
            </w:r>
            <w:r>
              <w:rPr>
                <w:rFonts w:hint="eastAsia" w:eastAsia="宋体" w:cs="Times New Roman"/>
                <w:color w:val="auto"/>
                <w:sz w:val="24"/>
                <w:szCs w:val="24"/>
                <w:lang w:val="en-US" w:eastAsia="zh-CN"/>
              </w:rPr>
              <w:t>/h；</w:t>
            </w:r>
          </w:p>
          <w:p w14:paraId="1D082914">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 xml:space="preserve">      K——为安全系数1.4；</w:t>
            </w:r>
          </w:p>
          <w:p w14:paraId="7A4A2A48">
            <w:pPr>
              <w:keepNext w:val="0"/>
              <w:keepLines w:val="0"/>
              <w:pageBreakBefore w:val="0"/>
              <w:widowControl w:val="0"/>
              <w:kinsoku/>
              <w:wordWrap/>
              <w:overflowPunct/>
              <w:topLinePunct w:val="0"/>
              <w:autoSpaceDE/>
              <w:autoSpaceDN/>
              <w:bidi w:val="0"/>
              <w:adjustRightInd w:val="0"/>
              <w:snapToGrid w:val="0"/>
              <w:spacing w:line="348" w:lineRule="auto"/>
              <w:ind w:firstLine="960" w:firstLineChars="4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（a+b）——为集气罩</w:t>
            </w:r>
            <w:r>
              <w:rPr>
                <w:rFonts w:hint="eastAsia" w:cs="Times New Roman"/>
                <w:color w:val="auto"/>
                <w:sz w:val="24"/>
                <w:szCs w:val="24"/>
                <w:lang w:val="en-US" w:eastAsia="zh-CN"/>
              </w:rPr>
              <w:t>长加宽</w:t>
            </w:r>
            <w:r>
              <w:rPr>
                <w:rFonts w:hint="eastAsia" w:eastAsia="宋体" w:cs="Times New Roman"/>
                <w:color w:val="auto"/>
                <w:sz w:val="24"/>
                <w:szCs w:val="24"/>
                <w:lang w:val="en-US" w:eastAsia="zh-CN"/>
              </w:rPr>
              <w:t>，单位为m；</w:t>
            </w:r>
          </w:p>
          <w:p w14:paraId="094E2860">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 xml:space="preserve">      h——为罩口至污染源的距离，单位为m，本次取1m；</w:t>
            </w:r>
          </w:p>
          <w:p w14:paraId="4EFA27FF">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 xml:space="preserve">      V</w:t>
            </w:r>
            <w:r>
              <w:rPr>
                <w:rFonts w:hint="eastAsia" w:eastAsia="宋体" w:cs="Times New Roman"/>
                <w:color w:val="auto"/>
                <w:sz w:val="24"/>
                <w:szCs w:val="24"/>
                <w:vertAlign w:val="subscript"/>
                <w:lang w:val="en-US" w:eastAsia="zh-CN"/>
              </w:rPr>
              <w:t>0</w:t>
            </w:r>
            <w:r>
              <w:rPr>
                <w:rFonts w:hint="eastAsia" w:cs="Times New Roman"/>
                <w:color w:val="auto"/>
                <w:sz w:val="24"/>
                <w:szCs w:val="24"/>
                <w:vertAlign w:val="baseline"/>
                <w:lang w:val="en-US" w:eastAsia="zh-CN"/>
              </w:rPr>
              <w:t>：</w:t>
            </w:r>
            <w:r>
              <w:rPr>
                <w:rFonts w:hint="eastAsia" w:eastAsia="宋体" w:cs="Times New Roman"/>
                <w:color w:val="auto"/>
                <w:sz w:val="24"/>
                <w:szCs w:val="24"/>
                <w:lang w:val="en-US" w:eastAsia="zh-CN"/>
              </w:rPr>
              <w:t>污染源气体流速，一般在0.5m/s~1.5m/s，本次评价取均值0.</w:t>
            </w:r>
            <w:r>
              <w:rPr>
                <w:rFonts w:hint="eastAsia" w:cs="Times New Roman"/>
                <w:color w:val="auto"/>
                <w:sz w:val="24"/>
                <w:szCs w:val="24"/>
                <w:lang w:val="en-US" w:eastAsia="zh-CN"/>
              </w:rPr>
              <w:t>6</w:t>
            </w:r>
            <w:r>
              <w:rPr>
                <w:rFonts w:hint="eastAsia" w:eastAsia="宋体" w:cs="Times New Roman"/>
                <w:color w:val="auto"/>
                <w:sz w:val="24"/>
                <w:szCs w:val="24"/>
                <w:lang w:val="en-US" w:eastAsia="zh-CN"/>
              </w:rPr>
              <w:t>m/s根据建设单位提供资料</w:t>
            </w:r>
            <w:r>
              <w:rPr>
                <w:rFonts w:hint="eastAsia" w:cs="Times New Roman"/>
                <w:color w:val="auto"/>
                <w:sz w:val="24"/>
                <w:szCs w:val="24"/>
                <w:lang w:val="en-US" w:eastAsia="zh-CN"/>
              </w:rPr>
              <w:t>：</w:t>
            </w:r>
          </w:p>
          <w:p w14:paraId="0EA34296">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混料需设置一个集气罩</w:t>
            </w:r>
            <w:r>
              <w:rPr>
                <w:rFonts w:hint="eastAsia" w:eastAsia="宋体" w:cs="Times New Roman"/>
                <w:color w:val="auto"/>
                <w:sz w:val="24"/>
                <w:szCs w:val="24"/>
                <w:lang w:val="en-US" w:eastAsia="zh-CN"/>
              </w:rPr>
              <w:t>尺寸</w:t>
            </w:r>
            <w:r>
              <w:rPr>
                <w:rFonts w:hint="eastAsia" w:eastAsia="宋体" w:cs="Times New Roman"/>
                <w:color w:val="auto"/>
                <w:sz w:val="24"/>
                <w:szCs w:val="24"/>
                <w:highlight w:val="none"/>
                <w:lang w:val="en-US" w:eastAsia="zh-CN"/>
              </w:rPr>
              <w:t>为</w:t>
            </w:r>
            <w:r>
              <w:rPr>
                <w:rFonts w:hint="eastAsia" w:cs="Times New Roman"/>
                <w:color w:val="auto"/>
                <w:sz w:val="24"/>
                <w:szCs w:val="24"/>
                <w:highlight w:val="none"/>
                <w:lang w:val="en-US" w:eastAsia="zh-CN"/>
              </w:rPr>
              <w:t>0.4</w:t>
            </w:r>
            <w:r>
              <w:rPr>
                <w:rFonts w:hint="eastAsia" w:eastAsia="宋体" w:cs="Times New Roman"/>
                <w:color w:val="auto"/>
                <w:sz w:val="24"/>
                <w:szCs w:val="24"/>
                <w:highlight w:val="none"/>
                <w:lang w:val="en-US" w:eastAsia="zh-CN"/>
              </w:rPr>
              <w:t>m×0.</w:t>
            </w:r>
            <w:r>
              <w:rPr>
                <w:rFonts w:hint="eastAsia" w:cs="Times New Roman"/>
                <w:color w:val="auto"/>
                <w:sz w:val="24"/>
                <w:szCs w:val="24"/>
                <w:highlight w:val="none"/>
                <w:lang w:val="en-US" w:eastAsia="zh-CN"/>
              </w:rPr>
              <w:t>4</w:t>
            </w:r>
            <w:r>
              <w:rPr>
                <w:rFonts w:hint="eastAsia" w:eastAsia="宋体" w:cs="Times New Roman"/>
                <w:color w:val="auto"/>
                <w:sz w:val="24"/>
                <w:szCs w:val="24"/>
                <w:highlight w:val="none"/>
                <w:lang w:val="en-US" w:eastAsia="zh-CN"/>
              </w:rPr>
              <w:t>m；</w:t>
            </w:r>
            <w:r>
              <w:rPr>
                <w:rFonts w:hint="eastAsia" w:cs="Times New Roman"/>
                <w:color w:val="auto"/>
                <w:sz w:val="24"/>
                <w:szCs w:val="24"/>
                <w:highlight w:val="none"/>
                <w:lang w:val="en-US" w:eastAsia="zh-CN"/>
              </w:rPr>
              <w:t>砂光打磨需设置一个集气罩</w:t>
            </w:r>
            <w:r>
              <w:rPr>
                <w:rFonts w:hint="eastAsia" w:eastAsia="宋体" w:cs="Times New Roman"/>
                <w:color w:val="auto"/>
                <w:sz w:val="24"/>
                <w:szCs w:val="24"/>
                <w:highlight w:val="none"/>
                <w:lang w:val="en-US" w:eastAsia="zh-CN"/>
              </w:rPr>
              <w:t>尺寸为</w:t>
            </w:r>
            <w:r>
              <w:rPr>
                <w:rFonts w:hint="eastAsia" w:cs="Times New Roman"/>
                <w:color w:val="auto"/>
                <w:sz w:val="24"/>
                <w:szCs w:val="24"/>
                <w:highlight w:val="none"/>
                <w:lang w:val="en-US" w:eastAsia="zh-CN"/>
              </w:rPr>
              <w:t>0.6</w:t>
            </w:r>
            <w:r>
              <w:rPr>
                <w:rFonts w:hint="eastAsia" w:eastAsia="宋体" w:cs="Times New Roman"/>
                <w:color w:val="auto"/>
                <w:sz w:val="24"/>
                <w:szCs w:val="24"/>
                <w:highlight w:val="none"/>
                <w:lang w:val="en-US" w:eastAsia="zh-CN"/>
              </w:rPr>
              <w:t>m×0.</w:t>
            </w:r>
            <w:r>
              <w:rPr>
                <w:rFonts w:hint="eastAsia" w:cs="Times New Roman"/>
                <w:color w:val="auto"/>
                <w:sz w:val="24"/>
                <w:szCs w:val="24"/>
                <w:highlight w:val="none"/>
                <w:lang w:val="en-US" w:eastAsia="zh-CN"/>
              </w:rPr>
              <w:t>6</w:t>
            </w:r>
            <w:r>
              <w:rPr>
                <w:rFonts w:hint="eastAsia" w:eastAsia="宋体" w:cs="Times New Roman"/>
                <w:color w:val="auto"/>
                <w:sz w:val="24"/>
                <w:szCs w:val="24"/>
                <w:highlight w:val="none"/>
                <w:lang w:val="en-US" w:eastAsia="zh-CN"/>
              </w:rPr>
              <w:t>m</w:t>
            </w:r>
            <w:r>
              <w:rPr>
                <w:rFonts w:hint="eastAsia" w:cs="Times New Roman"/>
                <w:color w:val="auto"/>
                <w:sz w:val="24"/>
                <w:szCs w:val="24"/>
                <w:highlight w:val="none"/>
                <w:lang w:val="en-US" w:eastAsia="zh-CN"/>
              </w:rPr>
              <w:t>；切割需设置10个集气罩</w:t>
            </w:r>
            <w:r>
              <w:rPr>
                <w:rFonts w:hint="eastAsia" w:eastAsia="宋体" w:cs="Times New Roman"/>
                <w:color w:val="auto"/>
                <w:sz w:val="24"/>
                <w:szCs w:val="24"/>
                <w:highlight w:val="none"/>
                <w:lang w:val="en-US" w:eastAsia="zh-CN"/>
              </w:rPr>
              <w:t>尺寸</w:t>
            </w:r>
            <w:r>
              <w:rPr>
                <w:rFonts w:hint="eastAsia" w:cs="Times New Roman"/>
                <w:color w:val="auto"/>
                <w:sz w:val="24"/>
                <w:szCs w:val="24"/>
                <w:highlight w:val="none"/>
                <w:lang w:val="en-US" w:eastAsia="zh-CN"/>
              </w:rPr>
              <w:t>均</w:t>
            </w:r>
            <w:r>
              <w:rPr>
                <w:rFonts w:hint="eastAsia" w:eastAsia="宋体" w:cs="Times New Roman"/>
                <w:color w:val="auto"/>
                <w:sz w:val="24"/>
                <w:szCs w:val="24"/>
                <w:highlight w:val="none"/>
                <w:lang w:val="en-US" w:eastAsia="zh-CN"/>
              </w:rPr>
              <w:t>为</w:t>
            </w:r>
            <w:r>
              <w:rPr>
                <w:rFonts w:hint="eastAsia" w:cs="Times New Roman"/>
                <w:color w:val="auto"/>
                <w:sz w:val="24"/>
                <w:szCs w:val="24"/>
                <w:highlight w:val="none"/>
                <w:lang w:val="en-US" w:eastAsia="zh-CN"/>
              </w:rPr>
              <w:t>0.2</w:t>
            </w:r>
            <w:r>
              <w:rPr>
                <w:rFonts w:hint="eastAsia" w:eastAsia="宋体" w:cs="Times New Roman"/>
                <w:color w:val="auto"/>
                <w:sz w:val="24"/>
                <w:szCs w:val="24"/>
                <w:highlight w:val="none"/>
                <w:lang w:val="en-US" w:eastAsia="zh-CN"/>
              </w:rPr>
              <w:t>m×</w:t>
            </w:r>
            <w:r>
              <w:rPr>
                <w:rFonts w:hint="eastAsia" w:cs="Times New Roman"/>
                <w:color w:val="auto"/>
                <w:sz w:val="24"/>
                <w:szCs w:val="24"/>
                <w:highlight w:val="none"/>
                <w:lang w:val="en-US" w:eastAsia="zh-CN"/>
              </w:rPr>
              <w:t>0.2</w:t>
            </w:r>
            <w:r>
              <w:rPr>
                <w:rFonts w:hint="eastAsia" w:eastAsia="宋体" w:cs="Times New Roman"/>
                <w:color w:val="auto"/>
                <w:sz w:val="24"/>
                <w:szCs w:val="24"/>
                <w:highlight w:val="none"/>
                <w:lang w:val="en-US" w:eastAsia="zh-CN"/>
              </w:rPr>
              <w:t>m</w:t>
            </w:r>
            <w:r>
              <w:rPr>
                <w:rFonts w:hint="eastAsia" w:cs="Times New Roman"/>
                <w:color w:val="auto"/>
                <w:sz w:val="24"/>
                <w:szCs w:val="24"/>
                <w:highlight w:val="none"/>
                <w:lang w:val="en-US" w:eastAsia="zh-CN"/>
              </w:rPr>
              <w:t>；</w:t>
            </w:r>
            <w:r>
              <w:rPr>
                <w:rFonts w:hint="eastAsia" w:eastAsia="宋体" w:cs="Times New Roman"/>
                <w:color w:val="auto"/>
                <w:sz w:val="24"/>
                <w:szCs w:val="24"/>
                <w:lang w:val="en-US" w:eastAsia="zh-CN"/>
              </w:rPr>
              <w:t>经计算本项目设置的集气罩集气风量最低为</w:t>
            </w:r>
            <w:r>
              <w:rPr>
                <w:rFonts w:hint="eastAsia" w:cs="Times New Roman"/>
                <w:color w:val="auto"/>
                <w:sz w:val="24"/>
                <w:szCs w:val="24"/>
                <w:lang w:val="en-US" w:eastAsia="zh-CN"/>
              </w:rPr>
              <w:t>17659.8</w:t>
            </w:r>
            <w:r>
              <w:rPr>
                <w:rFonts w:hint="eastAsia" w:eastAsia="宋体" w:cs="Times New Roman"/>
                <w:color w:val="auto"/>
                <w:sz w:val="24"/>
                <w:szCs w:val="24"/>
                <w:lang w:val="en-US" w:eastAsia="zh-CN"/>
              </w:rPr>
              <w:t>m</w:t>
            </w:r>
            <w:r>
              <w:rPr>
                <w:rFonts w:hint="eastAsia" w:eastAsia="宋体" w:cs="Times New Roman"/>
                <w:color w:val="auto"/>
                <w:sz w:val="24"/>
                <w:szCs w:val="24"/>
                <w:vertAlign w:val="superscript"/>
                <w:lang w:val="en-US" w:eastAsia="zh-CN"/>
              </w:rPr>
              <w:t>3</w:t>
            </w:r>
            <w:r>
              <w:rPr>
                <w:rFonts w:hint="eastAsia" w:eastAsia="宋体" w:cs="Times New Roman"/>
                <w:color w:val="auto"/>
                <w:sz w:val="24"/>
                <w:szCs w:val="24"/>
                <w:lang w:val="en-US" w:eastAsia="zh-CN"/>
              </w:rPr>
              <w:t>/h，为保证抽风效果，风机设计风量为</w:t>
            </w:r>
            <w:r>
              <w:rPr>
                <w:rFonts w:hint="eastAsia" w:cs="Times New Roman"/>
                <w:color w:val="auto"/>
                <w:sz w:val="24"/>
                <w:szCs w:val="24"/>
                <w:lang w:val="en-US" w:eastAsia="zh-CN"/>
              </w:rPr>
              <w:t>20000</w:t>
            </w:r>
            <w:r>
              <w:rPr>
                <w:rFonts w:hint="default" w:ascii="Times New Roman" w:hAnsi="Times New Roman" w:eastAsia="宋体" w:cs="Times New Roman"/>
                <w:color w:val="auto"/>
                <w:sz w:val="24"/>
                <w:szCs w:val="24"/>
                <w:lang w:val="en-US" w:eastAsia="zh-CN"/>
              </w:rPr>
              <w:t>m</w:t>
            </w:r>
            <w:r>
              <w:rPr>
                <w:rFonts w:hint="eastAsia"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/h。</w:t>
            </w:r>
          </w:p>
          <w:p w14:paraId="44EDB7E4">
            <w:pPr>
              <w:pStyle w:val="14"/>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default" w:ascii="Times New Roman" w:hAnsi="Times New Roman" w:eastAsia="宋体" w:cs="Times New Roman"/>
                <w:color w:val="auto"/>
                <w:sz w:val="24"/>
                <w:szCs w:val="24"/>
                <w:lang w:eastAsia="zh-CN"/>
              </w:rPr>
            </w:pPr>
            <w:r>
              <w:rPr>
                <w:rFonts w:hint="eastAsia" w:cs="Times New Roman"/>
                <w:color w:val="auto"/>
                <w:sz w:val="24"/>
                <w:szCs w:val="24"/>
                <w:lang w:eastAsia="zh-CN"/>
              </w:rPr>
              <w:t>（</w:t>
            </w:r>
            <w:r>
              <w:rPr>
                <w:rFonts w:hint="eastAsia" w:cs="Times New Roman"/>
                <w:color w:val="auto"/>
                <w:sz w:val="24"/>
                <w:szCs w:val="24"/>
                <w:lang w:val="en-US" w:eastAsia="zh-CN"/>
              </w:rPr>
              <w:t>4</w:t>
            </w:r>
            <w:r>
              <w:rPr>
                <w:rFonts w:hint="eastAsia" w:cs="Times New Roman"/>
                <w:color w:val="auto"/>
                <w:sz w:val="24"/>
                <w:szCs w:val="24"/>
                <w:lang w:eastAsia="zh-CN"/>
              </w:rPr>
              <w:t>）熔融</w:t>
            </w:r>
            <w:r>
              <w:rPr>
                <w:rFonts w:hint="eastAsia" w:cs="Times New Roman"/>
                <w:b w:val="0"/>
                <w:bCs w:val="0"/>
                <w:color w:val="auto"/>
                <w:sz w:val="24"/>
                <w:szCs w:val="24"/>
                <w:lang w:val="en-US" w:eastAsia="zh-CN"/>
              </w:rPr>
              <w:t>挤出废气</w:t>
            </w:r>
          </w:p>
          <w:p w14:paraId="2D737DA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cs="Times New Roman"/>
                <w:b w:val="0"/>
                <w:bCs w:val="0"/>
                <w:color w:val="auto"/>
                <w:sz w:val="24"/>
                <w:szCs w:val="24"/>
                <w:lang w:val="en-US" w:eastAsia="zh-CN"/>
              </w:rPr>
            </w:pPr>
            <w:r>
              <w:rPr>
                <w:rFonts w:hint="eastAsia" w:cs="Times New Roman"/>
                <w:color w:val="auto"/>
                <w:kern w:val="2"/>
                <w:sz w:val="24"/>
                <w:szCs w:val="24"/>
                <w:lang w:val="en-US" w:eastAsia="zh-CN" w:bidi="ar-SA"/>
              </w:rPr>
              <w:t>PVC板材、PE板材</w:t>
            </w:r>
            <w:r>
              <w:rPr>
                <w:rFonts w:hint="eastAsia" w:cs="Times New Roman"/>
                <w:b w:val="0"/>
                <w:bCs w:val="0"/>
                <w:color w:val="auto"/>
                <w:sz w:val="24"/>
                <w:szCs w:val="24"/>
                <w:lang w:val="en-US" w:eastAsia="zh-CN"/>
              </w:rPr>
              <w:t>融熔挤出采用电加热，熔融挤出工序会产生挥发性有机物。该工序温度控制在160-190℃之间，PVC（</w:t>
            </w:r>
            <w:r>
              <w:rPr>
                <w:rFonts w:hint="default" w:cs="Times New Roman"/>
                <w:color w:val="auto"/>
                <w:kern w:val="2"/>
                <w:sz w:val="24"/>
                <w:szCs w:val="24"/>
                <w:lang w:val="en-US" w:eastAsia="zh-CN" w:bidi="ar-SA"/>
              </w:rPr>
              <w:t>聚氯乙烯</w:t>
            </w:r>
            <w:r>
              <w:rPr>
                <w:rFonts w:hint="eastAsia" w:cs="Times New Roman"/>
                <w:color w:val="auto"/>
                <w:kern w:val="2"/>
                <w:sz w:val="24"/>
                <w:szCs w:val="24"/>
                <w:lang w:val="en-US" w:eastAsia="zh-CN" w:bidi="ar-SA"/>
              </w:rPr>
              <w:t>）</w:t>
            </w:r>
            <w:r>
              <w:rPr>
                <w:rFonts w:hint="eastAsia" w:cs="Times New Roman"/>
                <w:b w:val="0"/>
                <w:bCs w:val="0"/>
                <w:color w:val="auto"/>
                <w:sz w:val="24"/>
                <w:szCs w:val="24"/>
                <w:lang w:val="en-US" w:eastAsia="zh-CN"/>
              </w:rPr>
              <w:t>在加热软化属于物理性熔融，由于分子间的剪切挤压会发生断链、分解、降解等，而产生少量有机废气（以非甲烷总烃计），同时氯乙烯在200℃以下，热解产物主要为少量氯化氢和氯乙烯；本项目覆膜过程无需加热，温度主要来源于熔融挤出工序的物料，该物料从190℃降至150℃左右</w:t>
            </w:r>
            <w:r>
              <w:rPr>
                <w:rFonts w:hint="eastAsia" w:cs="Times New Roman"/>
                <w:b w:val="0"/>
                <w:bCs w:val="0"/>
                <w:color w:val="auto"/>
                <w:sz w:val="24"/>
                <w:szCs w:val="24"/>
                <w:highlight w:val="none"/>
                <w:lang w:val="en-US" w:eastAsia="zh-CN"/>
              </w:rPr>
              <w:t>，ASA膜</w:t>
            </w:r>
            <w:r>
              <w:rPr>
                <w:rFonts w:hint="eastAsia" w:cs="Times New Roman"/>
                <w:b w:val="0"/>
                <w:bCs w:val="0"/>
                <w:color w:val="auto"/>
                <w:sz w:val="24"/>
                <w:szCs w:val="24"/>
                <w:lang w:val="en-US" w:eastAsia="zh-CN"/>
              </w:rPr>
              <w:t>与熔融挤出工序的物料经过滚筒压制</w:t>
            </w:r>
            <w:r>
              <w:rPr>
                <w:rFonts w:hint="eastAsia" w:cs="Times New Roman"/>
                <w:b w:val="0"/>
                <w:bCs w:val="0"/>
                <w:color w:val="auto"/>
                <w:sz w:val="24"/>
                <w:szCs w:val="24"/>
                <w:highlight w:val="none"/>
                <w:lang w:val="en-US" w:eastAsia="zh-CN"/>
              </w:rPr>
              <w:t>，粘合完成覆膜，</w:t>
            </w:r>
            <w:r>
              <w:rPr>
                <w:rFonts w:hint="eastAsia" w:cs="Times New Roman"/>
                <w:b w:val="0"/>
                <w:bCs w:val="0"/>
                <w:color w:val="auto"/>
                <w:sz w:val="24"/>
                <w:szCs w:val="24"/>
                <w:lang w:val="en-US" w:eastAsia="zh-CN"/>
              </w:rPr>
              <w:t>不需胶黏剂，因覆膜压花过程未达到270℃的热解温度，故本项目不考虑该过程苯乙烯、丙烯腈等污染物的产排；以上工序会产生少量异味（以臭气浓度计）。</w:t>
            </w:r>
          </w:p>
          <w:p w14:paraId="7C58B41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融熔挤出废气采用碱液喷淋+除雾器+CO催化燃烧装置处理。卤代烃燃烧产生</w:t>
            </w:r>
            <w:r>
              <w:rPr>
                <w:rFonts w:hint="eastAsia" w:cs="Times New Roman"/>
                <w:b w:val="0"/>
                <w:bCs w:val="0"/>
                <w:color w:val="auto"/>
                <w:kern w:val="2"/>
                <w:sz w:val="24"/>
                <w:szCs w:val="24"/>
                <w:lang w:val="en-US" w:eastAsia="zh-CN" w:bidi="ar-SA"/>
              </w:rPr>
              <w:t>二噁英的条件为高浓度、高温、贫氧。熔融</w:t>
            </w:r>
            <w:r>
              <w:rPr>
                <w:rFonts w:hint="eastAsia" w:cs="Times New Roman"/>
                <w:b w:val="0"/>
                <w:bCs w:val="0"/>
                <w:color w:val="auto"/>
                <w:sz w:val="24"/>
                <w:szCs w:val="24"/>
                <w:lang w:val="en-US" w:eastAsia="zh-CN"/>
              </w:rPr>
              <w:t>挤出废气所产生的</w:t>
            </w:r>
            <w:r>
              <w:rPr>
                <w:rFonts w:hint="eastAsia" w:cs="Times New Roman"/>
                <w:b w:val="0"/>
                <w:bCs w:val="0"/>
                <w:color w:val="auto"/>
                <w:kern w:val="2"/>
                <w:sz w:val="24"/>
                <w:szCs w:val="24"/>
                <w:lang w:val="en-US" w:eastAsia="zh-CN" w:bidi="ar-SA"/>
              </w:rPr>
              <w:t>氯乙烯浓度较低，因此废气处理的过程中不会产生二噁英。</w:t>
            </w:r>
          </w:p>
          <w:p w14:paraId="204E2B1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cs="Times New Roman"/>
                <w:b/>
                <w:bCs/>
                <w:color w:val="auto"/>
                <w:kern w:val="2"/>
                <w:sz w:val="24"/>
                <w:szCs w:val="24"/>
                <w:lang w:val="en-US" w:eastAsia="zh-CN" w:bidi="ar-SA"/>
              </w:rPr>
            </w:pPr>
            <w:r>
              <w:rPr>
                <w:rFonts w:hint="eastAsia" w:cs="Times New Roman"/>
                <w:b/>
                <w:bCs/>
                <w:color w:val="auto"/>
                <w:kern w:val="2"/>
                <w:sz w:val="24"/>
                <w:szCs w:val="24"/>
                <w:lang w:val="en-US" w:eastAsia="zh-CN" w:bidi="ar-SA"/>
              </w:rPr>
              <w:t>氯乙烯：</w:t>
            </w:r>
          </w:p>
          <w:p w14:paraId="063F529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s="Times New Roman"/>
                <w:color w:val="auto"/>
                <w:kern w:val="2"/>
                <w:sz w:val="24"/>
                <w:szCs w:val="24"/>
                <w:lang w:val="en-US" w:eastAsia="zh-CN" w:bidi="ar-SA"/>
              </w:rPr>
            </w:pPr>
            <w:r>
              <w:rPr>
                <w:rFonts w:hint="default" w:cs="Times New Roman"/>
                <w:color w:val="auto"/>
                <w:kern w:val="2"/>
                <w:sz w:val="24"/>
                <w:szCs w:val="24"/>
                <w:lang w:val="en-US" w:eastAsia="zh-CN" w:bidi="ar-SA"/>
              </w:rPr>
              <w:t>参照《中国卫生检验杂志》2008年4月18卷第4期《气相色谱-质谱法分析聚氯乙烯加热分解产物》的研究结论，在不加热稳定剂的情况下，</w:t>
            </w:r>
            <w:r>
              <w:rPr>
                <w:rFonts w:hint="eastAsia" w:cs="Times New Roman"/>
                <w:b w:val="0"/>
                <w:bCs w:val="0"/>
                <w:color w:val="auto"/>
                <w:sz w:val="24"/>
                <w:szCs w:val="24"/>
                <w:lang w:val="en-US" w:eastAsia="zh-CN"/>
              </w:rPr>
              <w:t>PVC（</w:t>
            </w:r>
            <w:r>
              <w:rPr>
                <w:rFonts w:hint="default" w:cs="Times New Roman"/>
                <w:color w:val="auto"/>
                <w:kern w:val="2"/>
                <w:sz w:val="24"/>
                <w:szCs w:val="24"/>
                <w:lang w:val="en-US" w:eastAsia="zh-CN" w:bidi="ar-SA"/>
              </w:rPr>
              <w:t>聚氯乙烯</w:t>
            </w:r>
            <w:r>
              <w:rPr>
                <w:rFonts w:hint="eastAsia" w:cs="Times New Roman"/>
                <w:color w:val="auto"/>
                <w:kern w:val="2"/>
                <w:sz w:val="24"/>
                <w:szCs w:val="24"/>
                <w:lang w:val="en-US" w:eastAsia="zh-CN" w:bidi="ar-SA"/>
              </w:rPr>
              <w:t>）</w:t>
            </w:r>
            <w:r>
              <w:rPr>
                <w:rFonts w:hint="default" w:cs="Times New Roman"/>
                <w:color w:val="auto"/>
                <w:kern w:val="2"/>
                <w:sz w:val="24"/>
                <w:szCs w:val="24"/>
                <w:lang w:val="en-US" w:eastAsia="zh-CN" w:bidi="ar-SA"/>
              </w:rPr>
              <w:t>在100℃</w:t>
            </w:r>
            <w:r>
              <w:rPr>
                <w:rFonts w:hint="eastAsia" w:cs="Times New Roman"/>
                <w:color w:val="auto"/>
                <w:kern w:val="2"/>
                <w:sz w:val="24"/>
                <w:szCs w:val="24"/>
                <w:lang w:val="en-US" w:eastAsia="zh-CN" w:bidi="ar-SA"/>
              </w:rPr>
              <w:t>时</w:t>
            </w:r>
            <w:r>
              <w:rPr>
                <w:rFonts w:hint="default" w:cs="Times New Roman"/>
                <w:color w:val="auto"/>
                <w:kern w:val="2"/>
                <w:sz w:val="24"/>
                <w:szCs w:val="24"/>
                <w:lang w:val="en-US" w:eastAsia="zh-CN" w:bidi="ar-SA"/>
              </w:rPr>
              <w:t>开始分解，130℃以上分解更快，热分解过程中可能会产生氯化氢和氯乙烯气体。参考美国EPA对PVC塑料造粒工序研究的系数，氯乙烯产生系数为0.027kg/t</w:t>
            </w:r>
            <w:r>
              <w:rPr>
                <w:rFonts w:hint="eastAsia" w:cs="Times New Roman"/>
                <w:color w:val="auto"/>
                <w:kern w:val="2"/>
                <w:sz w:val="24"/>
                <w:szCs w:val="24"/>
                <w:lang w:val="en-US" w:eastAsia="zh-CN" w:bidi="ar-SA"/>
              </w:rPr>
              <w:t>-</w:t>
            </w:r>
            <w:r>
              <w:rPr>
                <w:rFonts w:hint="default" w:cs="Times New Roman"/>
                <w:color w:val="auto"/>
                <w:kern w:val="2"/>
                <w:sz w:val="24"/>
                <w:szCs w:val="24"/>
                <w:lang w:val="en-US" w:eastAsia="zh-CN" w:bidi="ar-SA"/>
              </w:rPr>
              <w:t>PVC，项目年使用</w:t>
            </w:r>
            <w:r>
              <w:rPr>
                <w:rFonts w:hint="eastAsia" w:cs="Times New Roman"/>
                <w:color w:val="auto"/>
                <w:kern w:val="2"/>
                <w:sz w:val="24"/>
                <w:szCs w:val="24"/>
                <w:lang w:val="en-US" w:eastAsia="zh-CN" w:bidi="ar-SA"/>
              </w:rPr>
              <w:t>46</w:t>
            </w:r>
            <w:r>
              <w:rPr>
                <w:rFonts w:hint="default" w:cs="Times New Roman"/>
                <w:color w:val="auto"/>
                <w:kern w:val="2"/>
                <w:sz w:val="24"/>
                <w:szCs w:val="24"/>
                <w:lang w:val="en-US" w:eastAsia="zh-CN" w:bidi="ar-SA"/>
              </w:rPr>
              <w:t>00t/aPVC，则氯乙烯产生量为0.12</w:t>
            </w:r>
            <w:r>
              <w:rPr>
                <w:rFonts w:hint="eastAsia" w:cs="Times New Roman"/>
                <w:color w:val="auto"/>
                <w:kern w:val="2"/>
                <w:sz w:val="24"/>
                <w:szCs w:val="24"/>
                <w:lang w:val="en-US" w:eastAsia="zh-CN" w:bidi="ar-SA"/>
              </w:rPr>
              <w:t>4</w:t>
            </w:r>
            <w:r>
              <w:rPr>
                <w:rFonts w:hint="default" w:cs="Times New Roman"/>
                <w:color w:val="auto"/>
                <w:kern w:val="2"/>
                <w:sz w:val="24"/>
                <w:szCs w:val="24"/>
                <w:lang w:val="en-US" w:eastAsia="zh-CN" w:bidi="ar-SA"/>
              </w:rPr>
              <w:t>t/a。</w:t>
            </w:r>
          </w:p>
          <w:p w14:paraId="61B38CC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cs="Times New Roman"/>
                <w:b/>
                <w:bCs/>
                <w:color w:val="auto"/>
                <w:sz w:val="24"/>
                <w:szCs w:val="24"/>
                <w:lang w:val="en-US" w:eastAsia="zh-CN"/>
              </w:rPr>
            </w:pPr>
            <w:r>
              <w:rPr>
                <w:rFonts w:hint="eastAsia" w:cs="Times New Roman"/>
                <w:b/>
                <w:bCs/>
                <w:color w:val="auto"/>
                <w:sz w:val="24"/>
                <w:szCs w:val="24"/>
                <w:lang w:val="en-US" w:eastAsia="zh-CN"/>
              </w:rPr>
              <w:t>非甲烷总烃：</w:t>
            </w:r>
          </w:p>
          <w:p w14:paraId="2FD2F9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根据《排放源统计调查产排污核算方法和系</w:t>
            </w:r>
            <w:r>
              <w:rPr>
                <w:rFonts w:hint="eastAsia" w:cs="Times New Roman"/>
                <w:color w:val="auto"/>
                <w:kern w:val="2"/>
                <w:sz w:val="24"/>
                <w:szCs w:val="24"/>
                <w:lang w:val="en-US" w:eastAsia="zh-CN" w:bidi="ar-SA"/>
              </w:rPr>
              <w:t>数</w:t>
            </w:r>
            <w:r>
              <w:rPr>
                <w:rFonts w:hint="default" w:ascii="Times New Roman" w:hAnsi="Times New Roman" w:eastAsia="宋体" w:cs="Times New Roman"/>
                <w:color w:val="auto"/>
                <w:kern w:val="2"/>
                <w:sz w:val="24"/>
                <w:szCs w:val="24"/>
                <w:lang w:val="en-US" w:eastAsia="zh-CN" w:bidi="ar-SA"/>
              </w:rPr>
              <w:t>手册》中292 塑料制品行业系数手册</w:t>
            </w:r>
            <w:r>
              <w:rPr>
                <w:rFonts w:hint="eastAsia" w:cs="Times New Roman"/>
                <w:color w:val="auto"/>
                <w:kern w:val="2"/>
                <w:sz w:val="24"/>
                <w:szCs w:val="24"/>
                <w:lang w:val="en-US" w:eastAsia="zh-CN" w:bidi="ar-SA"/>
              </w:rPr>
              <w:t>－树脂、助剂配料混合挤出挥发性有机物产生系数为1.5kg/吨－产品。本项目PVC板材、PE板材年产量为10000吨，则</w:t>
            </w:r>
            <w:r>
              <w:rPr>
                <w:rFonts w:hint="eastAsia" w:cs="Times New Roman"/>
                <w:b w:val="0"/>
                <w:bCs w:val="0"/>
                <w:color w:val="auto"/>
                <w:sz w:val="24"/>
                <w:szCs w:val="24"/>
                <w:lang w:val="en-US" w:eastAsia="zh-CN"/>
              </w:rPr>
              <w:t>融熔挤出</w:t>
            </w:r>
            <w:r>
              <w:rPr>
                <w:rFonts w:hint="eastAsia" w:cs="Times New Roman"/>
                <w:color w:val="auto"/>
                <w:kern w:val="2"/>
                <w:sz w:val="24"/>
                <w:szCs w:val="24"/>
                <w:lang w:val="en-US" w:eastAsia="zh-CN" w:bidi="ar-SA"/>
              </w:rPr>
              <w:t>工序挥发性有机物产生量为15t/a，其中氯乙烯量为0.124t/a，其余有机废气以非甲烷总烃表征，非甲烷总烃产生量为14.876t/a。</w:t>
            </w:r>
          </w:p>
          <w:p w14:paraId="773E1F2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eastAsia" w:cs="Times New Roman"/>
                <w:b/>
                <w:bCs/>
                <w:color w:val="auto"/>
                <w:kern w:val="2"/>
                <w:sz w:val="24"/>
                <w:szCs w:val="24"/>
                <w:lang w:val="en-US" w:eastAsia="zh-CN" w:bidi="ar-SA"/>
              </w:rPr>
            </w:pPr>
            <w:r>
              <w:rPr>
                <w:rFonts w:hint="eastAsia" w:cs="Times New Roman"/>
                <w:b/>
                <w:bCs/>
                <w:color w:val="auto"/>
                <w:kern w:val="2"/>
                <w:sz w:val="24"/>
                <w:szCs w:val="24"/>
                <w:lang w:val="en-US" w:eastAsia="zh-CN" w:bidi="ar-SA"/>
              </w:rPr>
              <w:t>氯化氢：</w:t>
            </w:r>
          </w:p>
          <w:p w14:paraId="3FDF814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s="Times New Roman"/>
                <w:b w:val="0"/>
                <w:bCs w:val="0"/>
                <w:color w:val="auto"/>
                <w:kern w:val="2"/>
                <w:sz w:val="24"/>
                <w:szCs w:val="24"/>
                <w:lang w:val="en-US" w:eastAsia="zh-CN" w:bidi="ar-SA"/>
              </w:rPr>
            </w:pPr>
            <w:r>
              <w:rPr>
                <w:rFonts w:hint="default" w:cs="Times New Roman"/>
                <w:b w:val="0"/>
                <w:bCs w:val="0"/>
                <w:color w:val="auto"/>
                <w:kern w:val="2"/>
                <w:sz w:val="24"/>
                <w:szCs w:val="24"/>
                <w:lang w:val="en-US" w:eastAsia="zh-CN" w:bidi="ar-SA"/>
              </w:rPr>
              <w:t>参照《燃烧化学学报》2002年12月第6期中山西太原理工大学发表的文献《树脂瓦的热解/红外（Py/FTIR）研究》结果表明：“在树脂瓦的挤出过程中，PVC树脂粉（聚氯乙烯）具有热塑性，比重约为1.4g/cm</w:t>
            </w:r>
            <w:r>
              <w:rPr>
                <w:rFonts w:hint="default" w:cs="Times New Roman"/>
                <w:b w:val="0"/>
                <w:bCs w:val="0"/>
                <w:color w:val="auto"/>
                <w:kern w:val="2"/>
                <w:sz w:val="24"/>
                <w:szCs w:val="24"/>
                <w:vertAlign w:val="superscript"/>
                <w:lang w:val="en-US" w:eastAsia="zh-CN" w:bidi="ar-SA"/>
              </w:rPr>
              <w:t>3</w:t>
            </w:r>
            <w:r>
              <w:rPr>
                <w:rFonts w:hint="default" w:cs="Times New Roman"/>
                <w:b w:val="0"/>
                <w:bCs w:val="0"/>
                <w:color w:val="auto"/>
                <w:kern w:val="2"/>
                <w:sz w:val="24"/>
                <w:szCs w:val="24"/>
                <w:lang w:val="en-US" w:eastAsia="zh-CN" w:bidi="ar-SA"/>
              </w:rPr>
              <w:t>，含氯量</w:t>
            </w:r>
            <w:r>
              <w:rPr>
                <w:rFonts w:hint="eastAsia" w:cs="Times New Roman"/>
                <w:b w:val="0"/>
                <w:bCs w:val="0"/>
                <w:color w:val="auto"/>
                <w:kern w:val="2"/>
                <w:sz w:val="24"/>
                <w:szCs w:val="24"/>
                <w:lang w:val="en-US" w:eastAsia="zh-CN" w:bidi="ar-SA"/>
              </w:rPr>
              <w:t>56%～58%</w:t>
            </w:r>
            <w:r>
              <w:rPr>
                <w:rFonts w:hint="default" w:cs="Times New Roman"/>
                <w:b w:val="0"/>
                <w:bCs w:val="0"/>
                <w:color w:val="auto"/>
                <w:kern w:val="2"/>
                <w:sz w:val="24"/>
                <w:szCs w:val="24"/>
                <w:lang w:val="en-US" w:eastAsia="zh-CN" w:bidi="ar-SA"/>
              </w:rPr>
              <w:t>，熔点约为70~85℃，成型温度在160~190℃，分解温度&gt;200℃。聚氯乙烯颗粒在热解过程中，由于分子间的剪切挤压发生断链、分解、降解过程中会产生氯乙烯和氯化氢单体，由于加热温度一般控制在塑料原料允许的范围内，分解的单体量较少，且加热在密闭的容器内进行，产生的单体仅有少量排出。加热分解产生单体按10</w:t>
            </w:r>
            <w:r>
              <w:rPr>
                <w:rFonts w:hint="eastAsia" w:cs="Times New Roman"/>
                <w:b w:val="0"/>
                <w:bCs w:val="0"/>
                <w:color w:val="auto"/>
                <w:kern w:val="2"/>
                <w:sz w:val="24"/>
                <w:szCs w:val="24"/>
                <w:lang w:val="en-US" w:eastAsia="zh-CN" w:bidi="ar-SA"/>
              </w:rPr>
              <w:t>～</w:t>
            </w:r>
            <w:r>
              <w:rPr>
                <w:rFonts w:hint="default" w:cs="Times New Roman"/>
                <w:b w:val="0"/>
                <w:bCs w:val="0"/>
                <w:color w:val="auto"/>
                <w:kern w:val="2"/>
                <w:sz w:val="24"/>
                <w:szCs w:val="24"/>
                <w:lang w:val="en-US" w:eastAsia="zh-CN" w:bidi="ar-SA"/>
              </w:rPr>
              <w:t>20g/t</w:t>
            </w:r>
            <w:r>
              <w:rPr>
                <w:rFonts w:hint="eastAsia" w:cs="Times New Roman"/>
                <w:b w:val="0"/>
                <w:bCs w:val="0"/>
                <w:color w:val="auto"/>
                <w:kern w:val="2"/>
                <w:sz w:val="24"/>
                <w:szCs w:val="24"/>
                <w:lang w:val="en-US" w:eastAsia="zh-CN" w:bidi="ar-SA"/>
              </w:rPr>
              <w:t>-</w:t>
            </w:r>
            <w:r>
              <w:rPr>
                <w:rFonts w:hint="default" w:cs="Times New Roman"/>
                <w:b w:val="0"/>
                <w:bCs w:val="0"/>
                <w:color w:val="auto"/>
                <w:kern w:val="2"/>
                <w:sz w:val="24"/>
                <w:szCs w:val="24"/>
                <w:lang w:val="en-US" w:eastAsia="zh-CN" w:bidi="ar-SA"/>
              </w:rPr>
              <w:t>PVC计，即仅占总量的</w:t>
            </w:r>
            <w:r>
              <w:rPr>
                <w:rFonts w:hint="eastAsia" w:cs="Times New Roman"/>
                <w:b w:val="0"/>
                <w:bCs w:val="0"/>
                <w:color w:val="auto"/>
                <w:kern w:val="2"/>
                <w:sz w:val="24"/>
                <w:szCs w:val="24"/>
                <w:lang w:val="en-US" w:eastAsia="zh-CN" w:bidi="ar-SA"/>
              </w:rPr>
              <w:t>0.001%～0.002%</w:t>
            </w:r>
            <w:r>
              <w:rPr>
                <w:rFonts w:hint="default" w:cs="Times New Roman"/>
                <w:b w:val="0"/>
                <w:bCs w:val="0"/>
                <w:color w:val="auto"/>
                <w:kern w:val="2"/>
                <w:sz w:val="24"/>
                <w:szCs w:val="24"/>
                <w:lang w:val="en-US" w:eastAsia="zh-CN" w:bidi="ar-SA"/>
              </w:rPr>
              <w:t>。本项目挤出过程中温度未达到聚氯乙烯的分解温度，但在热解过程中会产生少量氯化氢单体，本项目考虑最不利情况，按总量的0.002%计。本项目年使用PVC树脂粉</w:t>
            </w:r>
            <w:r>
              <w:rPr>
                <w:rFonts w:hint="eastAsia" w:cs="Times New Roman"/>
                <w:b w:val="0"/>
                <w:bCs w:val="0"/>
                <w:color w:val="auto"/>
                <w:kern w:val="2"/>
                <w:sz w:val="24"/>
                <w:szCs w:val="24"/>
                <w:lang w:val="en-US" w:eastAsia="zh-CN" w:bidi="ar-SA"/>
              </w:rPr>
              <w:t>46</w:t>
            </w:r>
            <w:r>
              <w:rPr>
                <w:rFonts w:hint="default" w:cs="Times New Roman"/>
                <w:b w:val="0"/>
                <w:bCs w:val="0"/>
                <w:color w:val="auto"/>
                <w:kern w:val="2"/>
                <w:sz w:val="24"/>
                <w:szCs w:val="24"/>
                <w:lang w:val="en-US" w:eastAsia="zh-CN" w:bidi="ar-SA"/>
              </w:rPr>
              <w:t>00t/a，则氯化氢产生量为0.09</w:t>
            </w:r>
            <w:r>
              <w:rPr>
                <w:rFonts w:hint="eastAsia" w:cs="Times New Roman"/>
                <w:b w:val="0"/>
                <w:bCs w:val="0"/>
                <w:color w:val="auto"/>
                <w:kern w:val="2"/>
                <w:sz w:val="24"/>
                <w:szCs w:val="24"/>
                <w:lang w:val="en-US" w:eastAsia="zh-CN" w:bidi="ar-SA"/>
              </w:rPr>
              <w:t>2</w:t>
            </w:r>
            <w:r>
              <w:rPr>
                <w:rFonts w:hint="default" w:cs="Times New Roman"/>
                <w:b w:val="0"/>
                <w:bCs w:val="0"/>
                <w:color w:val="auto"/>
                <w:kern w:val="2"/>
                <w:sz w:val="24"/>
                <w:szCs w:val="24"/>
                <w:lang w:val="en-US" w:eastAsia="zh-CN" w:bidi="ar-SA"/>
              </w:rPr>
              <w:t>t/a。</w:t>
            </w:r>
          </w:p>
          <w:p w14:paraId="7605C24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default" w:cs="Times New Roman"/>
                <w:b/>
                <w:bCs/>
                <w:color w:val="auto"/>
                <w:kern w:val="2"/>
                <w:sz w:val="24"/>
                <w:szCs w:val="24"/>
                <w:lang w:val="en-US" w:eastAsia="zh-CN" w:bidi="ar-SA"/>
              </w:rPr>
            </w:pPr>
            <w:r>
              <w:rPr>
                <w:rFonts w:hint="eastAsia" w:cs="Times New Roman"/>
                <w:b/>
                <w:bCs/>
                <w:color w:val="auto"/>
                <w:kern w:val="2"/>
                <w:sz w:val="24"/>
                <w:szCs w:val="24"/>
                <w:lang w:val="en-US" w:eastAsia="zh-CN" w:bidi="ar-SA"/>
              </w:rPr>
              <w:t>臭气浓度：</w:t>
            </w:r>
          </w:p>
          <w:p w14:paraId="31530A2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cs="Times New Roman"/>
                <w:b w:val="0"/>
                <w:bCs w:val="0"/>
                <w:color w:val="auto"/>
                <w:kern w:val="2"/>
                <w:sz w:val="24"/>
                <w:szCs w:val="24"/>
                <w:lang w:val="en-US" w:eastAsia="zh-CN" w:bidi="ar-SA"/>
              </w:rPr>
            </w:pPr>
            <w:r>
              <w:rPr>
                <w:rFonts w:hint="default" w:cs="Times New Roman"/>
                <w:b w:val="0"/>
                <w:bCs w:val="0"/>
                <w:color w:val="auto"/>
                <w:kern w:val="2"/>
                <w:sz w:val="24"/>
                <w:szCs w:val="24"/>
                <w:lang w:val="en-US" w:eastAsia="zh-CN" w:bidi="ar-SA"/>
              </w:rPr>
              <w:t>本项目PVC树脂加热过程中，有机废气的挥发会产生一定的异味，归为臭气类别。本文引用张欢等在《恶臭污染评价分级方法》中基于韦伯—费希纳公式所建立的臭气强度与臭气浓度的关系，将国外臭气强度6级法与我国《恶臭污染物排放标准》（GB14554-93</w:t>
            </w:r>
            <w:r>
              <w:rPr>
                <w:rFonts w:hint="eastAsia" w:cs="Times New Roman"/>
                <w:b w:val="0"/>
                <w:bCs w:val="0"/>
                <w:color w:val="auto"/>
                <w:kern w:val="2"/>
                <w:sz w:val="24"/>
                <w:szCs w:val="24"/>
                <w:lang w:val="en-US" w:eastAsia="zh-CN" w:bidi="ar-SA"/>
              </w:rPr>
              <w:t>）相</w:t>
            </w:r>
            <w:r>
              <w:rPr>
                <w:rFonts w:hint="default" w:cs="Times New Roman"/>
                <w:b w:val="0"/>
                <w:bCs w:val="0"/>
                <w:color w:val="auto"/>
                <w:kern w:val="2"/>
                <w:sz w:val="24"/>
                <w:szCs w:val="24"/>
                <w:lang w:val="en-US" w:eastAsia="zh-CN" w:bidi="ar-SA"/>
              </w:rPr>
              <w:t>结合，该分级法以臭气强度的嗅觉感觉和实验经验为分级依据，对臭气浓度进行等级划分，提高了分级的准确程度。</w:t>
            </w:r>
          </w:p>
          <w:p w14:paraId="4E10206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center"/>
              <w:textAlignment w:val="auto"/>
              <w:rPr>
                <w:rFonts w:hint="default" w:eastAsia="宋体" w:cs="Times New Roman"/>
                <w:b/>
                <w:bCs/>
                <w:color w:val="auto"/>
                <w:kern w:val="2"/>
                <w:sz w:val="24"/>
                <w:szCs w:val="24"/>
                <w:vertAlign w:val="baseline"/>
                <w:lang w:val="en-US" w:eastAsia="zh-CN" w:bidi="ar-SA"/>
              </w:rPr>
            </w:pPr>
            <w:r>
              <w:rPr>
                <w:rFonts w:hint="eastAsia" w:cs="Times New Roman"/>
                <w:b/>
                <w:bCs/>
                <w:color w:val="auto"/>
                <w:kern w:val="2"/>
                <w:sz w:val="24"/>
                <w:szCs w:val="24"/>
                <w:lang w:val="en-US" w:eastAsia="zh-CN" w:bidi="ar-SA"/>
              </w:rPr>
              <w:t>表4.1  臭气强度相对应的臭气浓度限值 单位：无量纲</w:t>
            </w:r>
          </w:p>
          <w:tbl>
            <w:tblPr>
              <w:tblStyle w:val="25"/>
              <w:tblW w:w="8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1470"/>
              <w:gridCol w:w="1605"/>
              <w:gridCol w:w="3735"/>
            </w:tblGrid>
            <w:tr w14:paraId="31FBC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0" w:type="dxa"/>
                  <w:vAlign w:val="center"/>
                </w:tcPr>
                <w:p w14:paraId="5DD5A14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分级</w:t>
                  </w:r>
                </w:p>
              </w:tc>
              <w:tc>
                <w:tcPr>
                  <w:tcW w:w="1470" w:type="dxa"/>
                  <w:vAlign w:val="center"/>
                </w:tcPr>
                <w:p w14:paraId="150B943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臭气强度</w:t>
                  </w:r>
                </w:p>
              </w:tc>
              <w:tc>
                <w:tcPr>
                  <w:tcW w:w="1605" w:type="dxa"/>
                  <w:vAlign w:val="center"/>
                </w:tcPr>
                <w:p w14:paraId="2D60E3A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臭气浓度</w:t>
                  </w:r>
                </w:p>
              </w:tc>
              <w:tc>
                <w:tcPr>
                  <w:tcW w:w="3735" w:type="dxa"/>
                  <w:vAlign w:val="center"/>
                </w:tcPr>
                <w:p w14:paraId="3DCD10E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嗅觉感觉</w:t>
                  </w:r>
                </w:p>
              </w:tc>
            </w:tr>
            <w:tr w14:paraId="3937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0" w:type="dxa"/>
                  <w:vAlign w:val="center"/>
                </w:tcPr>
                <w:p w14:paraId="0D6A704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0</w:t>
                  </w:r>
                </w:p>
              </w:tc>
              <w:tc>
                <w:tcPr>
                  <w:tcW w:w="1470" w:type="dxa"/>
                  <w:vAlign w:val="center"/>
                </w:tcPr>
                <w:p w14:paraId="48CFF28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0</w:t>
                  </w:r>
                </w:p>
              </w:tc>
              <w:tc>
                <w:tcPr>
                  <w:tcW w:w="1605" w:type="dxa"/>
                  <w:vAlign w:val="center"/>
                </w:tcPr>
                <w:p w14:paraId="427E9E0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10</w:t>
                  </w:r>
                </w:p>
              </w:tc>
              <w:tc>
                <w:tcPr>
                  <w:tcW w:w="3735" w:type="dxa"/>
                  <w:vAlign w:val="center"/>
                </w:tcPr>
                <w:p w14:paraId="51B4490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default" w:eastAsia="宋体" w:cs="Times New Roman"/>
                      <w:b w:val="0"/>
                      <w:bCs w:val="0"/>
                      <w:color w:val="auto"/>
                      <w:kern w:val="2"/>
                      <w:sz w:val="21"/>
                      <w:szCs w:val="21"/>
                      <w:vertAlign w:val="baseline"/>
                      <w:lang w:val="en-US" w:eastAsia="zh-CN" w:bidi="ar-SA"/>
                    </w:rPr>
                    <w:t>未闻到有任何气味，无任何反应</w:t>
                  </w:r>
                </w:p>
              </w:tc>
            </w:tr>
            <w:tr w14:paraId="1B2E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0" w:type="dxa"/>
                  <w:vAlign w:val="center"/>
                </w:tcPr>
                <w:p w14:paraId="262D108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1</w:t>
                  </w:r>
                </w:p>
              </w:tc>
              <w:tc>
                <w:tcPr>
                  <w:tcW w:w="1470" w:type="dxa"/>
                  <w:vAlign w:val="center"/>
                </w:tcPr>
                <w:p w14:paraId="13B2AAC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1</w:t>
                  </w:r>
                </w:p>
              </w:tc>
              <w:tc>
                <w:tcPr>
                  <w:tcW w:w="1605" w:type="dxa"/>
                  <w:vAlign w:val="center"/>
                </w:tcPr>
                <w:p w14:paraId="0BFBE68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23</w:t>
                  </w:r>
                </w:p>
              </w:tc>
              <w:tc>
                <w:tcPr>
                  <w:tcW w:w="3735" w:type="dxa"/>
                  <w:vAlign w:val="center"/>
                </w:tcPr>
                <w:p w14:paraId="5444B7A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default" w:eastAsia="宋体" w:cs="Times New Roman"/>
                      <w:b w:val="0"/>
                      <w:bCs w:val="0"/>
                      <w:color w:val="auto"/>
                      <w:kern w:val="2"/>
                      <w:sz w:val="21"/>
                      <w:szCs w:val="21"/>
                      <w:vertAlign w:val="baseline"/>
                      <w:lang w:val="en-US" w:eastAsia="zh-CN" w:bidi="ar-SA"/>
                    </w:rPr>
                    <w:t>勉强能闻到有气味，但不宜</w:t>
                  </w:r>
                  <w:r>
                    <w:rPr>
                      <w:rFonts w:hint="eastAsia" w:cs="Times New Roman"/>
                      <w:b w:val="0"/>
                      <w:bCs w:val="0"/>
                      <w:color w:val="auto"/>
                      <w:kern w:val="2"/>
                      <w:sz w:val="21"/>
                      <w:szCs w:val="21"/>
                      <w:vertAlign w:val="baseline"/>
                      <w:lang w:val="en-US" w:eastAsia="zh-CN" w:bidi="ar-SA"/>
                    </w:rPr>
                    <w:t>辨认</w:t>
                  </w:r>
                  <w:r>
                    <w:rPr>
                      <w:rFonts w:hint="default" w:eastAsia="宋体" w:cs="Times New Roman"/>
                      <w:b w:val="0"/>
                      <w:bCs w:val="0"/>
                      <w:color w:val="auto"/>
                      <w:kern w:val="2"/>
                      <w:sz w:val="21"/>
                      <w:szCs w:val="21"/>
                      <w:vertAlign w:val="baseline"/>
                      <w:lang w:val="en-US" w:eastAsia="zh-CN" w:bidi="ar-SA"/>
                    </w:rPr>
                    <w:t>气味性质（感觉阈值）认为无所谓</w:t>
                  </w:r>
                </w:p>
              </w:tc>
            </w:tr>
            <w:tr w14:paraId="77E2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0" w:type="dxa"/>
                  <w:vAlign w:val="center"/>
                </w:tcPr>
                <w:p w14:paraId="7884B50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2</w:t>
                  </w:r>
                </w:p>
              </w:tc>
              <w:tc>
                <w:tcPr>
                  <w:tcW w:w="1470" w:type="dxa"/>
                  <w:vAlign w:val="center"/>
                </w:tcPr>
                <w:p w14:paraId="43D672E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2</w:t>
                  </w:r>
                </w:p>
              </w:tc>
              <w:tc>
                <w:tcPr>
                  <w:tcW w:w="1605" w:type="dxa"/>
                  <w:vAlign w:val="center"/>
                </w:tcPr>
                <w:p w14:paraId="48D5B9A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51</w:t>
                  </w:r>
                </w:p>
              </w:tc>
              <w:tc>
                <w:tcPr>
                  <w:tcW w:w="3735" w:type="dxa"/>
                  <w:vAlign w:val="center"/>
                </w:tcPr>
                <w:p w14:paraId="635FFD2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default" w:eastAsia="宋体" w:cs="Times New Roman"/>
                      <w:b w:val="0"/>
                      <w:bCs w:val="0"/>
                      <w:color w:val="auto"/>
                      <w:kern w:val="2"/>
                      <w:sz w:val="21"/>
                      <w:szCs w:val="21"/>
                      <w:vertAlign w:val="baseline"/>
                      <w:lang w:val="en-US" w:eastAsia="zh-CN" w:bidi="ar-SA"/>
                    </w:rPr>
                    <w:t>能闻到气味，且能辨认气味的性质（识别阈值），但感到很正常</w:t>
                  </w:r>
                </w:p>
              </w:tc>
            </w:tr>
            <w:tr w14:paraId="6CEDA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0" w:type="dxa"/>
                  <w:vAlign w:val="center"/>
                </w:tcPr>
                <w:p w14:paraId="10ED4715">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3</w:t>
                  </w:r>
                </w:p>
              </w:tc>
              <w:tc>
                <w:tcPr>
                  <w:tcW w:w="1470" w:type="dxa"/>
                  <w:vAlign w:val="center"/>
                </w:tcPr>
                <w:p w14:paraId="4D81B58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3</w:t>
                  </w:r>
                </w:p>
              </w:tc>
              <w:tc>
                <w:tcPr>
                  <w:tcW w:w="1605" w:type="dxa"/>
                  <w:vAlign w:val="center"/>
                </w:tcPr>
                <w:p w14:paraId="4CB440E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117</w:t>
                  </w:r>
                </w:p>
              </w:tc>
              <w:tc>
                <w:tcPr>
                  <w:tcW w:w="3735" w:type="dxa"/>
                  <w:vAlign w:val="center"/>
                </w:tcPr>
                <w:p w14:paraId="40B6A8B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default" w:eastAsia="宋体" w:cs="Times New Roman"/>
                      <w:b w:val="0"/>
                      <w:bCs w:val="0"/>
                      <w:color w:val="auto"/>
                      <w:kern w:val="2"/>
                      <w:sz w:val="21"/>
                      <w:szCs w:val="21"/>
                      <w:vertAlign w:val="baseline"/>
                      <w:lang w:val="en-US" w:eastAsia="zh-CN" w:bidi="ar-SA"/>
                    </w:rPr>
                    <w:t>很容易闻到气味，有所不快，但不反感</w:t>
                  </w:r>
                </w:p>
              </w:tc>
            </w:tr>
            <w:tr w14:paraId="41A7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0" w:type="dxa"/>
                  <w:vAlign w:val="center"/>
                </w:tcPr>
                <w:p w14:paraId="64FF09B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4</w:t>
                  </w:r>
                </w:p>
              </w:tc>
              <w:tc>
                <w:tcPr>
                  <w:tcW w:w="1470" w:type="dxa"/>
                  <w:vAlign w:val="center"/>
                </w:tcPr>
                <w:p w14:paraId="38C81A23">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4</w:t>
                  </w:r>
                </w:p>
              </w:tc>
              <w:tc>
                <w:tcPr>
                  <w:tcW w:w="1605" w:type="dxa"/>
                  <w:vAlign w:val="center"/>
                </w:tcPr>
                <w:p w14:paraId="3B11D78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265</w:t>
                  </w:r>
                </w:p>
              </w:tc>
              <w:tc>
                <w:tcPr>
                  <w:tcW w:w="3735" w:type="dxa"/>
                  <w:vAlign w:val="center"/>
                </w:tcPr>
                <w:p w14:paraId="5D95CE61">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default" w:eastAsia="宋体" w:cs="Times New Roman"/>
                      <w:b w:val="0"/>
                      <w:bCs w:val="0"/>
                      <w:color w:val="auto"/>
                      <w:kern w:val="2"/>
                      <w:sz w:val="21"/>
                      <w:szCs w:val="21"/>
                      <w:vertAlign w:val="baseline"/>
                      <w:lang w:val="en-US" w:eastAsia="zh-CN" w:bidi="ar-SA"/>
                    </w:rPr>
                    <w:t>有很强的气味，很反感，想离开</w:t>
                  </w:r>
                </w:p>
              </w:tc>
            </w:tr>
            <w:tr w14:paraId="7A2B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0" w:type="dxa"/>
                  <w:vAlign w:val="center"/>
                </w:tcPr>
                <w:p w14:paraId="62C4326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5</w:t>
                  </w:r>
                </w:p>
              </w:tc>
              <w:tc>
                <w:tcPr>
                  <w:tcW w:w="1470" w:type="dxa"/>
                  <w:vAlign w:val="center"/>
                </w:tcPr>
                <w:p w14:paraId="658579D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5</w:t>
                  </w:r>
                </w:p>
              </w:tc>
              <w:tc>
                <w:tcPr>
                  <w:tcW w:w="1605" w:type="dxa"/>
                  <w:vAlign w:val="center"/>
                </w:tcPr>
                <w:p w14:paraId="7DAD422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600</w:t>
                  </w:r>
                </w:p>
              </w:tc>
              <w:tc>
                <w:tcPr>
                  <w:tcW w:w="3735" w:type="dxa"/>
                  <w:vAlign w:val="center"/>
                </w:tcPr>
                <w:p w14:paraId="3820021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eastAsia="宋体" w:cs="Times New Roman"/>
                      <w:b w:val="0"/>
                      <w:bCs w:val="0"/>
                      <w:color w:val="auto"/>
                      <w:kern w:val="2"/>
                      <w:sz w:val="21"/>
                      <w:szCs w:val="21"/>
                      <w:vertAlign w:val="baseline"/>
                      <w:lang w:val="en-US" w:eastAsia="zh-CN" w:bidi="ar-SA"/>
                    </w:rPr>
                  </w:pPr>
                  <w:r>
                    <w:rPr>
                      <w:rFonts w:hint="default" w:eastAsia="宋体" w:cs="Times New Roman"/>
                      <w:b w:val="0"/>
                      <w:bCs w:val="0"/>
                      <w:color w:val="auto"/>
                      <w:kern w:val="2"/>
                      <w:sz w:val="21"/>
                      <w:szCs w:val="21"/>
                      <w:vertAlign w:val="baseline"/>
                      <w:lang w:val="en-US" w:eastAsia="zh-CN" w:bidi="ar-SA"/>
                    </w:rPr>
                    <w:t>有极强的气味，无法忍受，立即逃跑</w:t>
                  </w:r>
                </w:p>
              </w:tc>
            </w:tr>
          </w:tbl>
          <w:p w14:paraId="0DF2297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center"/>
              <w:textAlignment w:val="auto"/>
              <w:rPr>
                <w:rFonts w:hint="default" w:eastAsia="宋体" w:cs="Times New Roman"/>
                <w:b w:val="0"/>
                <w:bCs w:val="0"/>
                <w:color w:val="auto"/>
                <w:kern w:val="2"/>
                <w:sz w:val="24"/>
                <w:szCs w:val="24"/>
                <w:lang w:val="en-US" w:eastAsia="zh-CN" w:bidi="ar-SA"/>
              </w:rPr>
            </w:pPr>
            <w:r>
              <w:rPr>
                <w:rFonts w:hint="default" w:eastAsia="宋体" w:cs="Times New Roman"/>
                <w:b w:val="0"/>
                <w:bCs w:val="0"/>
                <w:color w:val="auto"/>
                <w:kern w:val="2"/>
                <w:sz w:val="24"/>
                <w:szCs w:val="24"/>
                <w:lang w:val="en-US" w:eastAsia="zh-CN" w:bidi="ar-SA"/>
              </w:rPr>
              <w:t>经类比同类型项目，项目生产车间臭气强度一般在2~3级，折合臭气浓度约为51~117（无量纲），本项目产生的异味大部分会随着有机废气经集气系统收集后通过15m排气筒（DA00</w:t>
            </w:r>
            <w:r>
              <w:rPr>
                <w:rFonts w:hint="eastAsia" w:cs="Times New Roman"/>
                <w:b w:val="0"/>
                <w:bCs w:val="0"/>
                <w:color w:val="auto"/>
                <w:kern w:val="2"/>
                <w:sz w:val="24"/>
                <w:szCs w:val="24"/>
                <w:lang w:val="en-US" w:eastAsia="zh-CN" w:bidi="ar-SA"/>
              </w:rPr>
              <w:t>7</w:t>
            </w:r>
            <w:r>
              <w:rPr>
                <w:rFonts w:hint="default" w:eastAsia="宋体" w:cs="Times New Roman"/>
                <w:b w:val="0"/>
                <w:bCs w:val="0"/>
                <w:color w:val="auto"/>
                <w:kern w:val="2"/>
                <w:sz w:val="24"/>
                <w:szCs w:val="24"/>
                <w:lang w:val="en-US" w:eastAsia="zh-CN" w:bidi="ar-SA"/>
              </w:rPr>
              <w:t>）排放，未被收集的少部分异味经过车间通风排入大气环境。该类异味覆盖范围仅限于生产设备至生产车间边界，在加强车间通风的情况下，厂界外臭气浓度在10以下，对外环境影响较小。因此本环评不做定量分析，仅要求生产车间内确保废气收集措施运行正常及加强通风即可。</w:t>
            </w:r>
          </w:p>
          <w:p w14:paraId="50B58BB2">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cs="Times New Roman"/>
                <w:color w:val="auto"/>
                <w:kern w:val="2"/>
                <w:sz w:val="24"/>
                <w:szCs w:val="24"/>
                <w:lang w:val="en-US" w:eastAsia="zh-CN" w:bidi="ar-SA"/>
              </w:rPr>
            </w:pPr>
            <w:r>
              <w:rPr>
                <w:rFonts w:hint="eastAsia" w:cs="Times New Roman"/>
                <w:b/>
                <w:bCs/>
                <w:color w:val="auto"/>
                <w:sz w:val="24"/>
                <w:szCs w:val="24"/>
                <w:lang w:val="en-US" w:eastAsia="zh-CN"/>
              </w:rPr>
              <w:t>融熔挤出废气：</w:t>
            </w:r>
            <w:r>
              <w:rPr>
                <w:rFonts w:hint="eastAsia" w:cs="Times New Roman"/>
                <w:color w:val="auto"/>
                <w:kern w:val="2"/>
                <w:sz w:val="24"/>
                <w:szCs w:val="24"/>
                <w:lang w:val="en-US" w:eastAsia="zh-CN" w:bidi="ar-SA"/>
              </w:rPr>
              <w:t>采用集气罩收集后经碱液喷淋+除雾器+CO催化燃烧装置处理，通过15m高排气筒（DA007）排放。风机风量设置为50000m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lang w:val="en-US" w:eastAsia="zh-CN" w:bidi="ar-SA"/>
              </w:rPr>
              <w:t>/h，工作时长取2400h/a，集气罩收集效率取90%，碱式喷淋对氯化氢处理效率取75%，CO催化燃烧对非甲烷总烃、氯乙烯的处理效率取95%。工作时长取2400h/a。</w:t>
            </w:r>
          </w:p>
          <w:p w14:paraId="6D9EAC38">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jc w:val="both"/>
              <w:textAlignment w:val="auto"/>
              <w:rPr>
                <w:rFonts w:hint="eastAsia" w:cs="Times New Roman"/>
                <w:bCs/>
                <w:spacing w:val="-10"/>
                <w:sz w:val="24"/>
                <w:szCs w:val="24"/>
                <w:lang w:val="en-US" w:eastAsia="zh-CN"/>
              </w:rPr>
            </w:pPr>
            <w:r>
              <w:rPr>
                <w:rFonts w:hint="eastAsia" w:cs="Times New Roman"/>
                <w:b/>
                <w:bCs w:val="0"/>
                <w:spacing w:val="-10"/>
                <w:sz w:val="24"/>
                <w:szCs w:val="24"/>
                <w:highlight w:val="none"/>
                <w:lang w:val="en-US" w:eastAsia="zh-CN"/>
              </w:rPr>
              <w:t>氯乙烯：</w:t>
            </w:r>
            <w:r>
              <w:rPr>
                <w:rFonts w:hint="eastAsia" w:cs="Times New Roman"/>
                <w:color w:val="auto"/>
                <w:kern w:val="2"/>
                <w:sz w:val="24"/>
                <w:szCs w:val="24"/>
                <w:lang w:val="en-US" w:eastAsia="zh-CN" w:bidi="ar-SA"/>
              </w:rPr>
              <w:t>产生总量为0.124t/a，有组织氯乙烯产生量为0.111t/a，产生浓度为0.93mg/m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vertAlign w:val="baseline"/>
                <w:lang w:val="en-US" w:eastAsia="zh-CN" w:bidi="ar-SA"/>
              </w:rPr>
              <w:t>，</w:t>
            </w:r>
            <w:r>
              <w:rPr>
                <w:rFonts w:hint="eastAsia" w:cs="Times New Roman"/>
                <w:color w:val="auto"/>
                <w:kern w:val="2"/>
                <w:sz w:val="24"/>
                <w:szCs w:val="24"/>
                <w:lang w:val="en-US" w:eastAsia="zh-CN" w:bidi="ar-SA"/>
              </w:rPr>
              <w:t>经处理后氯乙烯排放量为0.006t/a，排放速率为0.002kg/h，排放浓度为0.047mg/m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vertAlign w:val="baseline"/>
                <w:lang w:val="en-US" w:eastAsia="zh-CN" w:bidi="ar-SA"/>
              </w:rPr>
              <w:t>，无组织排放量为0.012t/a。</w:t>
            </w:r>
          </w:p>
          <w:p w14:paraId="71DA095B">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default" w:cs="Times New Roman"/>
                <w:b w:val="0"/>
                <w:bCs w:val="0"/>
                <w:color w:val="auto"/>
                <w:sz w:val="24"/>
                <w:szCs w:val="24"/>
                <w:lang w:val="en-US" w:eastAsia="zh-CN"/>
              </w:rPr>
            </w:pPr>
            <w:r>
              <w:rPr>
                <w:rFonts w:hint="eastAsia" w:cs="Times New Roman"/>
                <w:b/>
                <w:bCs/>
                <w:color w:val="auto"/>
                <w:kern w:val="2"/>
                <w:sz w:val="24"/>
                <w:szCs w:val="24"/>
                <w:lang w:val="en-US" w:eastAsia="zh-CN" w:bidi="ar-SA"/>
              </w:rPr>
              <w:t>非甲烷总烃：</w:t>
            </w:r>
            <w:r>
              <w:rPr>
                <w:rFonts w:hint="eastAsia" w:cs="Times New Roman"/>
                <w:color w:val="auto"/>
                <w:kern w:val="2"/>
                <w:sz w:val="24"/>
                <w:szCs w:val="24"/>
                <w:lang w:val="en-US" w:eastAsia="zh-CN" w:bidi="ar-SA"/>
              </w:rPr>
              <w:t>产生总量为14.876t/a，有组织非甲烷总烃产生量为13.388t/a，产生浓度为111.57mg/m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vertAlign w:val="baseline"/>
                <w:lang w:val="en-US" w:eastAsia="zh-CN" w:bidi="ar-SA"/>
              </w:rPr>
              <w:t>，</w:t>
            </w:r>
            <w:r>
              <w:rPr>
                <w:rFonts w:hint="eastAsia" w:cs="Times New Roman"/>
                <w:color w:val="auto"/>
                <w:kern w:val="2"/>
                <w:sz w:val="24"/>
                <w:szCs w:val="24"/>
                <w:lang w:val="en-US" w:eastAsia="zh-CN" w:bidi="ar-SA"/>
              </w:rPr>
              <w:t>经处理后非甲烷总烃排放量为0.669t/a，排放速率为0.279kg/h，排放浓度为5.579mg/m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vertAlign w:val="baseline"/>
                <w:lang w:val="en-US" w:eastAsia="zh-CN" w:bidi="ar-SA"/>
              </w:rPr>
              <w:t>，无组织排放量为1.488t/a。</w:t>
            </w:r>
          </w:p>
          <w:p w14:paraId="75AE837E">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jc w:val="both"/>
              <w:textAlignment w:val="auto"/>
              <w:rPr>
                <w:rFonts w:hint="eastAsia" w:cs="Times New Roman"/>
                <w:bCs/>
                <w:spacing w:val="-10"/>
                <w:sz w:val="24"/>
                <w:szCs w:val="24"/>
                <w:lang w:val="en-US" w:eastAsia="zh-CN"/>
              </w:rPr>
            </w:pPr>
            <w:r>
              <w:rPr>
                <w:rFonts w:hint="eastAsia" w:cs="Times New Roman"/>
                <w:b/>
                <w:bCs w:val="0"/>
                <w:spacing w:val="-10"/>
                <w:sz w:val="24"/>
                <w:szCs w:val="24"/>
                <w:lang w:val="en-US" w:eastAsia="zh-CN"/>
              </w:rPr>
              <w:t>氯化氢：</w:t>
            </w:r>
            <w:r>
              <w:rPr>
                <w:rFonts w:hint="eastAsia" w:cs="Times New Roman"/>
                <w:color w:val="auto"/>
                <w:kern w:val="2"/>
                <w:sz w:val="24"/>
                <w:szCs w:val="24"/>
                <w:lang w:val="en-US" w:eastAsia="zh-CN" w:bidi="ar-SA"/>
              </w:rPr>
              <w:t>产生总量为</w:t>
            </w:r>
            <w:r>
              <w:rPr>
                <w:rFonts w:hint="default" w:cs="Times New Roman"/>
                <w:b w:val="0"/>
                <w:bCs w:val="0"/>
                <w:color w:val="auto"/>
                <w:kern w:val="2"/>
                <w:sz w:val="24"/>
                <w:szCs w:val="24"/>
                <w:lang w:val="en-US" w:eastAsia="zh-CN" w:bidi="ar-SA"/>
              </w:rPr>
              <w:t>0.09</w:t>
            </w:r>
            <w:r>
              <w:rPr>
                <w:rFonts w:hint="eastAsia" w:cs="Times New Roman"/>
                <w:b w:val="0"/>
                <w:bCs w:val="0"/>
                <w:color w:val="auto"/>
                <w:kern w:val="2"/>
                <w:sz w:val="24"/>
                <w:szCs w:val="24"/>
                <w:lang w:val="en-US" w:eastAsia="zh-CN" w:bidi="ar-SA"/>
              </w:rPr>
              <w:t>2</w:t>
            </w:r>
            <w:r>
              <w:rPr>
                <w:rFonts w:hint="eastAsia" w:cs="Times New Roman"/>
                <w:color w:val="auto"/>
                <w:kern w:val="2"/>
                <w:sz w:val="24"/>
                <w:szCs w:val="24"/>
                <w:lang w:val="en-US" w:eastAsia="zh-CN" w:bidi="ar-SA"/>
              </w:rPr>
              <w:t>t/a，有组织氯化氢产生量为0.083t/a，产生浓度为0.69mg/m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vertAlign w:val="baseline"/>
                <w:lang w:val="en-US" w:eastAsia="zh-CN" w:bidi="ar-SA"/>
              </w:rPr>
              <w:t>，</w:t>
            </w:r>
            <w:r>
              <w:rPr>
                <w:rFonts w:hint="eastAsia" w:cs="Times New Roman"/>
                <w:color w:val="auto"/>
                <w:kern w:val="2"/>
                <w:sz w:val="24"/>
                <w:szCs w:val="24"/>
                <w:lang w:val="en-US" w:eastAsia="zh-CN" w:bidi="ar-SA"/>
              </w:rPr>
              <w:t>经处理后氯化氢排放量为0.033t/a，排放速率为0.014kg/h，排放浓度为0.276mg/m</w:t>
            </w:r>
            <w:r>
              <w:rPr>
                <w:rFonts w:hint="eastAsia" w:cs="Times New Roman"/>
                <w:color w:val="auto"/>
                <w:kern w:val="2"/>
                <w:sz w:val="24"/>
                <w:szCs w:val="24"/>
                <w:vertAlign w:val="superscript"/>
                <w:lang w:val="en-US" w:eastAsia="zh-CN" w:bidi="ar-SA"/>
              </w:rPr>
              <w:t>3</w:t>
            </w:r>
            <w:r>
              <w:rPr>
                <w:rFonts w:hint="eastAsia" w:cs="Times New Roman"/>
                <w:color w:val="auto"/>
                <w:kern w:val="2"/>
                <w:sz w:val="24"/>
                <w:szCs w:val="24"/>
                <w:vertAlign w:val="baseline"/>
                <w:lang w:val="en-US" w:eastAsia="zh-CN" w:bidi="ar-SA"/>
              </w:rPr>
              <w:t>，无组织排放量为0.009t/a。</w:t>
            </w:r>
          </w:p>
          <w:p w14:paraId="77AE36E9">
            <w:pPr>
              <w:keepNext w:val="0"/>
              <w:keepLines w:val="0"/>
              <w:pageBreakBefore w:val="0"/>
              <w:widowControl w:val="0"/>
              <w:kinsoku/>
              <w:wordWrap/>
              <w:overflowPunct/>
              <w:topLinePunct w:val="0"/>
              <w:autoSpaceDE/>
              <w:autoSpaceDN/>
              <w:bidi w:val="0"/>
              <w:adjustRightInd w:val="0"/>
              <w:snapToGrid w:val="0"/>
              <w:spacing w:line="348" w:lineRule="auto"/>
              <w:ind w:firstLine="482" w:firstLineChars="200"/>
              <w:textAlignment w:val="auto"/>
              <w:rPr>
                <w:rFonts w:hint="eastAsia" w:eastAsia="宋体" w:cs="Times New Roman"/>
                <w:color w:val="auto"/>
                <w:sz w:val="24"/>
                <w:szCs w:val="24"/>
                <w:lang w:val="en-US" w:eastAsia="zh-CN"/>
              </w:rPr>
            </w:pPr>
            <w:r>
              <w:rPr>
                <w:rFonts w:hint="eastAsia" w:eastAsia="宋体" w:cs="Times New Roman"/>
                <w:b/>
                <w:bCs/>
                <w:color w:val="auto"/>
                <w:sz w:val="24"/>
                <w:szCs w:val="24"/>
                <w:lang w:val="en-US" w:eastAsia="zh-CN"/>
              </w:rPr>
              <w:t>风量计算：</w:t>
            </w:r>
          </w:p>
          <w:p w14:paraId="11660BCD">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根据《简明通风设计手册》，单个集气罩集气风量计算公式：</w:t>
            </w:r>
          </w:p>
          <w:p w14:paraId="5E7FA91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Q=K（a＋b）×h×V</w:t>
            </w:r>
            <w:r>
              <w:rPr>
                <w:rFonts w:hint="eastAsia" w:eastAsia="宋体" w:cs="Times New Roman"/>
                <w:color w:val="auto"/>
                <w:sz w:val="24"/>
                <w:szCs w:val="24"/>
                <w:vertAlign w:val="subscript"/>
                <w:lang w:val="en-US" w:eastAsia="zh-CN"/>
              </w:rPr>
              <w:t>0</w:t>
            </w:r>
            <w:r>
              <w:rPr>
                <w:rFonts w:hint="eastAsia" w:eastAsia="宋体" w:cs="Times New Roman"/>
                <w:color w:val="auto"/>
                <w:sz w:val="24"/>
                <w:szCs w:val="24"/>
                <w:lang w:val="en-US" w:eastAsia="zh-CN"/>
              </w:rPr>
              <w:t>×3600</w:t>
            </w:r>
          </w:p>
          <w:p w14:paraId="0734D62C">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式中：Q——为集气罩集气风量，单位为m</w:t>
            </w:r>
            <w:r>
              <w:rPr>
                <w:rFonts w:hint="eastAsia" w:eastAsia="宋体" w:cs="Times New Roman"/>
                <w:color w:val="auto"/>
                <w:sz w:val="24"/>
                <w:szCs w:val="24"/>
                <w:vertAlign w:val="superscript"/>
                <w:lang w:val="en-US" w:eastAsia="zh-CN"/>
              </w:rPr>
              <w:t>3</w:t>
            </w:r>
            <w:r>
              <w:rPr>
                <w:rFonts w:hint="eastAsia" w:eastAsia="宋体" w:cs="Times New Roman"/>
                <w:color w:val="auto"/>
                <w:sz w:val="24"/>
                <w:szCs w:val="24"/>
                <w:lang w:val="en-US" w:eastAsia="zh-CN"/>
              </w:rPr>
              <w:t>/h；</w:t>
            </w:r>
          </w:p>
          <w:p w14:paraId="1F41C7C3">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 xml:space="preserve">      K——为安全系数1.4；</w:t>
            </w:r>
          </w:p>
          <w:p w14:paraId="5FCD992F">
            <w:pPr>
              <w:keepNext w:val="0"/>
              <w:keepLines w:val="0"/>
              <w:pageBreakBefore w:val="0"/>
              <w:widowControl w:val="0"/>
              <w:kinsoku/>
              <w:wordWrap/>
              <w:overflowPunct/>
              <w:topLinePunct w:val="0"/>
              <w:autoSpaceDE/>
              <w:autoSpaceDN/>
              <w:bidi w:val="0"/>
              <w:adjustRightInd w:val="0"/>
              <w:snapToGrid w:val="0"/>
              <w:spacing w:line="348" w:lineRule="auto"/>
              <w:ind w:firstLine="960" w:firstLineChars="4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（a+b）——为集气罩</w:t>
            </w:r>
            <w:r>
              <w:rPr>
                <w:rFonts w:hint="eastAsia" w:cs="Times New Roman"/>
                <w:color w:val="auto"/>
                <w:sz w:val="24"/>
                <w:szCs w:val="24"/>
                <w:lang w:val="en-US" w:eastAsia="zh-CN"/>
              </w:rPr>
              <w:t>长加宽</w:t>
            </w:r>
            <w:r>
              <w:rPr>
                <w:rFonts w:hint="eastAsia" w:eastAsia="宋体" w:cs="Times New Roman"/>
                <w:color w:val="auto"/>
                <w:sz w:val="24"/>
                <w:szCs w:val="24"/>
                <w:lang w:val="en-US" w:eastAsia="zh-CN"/>
              </w:rPr>
              <w:t>，单位为m；</w:t>
            </w:r>
          </w:p>
          <w:p w14:paraId="2BF6D58A">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 xml:space="preserve">      h——为罩口至污染源的距离，单位为m，本次取0.7m；</w:t>
            </w:r>
          </w:p>
          <w:p w14:paraId="0A793156">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 xml:space="preserve">      V</w:t>
            </w:r>
            <w:r>
              <w:rPr>
                <w:rFonts w:hint="eastAsia" w:eastAsia="宋体" w:cs="Times New Roman"/>
                <w:color w:val="auto"/>
                <w:sz w:val="24"/>
                <w:szCs w:val="24"/>
                <w:vertAlign w:val="subscript"/>
                <w:lang w:val="en-US" w:eastAsia="zh-CN"/>
              </w:rPr>
              <w:t>0</w:t>
            </w:r>
            <w:r>
              <w:rPr>
                <w:rFonts w:hint="eastAsia" w:cs="Times New Roman"/>
                <w:color w:val="auto"/>
                <w:sz w:val="24"/>
                <w:szCs w:val="24"/>
                <w:vertAlign w:val="baseline"/>
                <w:lang w:val="en-US" w:eastAsia="zh-CN"/>
              </w:rPr>
              <w:t>：</w:t>
            </w:r>
            <w:r>
              <w:rPr>
                <w:rFonts w:hint="eastAsia" w:eastAsia="宋体" w:cs="Times New Roman"/>
                <w:color w:val="auto"/>
                <w:sz w:val="24"/>
                <w:szCs w:val="24"/>
                <w:lang w:val="en-US" w:eastAsia="zh-CN"/>
              </w:rPr>
              <w:t>污染源气体流速，一般在0.5m/s~1.5m/s，本次评价取均值1m/s（根据《局部排放设置控制风速检测与评估技术规范》（AQ/T4274-2016）中有毒气体外部排风罩控制风速1.0m/s）。</w:t>
            </w:r>
          </w:p>
          <w:p w14:paraId="1BC895B5">
            <w:pPr>
              <w:keepNext w:val="0"/>
              <w:keepLines w:val="0"/>
              <w:pageBreakBefore w:val="0"/>
              <w:widowControl w:val="0"/>
              <w:kinsoku/>
              <w:wordWrap/>
              <w:overflowPunct/>
              <w:topLinePunct w:val="0"/>
              <w:autoSpaceDE/>
              <w:autoSpaceDN/>
              <w:bidi w:val="0"/>
              <w:adjustRightInd w:val="0"/>
              <w:snapToGrid w:val="0"/>
              <w:spacing w:line="348" w:lineRule="auto"/>
              <w:ind w:firstLine="480" w:firstLineChars="200"/>
              <w:textAlignment w:val="auto"/>
              <w:rPr>
                <w:rFonts w:hint="eastAsia" w:eastAsia="宋体" w:cs="Times New Roman"/>
                <w:color w:val="auto"/>
                <w:sz w:val="24"/>
                <w:szCs w:val="24"/>
                <w:lang w:val="en-US" w:eastAsia="zh-CN"/>
              </w:rPr>
            </w:pPr>
            <w:r>
              <w:rPr>
                <w:rFonts w:hint="eastAsia" w:eastAsia="宋体" w:cs="Times New Roman"/>
                <w:color w:val="auto"/>
                <w:sz w:val="24"/>
                <w:szCs w:val="24"/>
                <w:lang w:val="en-US" w:eastAsia="zh-CN"/>
              </w:rPr>
              <w:t>根据建设单位提供资料</w:t>
            </w:r>
            <w:r>
              <w:rPr>
                <w:rFonts w:hint="eastAsia" w:cs="Times New Roman"/>
                <w:color w:val="auto"/>
                <w:sz w:val="24"/>
                <w:szCs w:val="24"/>
                <w:lang w:val="en-US" w:eastAsia="zh-CN"/>
              </w:rPr>
              <w:t>：</w:t>
            </w:r>
          </w:p>
          <w:p w14:paraId="2C1E92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eastAsia" w:cs="Times New Roman"/>
                <w:b w:val="0"/>
                <w:bCs w:val="0"/>
                <w:color w:val="auto"/>
                <w:sz w:val="24"/>
                <w:szCs w:val="24"/>
                <w:lang w:val="en-US" w:eastAsia="zh-CN"/>
              </w:rPr>
              <w:t>融熔挤出废气</w:t>
            </w:r>
            <w:r>
              <w:rPr>
                <w:rFonts w:hint="eastAsia" w:cs="Times New Roman"/>
                <w:color w:val="auto"/>
                <w:sz w:val="24"/>
                <w:szCs w:val="24"/>
                <w:lang w:val="en-US" w:eastAsia="zh-CN"/>
              </w:rPr>
              <w:t>需设置10个集气罩</w:t>
            </w:r>
            <w:r>
              <w:rPr>
                <w:rFonts w:hint="eastAsia" w:eastAsia="宋体" w:cs="Times New Roman"/>
                <w:color w:val="auto"/>
                <w:sz w:val="24"/>
                <w:szCs w:val="24"/>
                <w:lang w:val="en-US" w:eastAsia="zh-CN"/>
              </w:rPr>
              <w:t>，尺寸均为</w:t>
            </w:r>
            <w:r>
              <w:rPr>
                <w:rFonts w:hint="eastAsia" w:cs="Times New Roman"/>
                <w:color w:val="auto"/>
                <w:sz w:val="24"/>
                <w:szCs w:val="24"/>
                <w:lang w:val="en-US" w:eastAsia="zh-CN"/>
              </w:rPr>
              <w:t>0.6</w:t>
            </w:r>
            <w:r>
              <w:rPr>
                <w:rFonts w:hint="eastAsia" w:eastAsia="宋体" w:cs="Times New Roman"/>
                <w:color w:val="auto"/>
                <w:sz w:val="24"/>
                <w:szCs w:val="24"/>
                <w:lang w:val="en-US" w:eastAsia="zh-CN"/>
              </w:rPr>
              <w:t>m×0.6m；经计算本项目设置的单个集气罩集气风量最低为4233.6m</w:t>
            </w:r>
            <w:r>
              <w:rPr>
                <w:rFonts w:hint="eastAsia" w:eastAsia="宋体" w:cs="Times New Roman"/>
                <w:color w:val="auto"/>
                <w:sz w:val="24"/>
                <w:szCs w:val="24"/>
                <w:vertAlign w:val="superscript"/>
                <w:lang w:val="en-US" w:eastAsia="zh-CN"/>
              </w:rPr>
              <w:t>3</w:t>
            </w:r>
            <w:r>
              <w:rPr>
                <w:rFonts w:hint="eastAsia" w:eastAsia="宋体" w:cs="Times New Roman"/>
                <w:color w:val="auto"/>
                <w:sz w:val="24"/>
                <w:szCs w:val="24"/>
                <w:lang w:val="en-US" w:eastAsia="zh-CN"/>
              </w:rPr>
              <w:t>/h，风机风量最低为</w:t>
            </w:r>
            <w:r>
              <w:rPr>
                <w:rFonts w:hint="eastAsia" w:cs="Times New Roman"/>
                <w:color w:val="auto"/>
                <w:sz w:val="24"/>
                <w:szCs w:val="24"/>
                <w:lang w:val="en-US" w:eastAsia="zh-CN"/>
              </w:rPr>
              <w:t>42336</w:t>
            </w:r>
            <w:r>
              <w:rPr>
                <w:rFonts w:hint="eastAsia" w:eastAsia="宋体" w:cs="Times New Roman"/>
                <w:color w:val="auto"/>
                <w:sz w:val="24"/>
                <w:szCs w:val="24"/>
                <w:lang w:val="en-US" w:eastAsia="zh-CN"/>
              </w:rPr>
              <w:t>Nm</w:t>
            </w:r>
            <w:r>
              <w:rPr>
                <w:rFonts w:hint="eastAsia" w:eastAsia="宋体" w:cs="Times New Roman"/>
                <w:color w:val="auto"/>
                <w:sz w:val="24"/>
                <w:szCs w:val="24"/>
                <w:vertAlign w:val="superscript"/>
                <w:lang w:val="en-US" w:eastAsia="zh-CN"/>
              </w:rPr>
              <w:t>3</w:t>
            </w:r>
            <w:r>
              <w:rPr>
                <w:rFonts w:hint="eastAsia" w:eastAsia="宋体" w:cs="Times New Roman"/>
                <w:color w:val="auto"/>
                <w:sz w:val="24"/>
                <w:szCs w:val="24"/>
                <w:lang w:val="en-US" w:eastAsia="zh-CN"/>
              </w:rPr>
              <w:t>/h，为保证抽风效果，风机设计风量为</w:t>
            </w:r>
            <w:r>
              <w:rPr>
                <w:rFonts w:hint="eastAsia" w:cs="Times New Roman"/>
                <w:color w:val="auto"/>
                <w:sz w:val="24"/>
                <w:szCs w:val="24"/>
                <w:lang w:val="en-US" w:eastAsia="zh-CN"/>
              </w:rPr>
              <w:t>50000</w:t>
            </w:r>
            <w:r>
              <w:rPr>
                <w:rFonts w:hint="default" w:ascii="Times New Roman" w:hAnsi="Times New Roman" w:eastAsia="宋体" w:cs="Times New Roman"/>
                <w:color w:val="auto"/>
                <w:sz w:val="24"/>
                <w:szCs w:val="24"/>
                <w:lang w:val="en-US" w:eastAsia="zh-CN"/>
              </w:rPr>
              <w:t>m</w:t>
            </w:r>
            <w:r>
              <w:rPr>
                <w:rFonts w:hint="eastAsia"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/h。</w:t>
            </w:r>
          </w:p>
          <w:p w14:paraId="243AC9D4">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cs="Times New Roman"/>
                <w:bCs/>
                <w:spacing w:val="-10"/>
                <w:sz w:val="24"/>
                <w:szCs w:val="24"/>
                <w:lang w:val="en-US" w:eastAsia="zh-CN"/>
              </w:rPr>
            </w:pPr>
          </w:p>
          <w:p w14:paraId="4D199BB1">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eastAsia" w:cs="Times New Roman"/>
                <w:bCs/>
                <w:spacing w:val="-10"/>
                <w:sz w:val="24"/>
                <w:szCs w:val="24"/>
                <w:lang w:val="en-US" w:eastAsia="zh-CN"/>
              </w:rPr>
            </w:pPr>
          </w:p>
          <w:p w14:paraId="26B23A83">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jc w:val="both"/>
              <w:textAlignment w:val="auto"/>
              <w:rPr>
                <w:rFonts w:hint="default" w:ascii="Times New Roman" w:hAnsi="Times New Roman" w:eastAsia="宋体" w:cs="Times New Roman"/>
                <w:bCs/>
                <w:spacing w:val="-10"/>
                <w:sz w:val="24"/>
                <w:szCs w:val="24"/>
                <w:lang w:val="en-US" w:eastAsia="zh-CN"/>
              </w:rPr>
            </w:pPr>
          </w:p>
          <w:p w14:paraId="2D1E91D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160095F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364AA0C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305AC5D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06F3D35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60D407B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62CDA5B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764030B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0AB6E44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Cs/>
                <w:spacing w:val="-10"/>
                <w:sz w:val="24"/>
                <w:szCs w:val="24"/>
                <w:lang w:val="en-US" w:eastAsia="zh-CN"/>
              </w:rPr>
            </w:pPr>
          </w:p>
        </w:tc>
      </w:tr>
    </w:tbl>
    <w:p w14:paraId="46B5D84B">
      <w:pPr>
        <w:pStyle w:val="22"/>
        <w:keepNext w:val="0"/>
        <w:keepLines w:val="0"/>
        <w:pageBreakBefore w:val="0"/>
        <w:widowControl/>
        <w:kinsoku/>
        <w:wordWrap/>
        <w:overflowPunct/>
        <w:topLinePunct w:val="0"/>
        <w:autoSpaceDE/>
        <w:autoSpaceDN/>
        <w:bidi w:val="0"/>
        <w:adjustRightInd/>
        <w:snapToGrid/>
        <w:spacing w:before="0" w:beforeAutospacing="0"/>
        <w:jc w:val="center"/>
        <w:textAlignment w:val="auto"/>
        <w:outlineLvl w:val="0"/>
        <w:rPr>
          <w:rFonts w:hint="eastAsia" w:ascii="宋体" w:cs="宋体"/>
          <w:b/>
          <w:kern w:val="0"/>
          <w:sz w:val="28"/>
          <w:szCs w:val="28"/>
        </w:r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5"/>
        <w:tblW w:w="1344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2957"/>
      </w:tblGrid>
      <w:tr w14:paraId="612988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24" w:hRule="atLeast"/>
          <w:jc w:val="center"/>
        </w:trPr>
        <w:tc>
          <w:tcPr>
            <w:tcW w:w="486" w:type="dxa"/>
            <w:tcBorders>
              <w:tl2br w:val="nil"/>
              <w:tr2bl w:val="nil"/>
            </w:tcBorders>
            <w:noWrap w:val="0"/>
            <w:vAlign w:val="center"/>
          </w:tcPr>
          <w:p w14:paraId="29084253">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vertAlign w:val="baseline"/>
              </w:rPr>
            </w:pPr>
            <w:r>
              <w:rPr>
                <w:rFonts w:hint="default" w:ascii="Times New Roman" w:hAnsi="Times New Roman" w:eastAsia="宋体" w:cs="Times New Roman"/>
                <w:color w:val="000000"/>
                <w:vertAlign w:val="baseline"/>
              </w:rPr>
              <w:t>运营</w:t>
            </w:r>
          </w:p>
          <w:p w14:paraId="7F02AA64">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vertAlign w:val="baseline"/>
              </w:rPr>
            </w:pPr>
            <w:r>
              <w:rPr>
                <w:rFonts w:hint="default" w:ascii="Times New Roman" w:hAnsi="Times New Roman" w:eastAsia="宋体" w:cs="Times New Roman"/>
                <w:color w:val="000000"/>
                <w:vertAlign w:val="baseline"/>
              </w:rPr>
              <w:t>期环</w:t>
            </w:r>
          </w:p>
          <w:p w14:paraId="353AC10A">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vertAlign w:val="baseline"/>
                <w:lang w:val="en-US" w:eastAsia="zh-CN"/>
              </w:rPr>
            </w:pPr>
            <w:r>
              <w:rPr>
                <w:rFonts w:hint="default" w:ascii="Times New Roman" w:hAnsi="Times New Roman" w:eastAsia="宋体" w:cs="Times New Roman"/>
                <w:color w:val="000000"/>
                <w:vertAlign w:val="baseline"/>
              </w:rPr>
              <w:t>境影</w:t>
            </w:r>
            <w:r>
              <w:rPr>
                <w:rFonts w:hint="eastAsia" w:cs="Times New Roman"/>
                <w:color w:val="000000"/>
                <w:vertAlign w:val="baseline"/>
                <w:lang w:val="en-US" w:eastAsia="zh-CN"/>
              </w:rPr>
              <w:t>响</w:t>
            </w:r>
          </w:p>
          <w:p w14:paraId="270E1C1C">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vertAlign w:val="baseline"/>
              </w:rPr>
            </w:pPr>
            <w:r>
              <w:rPr>
                <w:rFonts w:hint="default" w:ascii="Times New Roman" w:hAnsi="Times New Roman" w:eastAsia="宋体" w:cs="Times New Roman"/>
                <w:color w:val="000000"/>
                <w:vertAlign w:val="baseline"/>
              </w:rPr>
              <w:t>和</w:t>
            </w:r>
          </w:p>
          <w:p w14:paraId="327757A1">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vertAlign w:val="baseline"/>
              </w:rPr>
            </w:pPr>
            <w:r>
              <w:rPr>
                <w:rFonts w:hint="default" w:ascii="Times New Roman" w:hAnsi="Times New Roman" w:eastAsia="宋体" w:cs="Times New Roman"/>
                <w:color w:val="000000"/>
                <w:vertAlign w:val="baseline"/>
              </w:rPr>
              <w:t>保护</w:t>
            </w:r>
          </w:p>
          <w:p w14:paraId="365345A6">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FF"/>
                <w:vertAlign w:val="baseline"/>
              </w:rPr>
            </w:pPr>
            <w:r>
              <w:rPr>
                <w:rFonts w:hint="default" w:ascii="Times New Roman" w:hAnsi="Times New Roman" w:eastAsia="宋体" w:cs="Times New Roman"/>
                <w:color w:val="000000"/>
                <w:vertAlign w:val="baseline"/>
              </w:rPr>
              <w:t>措施</w:t>
            </w:r>
          </w:p>
        </w:tc>
        <w:tc>
          <w:tcPr>
            <w:tcW w:w="12957" w:type="dxa"/>
            <w:tcBorders>
              <w:tl2br w:val="nil"/>
              <w:tr2bl w:val="nil"/>
            </w:tcBorders>
            <w:noWrap w:val="0"/>
            <w:vAlign w:val="top"/>
          </w:tcPr>
          <w:p w14:paraId="5778ED77">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default"/>
                <w:b/>
                <w:bCs/>
                <w:snapToGrid/>
                <w:color w:val="000000" w:themeColor="text1"/>
                <w:spacing w:val="0"/>
                <w:kern w:val="0"/>
                <w:position w:val="0"/>
                <w:sz w:val="24"/>
                <w:szCs w:val="24"/>
                <w:lang w:val="en-US" w:eastAsia="zh-CN"/>
                <w14:textFill>
                  <w14:solidFill>
                    <w14:schemeClr w14:val="tx1"/>
                  </w14:solidFill>
                </w14:textFill>
              </w:rPr>
            </w:pPr>
            <w:r>
              <w:rPr>
                <w:rFonts w:hint="default"/>
                <w:b/>
                <w:bCs/>
                <w:snapToGrid/>
                <w:color w:val="000000" w:themeColor="text1"/>
                <w:spacing w:val="0"/>
                <w:kern w:val="0"/>
                <w:position w:val="0"/>
                <w:sz w:val="24"/>
                <w:szCs w:val="24"/>
                <w:lang w:val="en-US" w:eastAsia="zh-CN"/>
                <w14:textFill>
                  <w14:solidFill>
                    <w14:schemeClr w14:val="tx1"/>
                  </w14:solidFill>
                </w14:textFill>
              </w:rPr>
              <w:t>表4.</w:t>
            </w:r>
            <w:r>
              <w:rPr>
                <w:rFonts w:hint="eastAsia"/>
                <w:b/>
                <w:bCs/>
                <w:snapToGrid/>
                <w:color w:val="000000" w:themeColor="text1"/>
                <w:spacing w:val="0"/>
                <w:kern w:val="0"/>
                <w:position w:val="0"/>
                <w:sz w:val="24"/>
                <w:szCs w:val="24"/>
                <w:lang w:val="en-US" w:eastAsia="zh-CN"/>
                <w14:textFill>
                  <w14:solidFill>
                    <w14:schemeClr w14:val="tx1"/>
                  </w14:solidFill>
                </w14:textFill>
              </w:rPr>
              <w:t xml:space="preserve">2 </w:t>
            </w:r>
            <w:r>
              <w:rPr>
                <w:rFonts w:hint="default"/>
                <w:b/>
                <w:bCs/>
                <w:snapToGrid/>
                <w:color w:val="000000" w:themeColor="text1"/>
                <w:spacing w:val="0"/>
                <w:kern w:val="0"/>
                <w:position w:val="0"/>
                <w:sz w:val="24"/>
                <w:szCs w:val="24"/>
                <w:lang w:val="en-US" w:eastAsia="zh-CN"/>
                <w14:textFill>
                  <w14:solidFill>
                    <w14:schemeClr w14:val="tx1"/>
                  </w14:solidFill>
                </w14:textFill>
              </w:rPr>
              <w:t xml:space="preserve"> 废气产</w:t>
            </w:r>
            <w:r>
              <w:rPr>
                <w:rFonts w:hint="eastAsia"/>
                <w:b/>
                <w:bCs/>
                <w:snapToGrid/>
                <w:color w:val="000000" w:themeColor="text1"/>
                <w:spacing w:val="0"/>
                <w:kern w:val="0"/>
                <w:position w:val="0"/>
                <w:sz w:val="24"/>
                <w:szCs w:val="24"/>
                <w:lang w:val="en-US" w:eastAsia="zh-CN"/>
                <w14:textFill>
                  <w14:solidFill>
                    <w14:schemeClr w14:val="tx1"/>
                  </w14:solidFill>
                </w14:textFill>
              </w:rPr>
              <w:t>排</w:t>
            </w:r>
            <w:r>
              <w:rPr>
                <w:rFonts w:hint="default"/>
                <w:b/>
                <w:bCs/>
                <w:snapToGrid/>
                <w:color w:val="000000" w:themeColor="text1"/>
                <w:spacing w:val="0"/>
                <w:kern w:val="0"/>
                <w:position w:val="0"/>
                <w:sz w:val="24"/>
                <w:szCs w:val="24"/>
                <w:lang w:val="en-US" w:eastAsia="zh-CN"/>
                <w14:textFill>
                  <w14:solidFill>
                    <w14:schemeClr w14:val="tx1"/>
                  </w14:solidFill>
                </w14:textFill>
              </w:rPr>
              <w:t>污情况一览表</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739"/>
              <w:gridCol w:w="821"/>
              <w:gridCol w:w="900"/>
              <w:gridCol w:w="886"/>
              <w:gridCol w:w="1411"/>
              <w:gridCol w:w="1083"/>
              <w:gridCol w:w="683"/>
              <w:gridCol w:w="660"/>
              <w:gridCol w:w="838"/>
              <w:gridCol w:w="1014"/>
              <w:gridCol w:w="1014"/>
              <w:gridCol w:w="762"/>
              <w:gridCol w:w="1200"/>
            </w:tblGrid>
            <w:tr w14:paraId="05867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282" w:type="pct"/>
                  <w:vMerge w:val="restart"/>
                  <w:vAlign w:val="center"/>
                </w:tcPr>
                <w:p w14:paraId="37311B47">
                  <w:pPr>
                    <w:adjustRightInd w:val="0"/>
                    <w:snapToGrid w:val="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产</w:t>
                  </w:r>
                  <w:r>
                    <w:rPr>
                      <w:rFonts w:hint="eastAsia"/>
                      <w:color w:val="000000" w:themeColor="text1"/>
                      <w:sz w:val="21"/>
                      <w:szCs w:val="21"/>
                      <w14:textFill>
                        <w14:solidFill>
                          <w14:schemeClr w14:val="tx1"/>
                        </w14:solidFill>
                      </w14:textFill>
                    </w:rPr>
                    <w:t>排</w:t>
                  </w:r>
                  <w:r>
                    <w:rPr>
                      <w:color w:val="000000" w:themeColor="text1"/>
                      <w:sz w:val="21"/>
                      <w:szCs w:val="21"/>
                      <w14:textFill>
                        <w14:solidFill>
                          <w14:schemeClr w14:val="tx1"/>
                        </w14:solidFill>
                      </w14:textFill>
                    </w:rPr>
                    <w:t>污环节</w:t>
                  </w:r>
                </w:p>
              </w:tc>
              <w:tc>
                <w:tcPr>
                  <w:tcW w:w="290" w:type="pct"/>
                  <w:vMerge w:val="restart"/>
                  <w:vAlign w:val="center"/>
                </w:tcPr>
                <w:p w14:paraId="75A6B226">
                  <w:pPr>
                    <w:adjustRightInd w:val="0"/>
                    <w:snapToGrid w:val="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污染物种类</w:t>
                  </w:r>
                </w:p>
              </w:tc>
              <w:tc>
                <w:tcPr>
                  <w:tcW w:w="675" w:type="pct"/>
                  <w:gridSpan w:val="2"/>
                  <w:vAlign w:val="center"/>
                </w:tcPr>
                <w:p w14:paraId="2D9FAE11">
                  <w:pPr>
                    <w:pStyle w:val="31"/>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污染物产生情况</w:t>
                  </w:r>
                </w:p>
              </w:tc>
              <w:tc>
                <w:tcPr>
                  <w:tcW w:w="347" w:type="pct"/>
                  <w:vMerge w:val="restart"/>
                  <w:vAlign w:val="center"/>
                </w:tcPr>
                <w:p w14:paraId="0EE5F6BB">
                  <w:pPr>
                    <w:adjustRightInd w:val="0"/>
                    <w:snapToGrid w:val="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排放</w:t>
                  </w:r>
                </w:p>
                <w:p w14:paraId="3B4A369E">
                  <w:pPr>
                    <w:adjustRightInd w:val="0"/>
                    <w:snapToGrid w:val="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形式</w:t>
                  </w:r>
                </w:p>
              </w:tc>
              <w:tc>
                <w:tcPr>
                  <w:tcW w:w="1836" w:type="pct"/>
                  <w:gridSpan w:val="5"/>
                  <w:vAlign w:val="center"/>
                </w:tcPr>
                <w:p w14:paraId="1533C362">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主要污染</w:t>
                  </w:r>
                  <w:r>
                    <w:rPr>
                      <w:color w:val="000000" w:themeColor="text1"/>
                      <w:sz w:val="21"/>
                      <w:szCs w:val="21"/>
                      <w14:textFill>
                        <w14:solidFill>
                          <w14:schemeClr w14:val="tx1"/>
                        </w14:solidFill>
                      </w14:textFill>
                    </w:rPr>
                    <w:t>治理设施</w:t>
                  </w:r>
                </w:p>
              </w:tc>
              <w:tc>
                <w:tcPr>
                  <w:tcW w:w="1095" w:type="pct"/>
                  <w:gridSpan w:val="3"/>
                  <w:vAlign w:val="center"/>
                </w:tcPr>
                <w:p w14:paraId="41DD18AA">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污染物排放情况</w:t>
                  </w:r>
                </w:p>
              </w:tc>
              <w:tc>
                <w:tcPr>
                  <w:tcW w:w="471" w:type="pct"/>
                  <w:vAlign w:val="center"/>
                </w:tcPr>
                <w:p w14:paraId="30E8B6EC">
                  <w:pPr>
                    <w:adjustRightInd w:val="0"/>
                    <w:snapToGrid w:val="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排放标准</w:t>
                  </w:r>
                </w:p>
              </w:tc>
            </w:tr>
            <w:tr w14:paraId="53111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2" w:type="pct"/>
                  <w:vMerge w:val="continue"/>
                  <w:vAlign w:val="center"/>
                </w:tcPr>
                <w:p w14:paraId="0F50EA0B">
                  <w:pPr>
                    <w:adjustRightInd w:val="0"/>
                    <w:snapToGrid w:val="0"/>
                    <w:jc w:val="center"/>
                    <w:rPr>
                      <w:color w:val="000000" w:themeColor="text1"/>
                      <w:sz w:val="21"/>
                      <w:szCs w:val="21"/>
                      <w14:textFill>
                        <w14:solidFill>
                          <w14:schemeClr w14:val="tx1"/>
                        </w14:solidFill>
                      </w14:textFill>
                    </w:rPr>
                  </w:pPr>
                </w:p>
              </w:tc>
              <w:tc>
                <w:tcPr>
                  <w:tcW w:w="290" w:type="pct"/>
                  <w:vMerge w:val="continue"/>
                  <w:vAlign w:val="center"/>
                </w:tcPr>
                <w:p w14:paraId="61AC7E3B">
                  <w:pPr>
                    <w:adjustRightInd w:val="0"/>
                    <w:snapToGrid w:val="0"/>
                    <w:jc w:val="center"/>
                    <w:rPr>
                      <w:color w:val="000000" w:themeColor="text1"/>
                      <w:sz w:val="21"/>
                      <w:szCs w:val="21"/>
                      <w14:textFill>
                        <w14:solidFill>
                          <w14:schemeClr w14:val="tx1"/>
                        </w14:solidFill>
                      </w14:textFill>
                    </w:rPr>
                  </w:pPr>
                </w:p>
              </w:tc>
              <w:tc>
                <w:tcPr>
                  <w:tcW w:w="322" w:type="pct"/>
                  <w:vAlign w:val="center"/>
                </w:tcPr>
                <w:p w14:paraId="362545FD">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产生量</w:t>
                  </w:r>
                  <w:r>
                    <w:rPr>
                      <w:color w:val="000000" w:themeColor="text1"/>
                      <w:sz w:val="21"/>
                      <w:szCs w:val="21"/>
                      <w14:textFill>
                        <w14:solidFill>
                          <w14:schemeClr w14:val="tx1"/>
                        </w14:solidFill>
                      </w14:textFill>
                    </w:rPr>
                    <w:t>t/a</w:t>
                  </w:r>
                </w:p>
              </w:tc>
              <w:tc>
                <w:tcPr>
                  <w:tcW w:w="353" w:type="pct"/>
                  <w:vAlign w:val="center"/>
                </w:tcPr>
                <w:p w14:paraId="2C4CA616">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产生</w:t>
                  </w:r>
                </w:p>
                <w:p w14:paraId="18398208">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浓度</w:t>
                  </w:r>
                  <w:r>
                    <w:rPr>
                      <w:color w:val="000000" w:themeColor="text1"/>
                      <w:sz w:val="21"/>
                      <w:szCs w:val="21"/>
                      <w14:textFill>
                        <w14:solidFill>
                          <w14:schemeClr w14:val="tx1"/>
                        </w14:solidFill>
                      </w14:textFill>
                    </w:rPr>
                    <w:t>mg/m</w:t>
                  </w:r>
                  <w:r>
                    <w:rPr>
                      <w:color w:val="000000" w:themeColor="text1"/>
                      <w:sz w:val="21"/>
                      <w:szCs w:val="21"/>
                      <w:vertAlign w:val="superscript"/>
                      <w14:textFill>
                        <w14:solidFill>
                          <w14:schemeClr w14:val="tx1"/>
                        </w14:solidFill>
                      </w14:textFill>
                    </w:rPr>
                    <w:t>3</w:t>
                  </w:r>
                </w:p>
              </w:tc>
              <w:tc>
                <w:tcPr>
                  <w:tcW w:w="347" w:type="pct"/>
                  <w:vMerge w:val="continue"/>
                  <w:vAlign w:val="center"/>
                </w:tcPr>
                <w:p w14:paraId="262004FE">
                  <w:pPr>
                    <w:adjustRightInd w:val="0"/>
                    <w:snapToGrid w:val="0"/>
                    <w:jc w:val="center"/>
                    <w:rPr>
                      <w:color w:val="000000" w:themeColor="text1"/>
                      <w:sz w:val="21"/>
                      <w:szCs w:val="21"/>
                      <w14:textFill>
                        <w14:solidFill>
                          <w14:schemeClr w14:val="tx1"/>
                        </w14:solidFill>
                      </w14:textFill>
                    </w:rPr>
                  </w:pPr>
                </w:p>
              </w:tc>
              <w:tc>
                <w:tcPr>
                  <w:tcW w:w="554" w:type="pct"/>
                  <w:vAlign w:val="center"/>
                </w:tcPr>
                <w:p w14:paraId="01CAEDB1">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治理措施</w:t>
                  </w:r>
                </w:p>
              </w:tc>
              <w:tc>
                <w:tcPr>
                  <w:tcW w:w="425" w:type="pct"/>
                  <w:vAlign w:val="center"/>
                </w:tcPr>
                <w:p w14:paraId="34BA3AD4">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处理</w:t>
                  </w:r>
                </w:p>
                <w:p w14:paraId="3F1678E4">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能力</w:t>
                  </w:r>
                </w:p>
              </w:tc>
              <w:tc>
                <w:tcPr>
                  <w:tcW w:w="268" w:type="pct"/>
                  <w:vAlign w:val="center"/>
                </w:tcPr>
                <w:p w14:paraId="4CEC4821">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收集效率</w:t>
                  </w:r>
                </w:p>
              </w:tc>
              <w:tc>
                <w:tcPr>
                  <w:tcW w:w="259" w:type="pct"/>
                  <w:vAlign w:val="center"/>
                </w:tcPr>
                <w:p w14:paraId="6D07CC70">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去除效率</w:t>
                  </w:r>
                </w:p>
              </w:tc>
              <w:tc>
                <w:tcPr>
                  <w:tcW w:w="329" w:type="pct"/>
                  <w:vAlign w:val="center"/>
                </w:tcPr>
                <w:p w14:paraId="140B7325">
                  <w:pPr>
                    <w:adjustRightInd w:val="0"/>
                    <w:snapToGrid w:val="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是否为可行技术</w:t>
                  </w:r>
                </w:p>
              </w:tc>
              <w:tc>
                <w:tcPr>
                  <w:tcW w:w="398" w:type="pct"/>
                  <w:vAlign w:val="center"/>
                </w:tcPr>
                <w:p w14:paraId="2042186C">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排放量</w:t>
                  </w:r>
                  <w:r>
                    <w:rPr>
                      <w:color w:val="000000" w:themeColor="text1"/>
                      <w:sz w:val="21"/>
                      <w:szCs w:val="21"/>
                      <w14:textFill>
                        <w14:solidFill>
                          <w14:schemeClr w14:val="tx1"/>
                        </w14:solidFill>
                      </w14:textFill>
                    </w:rPr>
                    <w:t>t/a</w:t>
                  </w:r>
                </w:p>
              </w:tc>
              <w:tc>
                <w:tcPr>
                  <w:tcW w:w="398" w:type="pct"/>
                  <w:vAlign w:val="center"/>
                </w:tcPr>
                <w:p w14:paraId="1D7097C2">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排放速率</w:t>
                  </w:r>
                  <w:r>
                    <w:rPr>
                      <w:color w:val="000000" w:themeColor="text1"/>
                      <w:sz w:val="21"/>
                      <w:szCs w:val="21"/>
                      <w14:textFill>
                        <w14:solidFill>
                          <w14:schemeClr w14:val="tx1"/>
                        </w14:solidFill>
                      </w14:textFill>
                    </w:rPr>
                    <w:t>kg/h</w:t>
                  </w:r>
                </w:p>
              </w:tc>
              <w:tc>
                <w:tcPr>
                  <w:tcW w:w="299" w:type="pct"/>
                  <w:vAlign w:val="center"/>
                </w:tcPr>
                <w:p w14:paraId="1CE9DDB7">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排放浓度</w:t>
                  </w:r>
                  <w:r>
                    <w:rPr>
                      <w:color w:val="000000" w:themeColor="text1"/>
                      <w:sz w:val="21"/>
                      <w:szCs w:val="21"/>
                      <w14:textFill>
                        <w14:solidFill>
                          <w14:schemeClr w14:val="tx1"/>
                        </w14:solidFill>
                      </w14:textFill>
                    </w:rPr>
                    <w:t>mg/m</w:t>
                  </w:r>
                  <w:r>
                    <w:rPr>
                      <w:color w:val="000000" w:themeColor="text1"/>
                      <w:sz w:val="21"/>
                      <w:szCs w:val="21"/>
                      <w:vertAlign w:val="superscript"/>
                      <w14:textFill>
                        <w14:solidFill>
                          <w14:schemeClr w14:val="tx1"/>
                        </w14:solidFill>
                      </w14:textFill>
                    </w:rPr>
                    <w:t>3</w:t>
                  </w:r>
                </w:p>
              </w:tc>
              <w:tc>
                <w:tcPr>
                  <w:tcW w:w="471" w:type="pct"/>
                  <w:vAlign w:val="center"/>
                </w:tcPr>
                <w:p w14:paraId="70E13D86">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浓度限值</w:t>
                  </w:r>
                  <w:r>
                    <w:rPr>
                      <w:color w:val="000000" w:themeColor="text1"/>
                      <w:sz w:val="21"/>
                      <w:szCs w:val="21"/>
                      <w14:textFill>
                        <w14:solidFill>
                          <w14:schemeClr w14:val="tx1"/>
                        </w14:solidFill>
                      </w14:textFill>
                    </w:rPr>
                    <w:t>mg/m</w:t>
                  </w:r>
                  <w:r>
                    <w:rPr>
                      <w:color w:val="000000" w:themeColor="text1"/>
                      <w:sz w:val="21"/>
                      <w:szCs w:val="21"/>
                      <w:vertAlign w:val="superscript"/>
                      <w14:textFill>
                        <w14:solidFill>
                          <w14:schemeClr w14:val="tx1"/>
                        </w14:solidFill>
                      </w14:textFill>
                    </w:rPr>
                    <w:t>3</w:t>
                  </w:r>
                </w:p>
              </w:tc>
            </w:tr>
            <w:tr w14:paraId="24773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282" w:type="pct"/>
                  <w:vMerge w:val="restart"/>
                  <w:vAlign w:val="center"/>
                </w:tcPr>
                <w:p w14:paraId="35085397">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default" w:eastAsia="宋体"/>
                      <w:color w:val="000000" w:themeColor="text1"/>
                      <w:sz w:val="21"/>
                      <w:szCs w:val="21"/>
                      <w:lang w:val="en-US" w:eastAsia="zh-CN"/>
                      <w14:textFill>
                        <w14:solidFill>
                          <w14:schemeClr w14:val="tx1"/>
                        </w14:solidFill>
                      </w14:textFill>
                    </w:rPr>
                    <w:t>混料、切割、砂光打磨废气</w:t>
                  </w:r>
                </w:p>
              </w:tc>
              <w:tc>
                <w:tcPr>
                  <w:tcW w:w="290" w:type="pct"/>
                  <w:vMerge w:val="restart"/>
                  <w:vAlign w:val="center"/>
                </w:tcPr>
                <w:p w14:paraId="1D5DBE60">
                  <w:pPr>
                    <w:adjustRightInd w:val="0"/>
                    <w:snapToGrid w:val="0"/>
                    <w:spacing w:before="62" w:beforeLines="2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颗粒物</w:t>
                  </w:r>
                </w:p>
              </w:tc>
              <w:tc>
                <w:tcPr>
                  <w:tcW w:w="322" w:type="pct"/>
                  <w:vAlign w:val="center"/>
                </w:tcPr>
                <w:p w14:paraId="02141732">
                  <w:pPr>
                    <w:autoSpaceDE w:val="0"/>
                    <w:autoSpaceDN w:val="0"/>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66.481</w:t>
                  </w:r>
                </w:p>
              </w:tc>
              <w:tc>
                <w:tcPr>
                  <w:tcW w:w="353" w:type="pct"/>
                  <w:vAlign w:val="center"/>
                </w:tcPr>
                <w:p w14:paraId="4D7ECC78">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1385.02</w:t>
                  </w:r>
                </w:p>
              </w:tc>
              <w:tc>
                <w:tcPr>
                  <w:tcW w:w="347" w:type="pct"/>
                  <w:vAlign w:val="center"/>
                </w:tcPr>
                <w:p w14:paraId="48664AEE">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有组织</w:t>
                  </w:r>
                </w:p>
              </w:tc>
              <w:tc>
                <w:tcPr>
                  <w:tcW w:w="554" w:type="pct"/>
                  <w:vMerge w:val="restart"/>
                  <w:vAlign w:val="center"/>
                </w:tcPr>
                <w:p w14:paraId="1E1517CE">
                  <w:pPr>
                    <w:adjustRightInd w:val="0"/>
                    <w:snapToGrid w:val="0"/>
                    <w:jc w:val="center"/>
                    <w:rPr>
                      <w:rFonts w:hint="default"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kern w:val="2"/>
                      <w:sz w:val="21"/>
                      <w:szCs w:val="21"/>
                      <w:lang w:val="en-US" w:eastAsia="zh-CN" w:bidi="ar-SA"/>
                      <w14:textFill>
                        <w14:solidFill>
                          <w14:schemeClr w14:val="tx1"/>
                        </w14:solidFill>
                      </w14:textFill>
                    </w:rPr>
                    <w:t>布</w:t>
                  </w:r>
                  <w: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t>袋除尘器</w:t>
                  </w:r>
                  <w:r>
                    <w:rPr>
                      <w:rFonts w:hint="eastAsia" w:cs="Times New Roman"/>
                      <w:color w:val="000000" w:themeColor="text1"/>
                      <w:kern w:val="2"/>
                      <w:sz w:val="21"/>
                      <w:szCs w:val="21"/>
                      <w:lang w:val="en-US" w:eastAsia="zh-CN" w:bidi="ar-SA"/>
                      <w14:textFill>
                        <w14:solidFill>
                          <w14:schemeClr w14:val="tx1"/>
                        </w14:solidFill>
                      </w14:textFill>
                    </w:rPr>
                    <w:t>+</w:t>
                  </w:r>
                </w:p>
                <w:p w14:paraId="778628BA">
                  <w:pPr>
                    <w:adjustRightInd w:val="0"/>
                    <w:snapToGrid w:val="0"/>
                    <w:jc w:val="center"/>
                    <w:rPr>
                      <w:color w:val="000000" w:themeColor="text1"/>
                      <w:sz w:val="21"/>
                      <w:szCs w:val="21"/>
                      <w14:textFill>
                        <w14:solidFill>
                          <w14:schemeClr w14:val="tx1"/>
                        </w14:solidFill>
                      </w14:textFill>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15m</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排气筒（DA00</w:t>
                  </w:r>
                  <w:r>
                    <w:rPr>
                      <w:rFonts w:hint="eastAsia" w:cs="Times New Roman"/>
                      <w:color w:val="000000" w:themeColor="text1"/>
                      <w:sz w:val="21"/>
                      <w:szCs w:val="21"/>
                      <w:lang w:val="en-US" w:eastAsia="zh-CN"/>
                      <w14:textFill>
                        <w14:solidFill>
                          <w14:schemeClr w14:val="tx1"/>
                        </w14:solidFill>
                      </w14:textFill>
                    </w:rPr>
                    <w:t>6</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）排放</w:t>
                  </w:r>
                </w:p>
              </w:tc>
              <w:tc>
                <w:tcPr>
                  <w:tcW w:w="425" w:type="pct"/>
                  <w:vMerge w:val="restart"/>
                  <w:vAlign w:val="center"/>
                </w:tcPr>
                <w:p w14:paraId="3FC63545">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20000m</w:t>
                  </w:r>
                  <w:r>
                    <w:rPr>
                      <w:rFonts w:hint="eastAsia"/>
                      <w:color w:val="000000" w:themeColor="text1"/>
                      <w:sz w:val="21"/>
                      <w:szCs w:val="21"/>
                      <w:vertAlign w:val="superscript"/>
                      <w14:textFill>
                        <w14:solidFill>
                          <w14:schemeClr w14:val="tx1"/>
                        </w14:solidFill>
                      </w14:textFill>
                    </w:rPr>
                    <w:t>3</w:t>
                  </w:r>
                  <w:r>
                    <w:rPr>
                      <w:rFonts w:hint="eastAsia"/>
                      <w:color w:val="000000" w:themeColor="text1"/>
                      <w:sz w:val="21"/>
                      <w:szCs w:val="21"/>
                      <w14:textFill>
                        <w14:solidFill>
                          <w14:schemeClr w14:val="tx1"/>
                        </w14:solidFill>
                      </w14:textFill>
                    </w:rPr>
                    <w:t>/h</w:t>
                  </w:r>
                </w:p>
              </w:tc>
              <w:tc>
                <w:tcPr>
                  <w:tcW w:w="268" w:type="pct"/>
                  <w:vMerge w:val="restart"/>
                  <w:vAlign w:val="center"/>
                </w:tcPr>
                <w:p w14:paraId="131C758E">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95%</w:t>
                  </w:r>
                </w:p>
              </w:tc>
              <w:tc>
                <w:tcPr>
                  <w:tcW w:w="259" w:type="pct"/>
                  <w:vMerge w:val="restart"/>
                  <w:vAlign w:val="center"/>
                </w:tcPr>
                <w:p w14:paraId="2C0ADB75">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99%</w:t>
                  </w:r>
                </w:p>
              </w:tc>
              <w:tc>
                <w:tcPr>
                  <w:tcW w:w="329" w:type="pct"/>
                  <w:vMerge w:val="restart"/>
                  <w:vAlign w:val="center"/>
                </w:tcPr>
                <w:p w14:paraId="0FEC0DFE">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是</w:t>
                  </w:r>
                </w:p>
              </w:tc>
              <w:tc>
                <w:tcPr>
                  <w:tcW w:w="398" w:type="pct"/>
                  <w:vAlign w:val="center"/>
                </w:tcPr>
                <w:p w14:paraId="23DDA5AB">
                  <w:pPr>
                    <w:autoSpaceDE w:val="0"/>
                    <w:autoSpaceDN w:val="0"/>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0.665</w:t>
                  </w:r>
                </w:p>
              </w:tc>
              <w:tc>
                <w:tcPr>
                  <w:tcW w:w="398" w:type="pct"/>
                  <w:vAlign w:val="center"/>
                </w:tcPr>
                <w:p w14:paraId="15C63E98">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0.277</w:t>
                  </w:r>
                </w:p>
              </w:tc>
              <w:tc>
                <w:tcPr>
                  <w:tcW w:w="299" w:type="pct"/>
                  <w:vAlign w:val="center"/>
                </w:tcPr>
                <w:p w14:paraId="05701DAC">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13.85</w:t>
                  </w:r>
                </w:p>
              </w:tc>
              <w:tc>
                <w:tcPr>
                  <w:tcW w:w="471" w:type="pct"/>
                  <w:vAlign w:val="center"/>
                </w:tcPr>
                <w:p w14:paraId="490573B4">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30</w:t>
                  </w:r>
                </w:p>
              </w:tc>
            </w:tr>
            <w:tr w14:paraId="2309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2" w:type="pct"/>
                  <w:vMerge w:val="continue"/>
                  <w:vAlign w:val="center"/>
                </w:tcPr>
                <w:p w14:paraId="66551C8C">
                  <w:pPr>
                    <w:adjustRightInd w:val="0"/>
                    <w:snapToGrid w:val="0"/>
                    <w:jc w:val="center"/>
                    <w:rPr>
                      <w:color w:val="000000" w:themeColor="text1"/>
                      <w:sz w:val="21"/>
                      <w:szCs w:val="21"/>
                      <w14:textFill>
                        <w14:solidFill>
                          <w14:schemeClr w14:val="tx1"/>
                        </w14:solidFill>
                      </w14:textFill>
                    </w:rPr>
                  </w:pPr>
                </w:p>
              </w:tc>
              <w:tc>
                <w:tcPr>
                  <w:tcW w:w="290" w:type="pct"/>
                  <w:vMerge w:val="continue"/>
                  <w:vAlign w:val="center"/>
                </w:tcPr>
                <w:p w14:paraId="1E0F4D21">
                  <w:pPr>
                    <w:adjustRightInd w:val="0"/>
                    <w:snapToGrid w:val="0"/>
                    <w:spacing w:before="62" w:beforeLines="20"/>
                    <w:jc w:val="center"/>
                    <w:rPr>
                      <w:color w:val="000000" w:themeColor="text1"/>
                      <w:sz w:val="21"/>
                      <w:szCs w:val="21"/>
                      <w14:textFill>
                        <w14:solidFill>
                          <w14:schemeClr w14:val="tx1"/>
                        </w14:solidFill>
                      </w14:textFill>
                    </w:rPr>
                  </w:pPr>
                </w:p>
              </w:tc>
              <w:tc>
                <w:tcPr>
                  <w:tcW w:w="322" w:type="pct"/>
                  <w:vAlign w:val="center"/>
                </w:tcPr>
                <w:p w14:paraId="03AD0048">
                  <w:pPr>
                    <w:autoSpaceDE w:val="0"/>
                    <w:autoSpaceDN w:val="0"/>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3.499</w:t>
                  </w:r>
                </w:p>
              </w:tc>
              <w:tc>
                <w:tcPr>
                  <w:tcW w:w="353" w:type="pct"/>
                  <w:vAlign w:val="center"/>
                </w:tcPr>
                <w:p w14:paraId="2A401044">
                  <w:pPr>
                    <w:adjustRightInd w:val="0"/>
                    <w:snapToGrid w:val="0"/>
                    <w:spacing w:before="62" w:beforeLines="20"/>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347" w:type="pct"/>
                  <w:vAlign w:val="center"/>
                </w:tcPr>
                <w:p w14:paraId="62009064">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无组织</w:t>
                  </w:r>
                </w:p>
              </w:tc>
              <w:tc>
                <w:tcPr>
                  <w:tcW w:w="554" w:type="pct"/>
                  <w:vMerge w:val="continue"/>
                  <w:vAlign w:val="center"/>
                </w:tcPr>
                <w:p w14:paraId="1C00FB7D">
                  <w:pPr>
                    <w:adjustRightInd w:val="0"/>
                    <w:snapToGrid w:val="0"/>
                    <w:jc w:val="center"/>
                    <w:rPr>
                      <w:color w:val="000000" w:themeColor="text1"/>
                      <w:sz w:val="21"/>
                      <w:szCs w:val="21"/>
                      <w14:textFill>
                        <w14:solidFill>
                          <w14:schemeClr w14:val="tx1"/>
                        </w14:solidFill>
                      </w14:textFill>
                    </w:rPr>
                  </w:pPr>
                </w:p>
              </w:tc>
              <w:tc>
                <w:tcPr>
                  <w:tcW w:w="425" w:type="pct"/>
                  <w:vMerge w:val="continue"/>
                  <w:vAlign w:val="center"/>
                </w:tcPr>
                <w:p w14:paraId="3EB63ED2">
                  <w:pPr>
                    <w:adjustRightInd w:val="0"/>
                    <w:snapToGrid w:val="0"/>
                    <w:jc w:val="center"/>
                    <w:rPr>
                      <w:color w:val="000000" w:themeColor="text1"/>
                      <w:sz w:val="21"/>
                      <w:szCs w:val="21"/>
                      <w14:textFill>
                        <w14:solidFill>
                          <w14:schemeClr w14:val="tx1"/>
                        </w14:solidFill>
                      </w14:textFill>
                    </w:rPr>
                  </w:pPr>
                </w:p>
              </w:tc>
              <w:tc>
                <w:tcPr>
                  <w:tcW w:w="268" w:type="pct"/>
                  <w:vMerge w:val="continue"/>
                  <w:vAlign w:val="center"/>
                </w:tcPr>
                <w:p w14:paraId="6AC203C8">
                  <w:pPr>
                    <w:adjustRightInd w:val="0"/>
                    <w:snapToGrid w:val="0"/>
                    <w:jc w:val="center"/>
                    <w:rPr>
                      <w:color w:val="000000" w:themeColor="text1"/>
                      <w:sz w:val="21"/>
                      <w:szCs w:val="21"/>
                      <w14:textFill>
                        <w14:solidFill>
                          <w14:schemeClr w14:val="tx1"/>
                        </w14:solidFill>
                      </w14:textFill>
                    </w:rPr>
                  </w:pPr>
                </w:p>
              </w:tc>
              <w:tc>
                <w:tcPr>
                  <w:tcW w:w="259" w:type="pct"/>
                  <w:vMerge w:val="continue"/>
                  <w:vAlign w:val="center"/>
                </w:tcPr>
                <w:p w14:paraId="3FF5048F">
                  <w:pPr>
                    <w:adjustRightInd w:val="0"/>
                    <w:snapToGrid w:val="0"/>
                    <w:jc w:val="center"/>
                    <w:rPr>
                      <w:rFonts w:hint="eastAsia" w:eastAsia="宋体"/>
                      <w:color w:val="000000" w:themeColor="text1"/>
                      <w:sz w:val="21"/>
                      <w:szCs w:val="21"/>
                      <w:lang w:eastAsia="zh-CN"/>
                      <w14:textFill>
                        <w14:solidFill>
                          <w14:schemeClr w14:val="tx1"/>
                        </w14:solidFill>
                      </w14:textFill>
                    </w:rPr>
                  </w:pPr>
                </w:p>
              </w:tc>
              <w:tc>
                <w:tcPr>
                  <w:tcW w:w="329" w:type="pct"/>
                  <w:vMerge w:val="continue"/>
                  <w:vAlign w:val="center"/>
                </w:tcPr>
                <w:p w14:paraId="5A915243">
                  <w:pPr>
                    <w:adjustRightInd w:val="0"/>
                    <w:snapToGrid w:val="0"/>
                    <w:jc w:val="center"/>
                    <w:rPr>
                      <w:color w:val="000000" w:themeColor="text1"/>
                      <w:sz w:val="21"/>
                      <w:szCs w:val="21"/>
                      <w14:textFill>
                        <w14:solidFill>
                          <w14:schemeClr w14:val="tx1"/>
                        </w14:solidFill>
                      </w14:textFill>
                    </w:rPr>
                  </w:pPr>
                </w:p>
              </w:tc>
              <w:tc>
                <w:tcPr>
                  <w:tcW w:w="398" w:type="pct"/>
                  <w:vAlign w:val="center"/>
                </w:tcPr>
                <w:p w14:paraId="2B25B9C8">
                  <w:pPr>
                    <w:autoSpaceDE w:val="0"/>
                    <w:autoSpaceDN w:val="0"/>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3.499</w:t>
                  </w:r>
                </w:p>
              </w:tc>
              <w:tc>
                <w:tcPr>
                  <w:tcW w:w="398" w:type="pct"/>
                  <w:vAlign w:val="center"/>
                </w:tcPr>
                <w:p w14:paraId="25DF7136">
                  <w:pPr>
                    <w:adjustRightInd w:val="0"/>
                    <w:snapToGrid w:val="0"/>
                    <w:spacing w:before="62" w:beforeLines="20"/>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299" w:type="pct"/>
                  <w:vAlign w:val="center"/>
                </w:tcPr>
                <w:p w14:paraId="20C7E977">
                  <w:pPr>
                    <w:adjustRightInd w:val="0"/>
                    <w:snapToGrid w:val="0"/>
                    <w:spacing w:before="62" w:beforeLines="20"/>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471" w:type="pct"/>
                  <w:vAlign w:val="center"/>
                </w:tcPr>
                <w:p w14:paraId="6EA617D7">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1.0</w:t>
                  </w:r>
                </w:p>
              </w:tc>
            </w:tr>
            <w:tr w14:paraId="69285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82" w:type="pct"/>
                  <w:vMerge w:val="restart"/>
                  <w:vAlign w:val="center"/>
                </w:tcPr>
                <w:p w14:paraId="6235A3C6">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s="Times New Roman"/>
                      <w:b w:val="0"/>
                      <w:bCs w:val="0"/>
                      <w:color w:val="auto"/>
                      <w:sz w:val="21"/>
                      <w:szCs w:val="21"/>
                      <w:lang w:val="en-US" w:eastAsia="zh-CN"/>
                    </w:rPr>
                    <w:t>融熔挤出废气</w:t>
                  </w:r>
                </w:p>
              </w:tc>
              <w:tc>
                <w:tcPr>
                  <w:tcW w:w="290" w:type="pct"/>
                  <w:vMerge w:val="restart"/>
                  <w:vAlign w:val="center"/>
                </w:tcPr>
                <w:p w14:paraId="07ED2504">
                  <w:pPr>
                    <w:adjustRightInd w:val="0"/>
                    <w:snapToGrid w:val="0"/>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氯乙烯</w:t>
                  </w:r>
                </w:p>
              </w:tc>
              <w:tc>
                <w:tcPr>
                  <w:tcW w:w="322" w:type="pct"/>
                  <w:vAlign w:val="center"/>
                </w:tcPr>
                <w:p w14:paraId="4C1BBA06">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0.111</w:t>
                  </w:r>
                </w:p>
              </w:tc>
              <w:tc>
                <w:tcPr>
                  <w:tcW w:w="353" w:type="pct"/>
                  <w:vAlign w:val="center"/>
                </w:tcPr>
                <w:p w14:paraId="74D129C1">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0.93</w:t>
                  </w:r>
                </w:p>
              </w:tc>
              <w:tc>
                <w:tcPr>
                  <w:tcW w:w="347" w:type="pct"/>
                  <w:vAlign w:val="center"/>
                </w:tcPr>
                <w:p w14:paraId="5F9F09EE">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有组织</w:t>
                  </w:r>
                </w:p>
              </w:tc>
              <w:tc>
                <w:tcPr>
                  <w:tcW w:w="554" w:type="pct"/>
                  <w:vMerge w:val="restart"/>
                  <w:vAlign w:val="center"/>
                </w:tcPr>
                <w:p w14:paraId="4190E30A">
                  <w:pPr>
                    <w:adjustRightInd w:val="0"/>
                    <w:snapToGrid w:val="0"/>
                    <w:jc w:val="center"/>
                    <w:rPr>
                      <w:rFonts w:hint="default"/>
                      <w:color w:val="000000" w:themeColor="text1"/>
                      <w:sz w:val="21"/>
                      <w:szCs w:val="21"/>
                      <w:lang w:val="en-US"/>
                      <w14:textFill>
                        <w14:solidFill>
                          <w14:schemeClr w14:val="tx1"/>
                        </w14:solidFill>
                      </w14:textFill>
                    </w:rPr>
                  </w:pPr>
                  <w:r>
                    <w:rPr>
                      <w:rFonts w:hint="eastAsia" w:cs="Times New Roman"/>
                      <w:color w:val="auto"/>
                      <w:kern w:val="2"/>
                      <w:sz w:val="21"/>
                      <w:szCs w:val="21"/>
                      <w:lang w:val="en-US" w:eastAsia="zh-CN" w:bidi="ar-SA"/>
                    </w:rPr>
                    <w:t>碱液喷淋+除雾器+CO催化燃烧装置+</w:t>
                  </w:r>
                  <w:r>
                    <w:rPr>
                      <w:rFonts w:hint="eastAsia" w:cs="Times New Roman"/>
                      <w:color w:val="000000" w:themeColor="text1"/>
                      <w:sz w:val="21"/>
                      <w:szCs w:val="21"/>
                      <w:lang w:val="en-US" w:eastAsia="zh-CN"/>
                      <w14:textFill>
                        <w14:solidFill>
                          <w14:schemeClr w14:val="tx1"/>
                        </w14:solidFill>
                      </w14:textFill>
                    </w:rPr>
                    <w:t>15m</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排气筒（DA00</w:t>
                  </w:r>
                  <w:r>
                    <w:rPr>
                      <w:rFonts w:hint="eastAsia" w:cs="Times New Roman"/>
                      <w:color w:val="000000" w:themeColor="text1"/>
                      <w:sz w:val="21"/>
                      <w:szCs w:val="21"/>
                      <w:lang w:val="en-US" w:eastAsia="zh-CN"/>
                      <w14:textFill>
                        <w14:solidFill>
                          <w14:schemeClr w14:val="tx1"/>
                        </w14:solidFill>
                      </w14:textFill>
                    </w:rPr>
                    <w:t>7</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）排放</w:t>
                  </w:r>
                </w:p>
              </w:tc>
              <w:tc>
                <w:tcPr>
                  <w:tcW w:w="425" w:type="pct"/>
                  <w:vMerge w:val="restart"/>
                  <w:vAlign w:val="center"/>
                </w:tcPr>
                <w:p w14:paraId="6A9557BD">
                  <w:pPr>
                    <w:adjustRightInd w:val="0"/>
                    <w:snapToGrid w:val="0"/>
                    <w:jc w:val="cente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5</w:t>
                  </w:r>
                  <w:r>
                    <w:rPr>
                      <w:rFonts w:hint="eastAsia"/>
                      <w:color w:val="000000" w:themeColor="text1"/>
                      <w:sz w:val="21"/>
                      <w:szCs w:val="21"/>
                      <w14:textFill>
                        <w14:solidFill>
                          <w14:schemeClr w14:val="tx1"/>
                        </w14:solidFill>
                      </w14:textFill>
                    </w:rPr>
                    <w:t>0000m</w:t>
                  </w:r>
                  <w:r>
                    <w:rPr>
                      <w:rFonts w:hint="eastAsia"/>
                      <w:color w:val="000000" w:themeColor="text1"/>
                      <w:sz w:val="21"/>
                      <w:szCs w:val="21"/>
                      <w:vertAlign w:val="superscript"/>
                      <w14:textFill>
                        <w14:solidFill>
                          <w14:schemeClr w14:val="tx1"/>
                        </w14:solidFill>
                      </w14:textFill>
                    </w:rPr>
                    <w:t>3</w:t>
                  </w:r>
                  <w:r>
                    <w:rPr>
                      <w:rFonts w:hint="eastAsia"/>
                      <w:color w:val="000000" w:themeColor="text1"/>
                      <w:sz w:val="21"/>
                      <w:szCs w:val="21"/>
                      <w14:textFill>
                        <w14:solidFill>
                          <w14:schemeClr w14:val="tx1"/>
                        </w14:solidFill>
                      </w14:textFill>
                    </w:rPr>
                    <w:t>/h</w:t>
                  </w:r>
                </w:p>
              </w:tc>
              <w:tc>
                <w:tcPr>
                  <w:tcW w:w="268" w:type="pct"/>
                  <w:vMerge w:val="restart"/>
                  <w:shd w:val="clear" w:color="auto" w:fill="auto"/>
                  <w:vAlign w:val="center"/>
                </w:tcPr>
                <w:p w14:paraId="7A9A30E9">
                  <w:pPr>
                    <w:adjustRightInd w:val="0"/>
                    <w:snapToGrid w:val="0"/>
                    <w:jc w:val="center"/>
                    <w:rPr>
                      <w:rFonts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90%</w:t>
                  </w:r>
                </w:p>
              </w:tc>
              <w:tc>
                <w:tcPr>
                  <w:tcW w:w="259" w:type="pct"/>
                  <w:vMerge w:val="restart"/>
                  <w:shd w:val="clear" w:color="auto" w:fill="auto"/>
                  <w:vAlign w:val="center"/>
                </w:tcPr>
                <w:p w14:paraId="77F93CB9">
                  <w:pPr>
                    <w:adjustRightInd w:val="0"/>
                    <w:snapToGrid w:val="0"/>
                    <w:jc w:val="both"/>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95%</w:t>
                  </w:r>
                </w:p>
              </w:tc>
              <w:tc>
                <w:tcPr>
                  <w:tcW w:w="329" w:type="pct"/>
                  <w:vMerge w:val="restart"/>
                  <w:vAlign w:val="center"/>
                </w:tcPr>
                <w:p w14:paraId="19D39BAF">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是</w:t>
                  </w:r>
                </w:p>
              </w:tc>
              <w:tc>
                <w:tcPr>
                  <w:tcW w:w="398" w:type="pct"/>
                  <w:vAlign w:val="center"/>
                </w:tcPr>
                <w:p w14:paraId="4895398E">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0.006</w:t>
                  </w:r>
                </w:p>
              </w:tc>
              <w:tc>
                <w:tcPr>
                  <w:tcW w:w="398" w:type="pct"/>
                  <w:vAlign w:val="center"/>
                </w:tcPr>
                <w:p w14:paraId="18EBBC0D">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0.002</w:t>
                  </w:r>
                </w:p>
              </w:tc>
              <w:tc>
                <w:tcPr>
                  <w:tcW w:w="299" w:type="pct"/>
                  <w:vAlign w:val="center"/>
                </w:tcPr>
                <w:p w14:paraId="63732DA2">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0.047</w:t>
                  </w:r>
                </w:p>
              </w:tc>
              <w:tc>
                <w:tcPr>
                  <w:tcW w:w="471" w:type="pct"/>
                  <w:vAlign w:val="center"/>
                </w:tcPr>
                <w:p w14:paraId="2FEDA204">
                  <w:pPr>
                    <w:adjustRightInd w:val="0"/>
                    <w:snapToGrid w:val="0"/>
                    <w:spacing w:before="62" w:beforeLines="20"/>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5</w:t>
                  </w:r>
                </w:p>
              </w:tc>
            </w:tr>
            <w:tr w14:paraId="06628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2" w:type="pct"/>
                  <w:vMerge w:val="continue"/>
                  <w:vAlign w:val="center"/>
                </w:tcPr>
                <w:p w14:paraId="1417A4AD">
                  <w:pPr>
                    <w:adjustRightInd w:val="0"/>
                    <w:snapToGrid w:val="0"/>
                    <w:jc w:val="center"/>
                    <w:rPr>
                      <w:color w:val="000000" w:themeColor="text1"/>
                      <w:sz w:val="21"/>
                      <w:szCs w:val="21"/>
                      <w14:textFill>
                        <w14:solidFill>
                          <w14:schemeClr w14:val="tx1"/>
                        </w14:solidFill>
                      </w14:textFill>
                    </w:rPr>
                  </w:pPr>
                </w:p>
              </w:tc>
              <w:tc>
                <w:tcPr>
                  <w:tcW w:w="290" w:type="pct"/>
                  <w:vMerge w:val="continue"/>
                  <w:vAlign w:val="center"/>
                </w:tcPr>
                <w:p w14:paraId="340E9AAB">
                  <w:pPr>
                    <w:adjustRightInd w:val="0"/>
                    <w:snapToGrid w:val="0"/>
                    <w:jc w:val="center"/>
                    <w:rPr>
                      <w:color w:val="000000" w:themeColor="text1"/>
                      <w:sz w:val="21"/>
                      <w:szCs w:val="21"/>
                      <w14:textFill>
                        <w14:solidFill>
                          <w14:schemeClr w14:val="tx1"/>
                        </w14:solidFill>
                      </w14:textFill>
                    </w:rPr>
                  </w:pPr>
                </w:p>
              </w:tc>
              <w:tc>
                <w:tcPr>
                  <w:tcW w:w="322" w:type="pct"/>
                  <w:vAlign w:val="center"/>
                </w:tcPr>
                <w:p w14:paraId="2AFFF282">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0.012</w:t>
                  </w:r>
                </w:p>
              </w:tc>
              <w:tc>
                <w:tcPr>
                  <w:tcW w:w="353" w:type="pct"/>
                  <w:vAlign w:val="center"/>
                </w:tcPr>
                <w:p w14:paraId="123C4875">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347" w:type="pct"/>
                  <w:vAlign w:val="center"/>
                </w:tcPr>
                <w:p w14:paraId="2A413F17">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无组织</w:t>
                  </w:r>
                </w:p>
              </w:tc>
              <w:tc>
                <w:tcPr>
                  <w:tcW w:w="554" w:type="pct"/>
                  <w:vMerge w:val="continue"/>
                  <w:vAlign w:val="center"/>
                </w:tcPr>
                <w:p w14:paraId="661E513F">
                  <w:pPr>
                    <w:adjustRightInd w:val="0"/>
                    <w:snapToGrid w:val="0"/>
                    <w:jc w:val="center"/>
                    <w:rPr>
                      <w:color w:val="000000" w:themeColor="text1"/>
                      <w:sz w:val="21"/>
                      <w:szCs w:val="21"/>
                      <w14:textFill>
                        <w14:solidFill>
                          <w14:schemeClr w14:val="tx1"/>
                        </w14:solidFill>
                      </w14:textFill>
                    </w:rPr>
                  </w:pPr>
                </w:p>
              </w:tc>
              <w:tc>
                <w:tcPr>
                  <w:tcW w:w="425" w:type="pct"/>
                  <w:vMerge w:val="continue"/>
                  <w:vAlign w:val="center"/>
                </w:tcPr>
                <w:p w14:paraId="1A3EE97B">
                  <w:pPr>
                    <w:adjustRightInd w:val="0"/>
                    <w:snapToGrid w:val="0"/>
                    <w:jc w:val="center"/>
                    <w:rPr>
                      <w:color w:val="000000" w:themeColor="text1"/>
                      <w:sz w:val="21"/>
                      <w:szCs w:val="21"/>
                      <w14:textFill>
                        <w14:solidFill>
                          <w14:schemeClr w14:val="tx1"/>
                        </w14:solidFill>
                      </w14:textFill>
                    </w:rPr>
                  </w:pPr>
                </w:p>
              </w:tc>
              <w:tc>
                <w:tcPr>
                  <w:tcW w:w="268" w:type="pct"/>
                  <w:vMerge w:val="continue"/>
                  <w:vAlign w:val="center"/>
                </w:tcPr>
                <w:p w14:paraId="6784D971">
                  <w:pPr>
                    <w:adjustRightInd w:val="0"/>
                    <w:snapToGrid w:val="0"/>
                    <w:jc w:val="center"/>
                    <w:rPr>
                      <w:color w:val="000000" w:themeColor="text1"/>
                      <w:sz w:val="21"/>
                      <w:szCs w:val="21"/>
                      <w14:textFill>
                        <w14:solidFill>
                          <w14:schemeClr w14:val="tx1"/>
                        </w14:solidFill>
                      </w14:textFill>
                    </w:rPr>
                  </w:pPr>
                </w:p>
              </w:tc>
              <w:tc>
                <w:tcPr>
                  <w:tcW w:w="259" w:type="pct"/>
                  <w:vMerge w:val="continue"/>
                  <w:vAlign w:val="center"/>
                </w:tcPr>
                <w:p w14:paraId="1A179253">
                  <w:pPr>
                    <w:adjustRightInd w:val="0"/>
                    <w:snapToGrid w:val="0"/>
                    <w:jc w:val="center"/>
                    <w:rPr>
                      <w:rFonts w:hint="eastAsia"/>
                      <w:color w:val="000000" w:themeColor="text1"/>
                      <w:sz w:val="21"/>
                      <w:szCs w:val="21"/>
                      <w:lang w:val="en-US" w:eastAsia="zh-CN"/>
                      <w14:textFill>
                        <w14:solidFill>
                          <w14:schemeClr w14:val="tx1"/>
                        </w14:solidFill>
                      </w14:textFill>
                    </w:rPr>
                  </w:pPr>
                </w:p>
              </w:tc>
              <w:tc>
                <w:tcPr>
                  <w:tcW w:w="329" w:type="pct"/>
                  <w:vMerge w:val="continue"/>
                  <w:vAlign w:val="center"/>
                </w:tcPr>
                <w:p w14:paraId="0028B153">
                  <w:pPr>
                    <w:adjustRightInd w:val="0"/>
                    <w:snapToGrid w:val="0"/>
                    <w:jc w:val="center"/>
                    <w:rPr>
                      <w:color w:val="000000" w:themeColor="text1"/>
                      <w:sz w:val="21"/>
                      <w:szCs w:val="21"/>
                      <w14:textFill>
                        <w14:solidFill>
                          <w14:schemeClr w14:val="tx1"/>
                        </w14:solidFill>
                      </w14:textFill>
                    </w:rPr>
                  </w:pPr>
                </w:p>
              </w:tc>
              <w:tc>
                <w:tcPr>
                  <w:tcW w:w="398" w:type="pct"/>
                  <w:vAlign w:val="center"/>
                </w:tcPr>
                <w:p w14:paraId="1104C846">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0.012</w:t>
                  </w:r>
                </w:p>
              </w:tc>
              <w:tc>
                <w:tcPr>
                  <w:tcW w:w="398" w:type="pct"/>
                  <w:vAlign w:val="center"/>
                </w:tcPr>
                <w:p w14:paraId="24802D16">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299" w:type="pct"/>
                  <w:vAlign w:val="center"/>
                </w:tcPr>
                <w:p w14:paraId="4C38464F">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471" w:type="pct"/>
                  <w:vAlign w:val="center"/>
                </w:tcPr>
                <w:p w14:paraId="42ED92A3">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0.15</w:t>
                  </w:r>
                </w:p>
              </w:tc>
            </w:tr>
            <w:tr w14:paraId="3230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2" w:type="pct"/>
                  <w:vMerge w:val="continue"/>
                  <w:vAlign w:val="center"/>
                </w:tcPr>
                <w:p w14:paraId="64A634CE">
                  <w:pPr>
                    <w:adjustRightInd w:val="0"/>
                    <w:snapToGrid w:val="0"/>
                    <w:jc w:val="center"/>
                    <w:rPr>
                      <w:color w:val="000000" w:themeColor="text1"/>
                      <w:sz w:val="21"/>
                      <w:szCs w:val="21"/>
                      <w14:textFill>
                        <w14:solidFill>
                          <w14:schemeClr w14:val="tx1"/>
                        </w14:solidFill>
                      </w14:textFill>
                    </w:rPr>
                  </w:pPr>
                </w:p>
              </w:tc>
              <w:tc>
                <w:tcPr>
                  <w:tcW w:w="290" w:type="pct"/>
                  <w:vMerge w:val="restart"/>
                  <w:vAlign w:val="center"/>
                </w:tcPr>
                <w:p w14:paraId="3E3542DF">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非甲烷总烃</w:t>
                  </w:r>
                </w:p>
              </w:tc>
              <w:tc>
                <w:tcPr>
                  <w:tcW w:w="322" w:type="pct"/>
                  <w:vAlign w:val="center"/>
                </w:tcPr>
                <w:p w14:paraId="10105E4D">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13.388</w:t>
                  </w:r>
                </w:p>
              </w:tc>
              <w:tc>
                <w:tcPr>
                  <w:tcW w:w="353" w:type="pct"/>
                  <w:vAlign w:val="center"/>
                </w:tcPr>
                <w:p w14:paraId="076DDEA4">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111.57</w:t>
                  </w:r>
                </w:p>
              </w:tc>
              <w:tc>
                <w:tcPr>
                  <w:tcW w:w="347" w:type="pct"/>
                  <w:vAlign w:val="center"/>
                </w:tcPr>
                <w:p w14:paraId="3C3F1351">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有组织</w:t>
                  </w:r>
                </w:p>
              </w:tc>
              <w:tc>
                <w:tcPr>
                  <w:tcW w:w="554" w:type="pct"/>
                  <w:vMerge w:val="continue"/>
                  <w:vAlign w:val="center"/>
                </w:tcPr>
                <w:p w14:paraId="3C0E7971">
                  <w:pPr>
                    <w:adjustRightInd w:val="0"/>
                    <w:snapToGrid w:val="0"/>
                    <w:jc w:val="center"/>
                    <w:rPr>
                      <w:color w:val="000000" w:themeColor="text1"/>
                      <w:sz w:val="21"/>
                      <w:szCs w:val="21"/>
                      <w14:textFill>
                        <w14:solidFill>
                          <w14:schemeClr w14:val="tx1"/>
                        </w14:solidFill>
                      </w14:textFill>
                    </w:rPr>
                  </w:pPr>
                </w:p>
              </w:tc>
              <w:tc>
                <w:tcPr>
                  <w:tcW w:w="425" w:type="pct"/>
                  <w:vMerge w:val="continue"/>
                  <w:vAlign w:val="center"/>
                </w:tcPr>
                <w:p w14:paraId="767C9AC7">
                  <w:pPr>
                    <w:adjustRightInd w:val="0"/>
                    <w:snapToGrid w:val="0"/>
                    <w:jc w:val="center"/>
                    <w:rPr>
                      <w:color w:val="000000" w:themeColor="text1"/>
                      <w:sz w:val="21"/>
                      <w:szCs w:val="21"/>
                      <w14:textFill>
                        <w14:solidFill>
                          <w14:schemeClr w14:val="tx1"/>
                        </w14:solidFill>
                      </w14:textFill>
                    </w:rPr>
                  </w:pPr>
                </w:p>
              </w:tc>
              <w:tc>
                <w:tcPr>
                  <w:tcW w:w="268" w:type="pct"/>
                  <w:vMerge w:val="continue"/>
                  <w:vAlign w:val="center"/>
                </w:tcPr>
                <w:p w14:paraId="74D3262D">
                  <w:pPr>
                    <w:adjustRightInd w:val="0"/>
                    <w:snapToGrid w:val="0"/>
                    <w:jc w:val="center"/>
                    <w:rPr>
                      <w:color w:val="000000" w:themeColor="text1"/>
                      <w:sz w:val="21"/>
                      <w:szCs w:val="21"/>
                      <w14:textFill>
                        <w14:solidFill>
                          <w14:schemeClr w14:val="tx1"/>
                        </w14:solidFill>
                      </w14:textFill>
                    </w:rPr>
                  </w:pPr>
                </w:p>
              </w:tc>
              <w:tc>
                <w:tcPr>
                  <w:tcW w:w="259" w:type="pct"/>
                  <w:vMerge w:val="restart"/>
                  <w:vAlign w:val="center"/>
                </w:tcPr>
                <w:p w14:paraId="4DE1DE87">
                  <w:pPr>
                    <w:adjustRightInd w:val="0"/>
                    <w:snapToGrid w:val="0"/>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95%</w:t>
                  </w:r>
                </w:p>
              </w:tc>
              <w:tc>
                <w:tcPr>
                  <w:tcW w:w="329" w:type="pct"/>
                  <w:vMerge w:val="continue"/>
                  <w:vAlign w:val="center"/>
                </w:tcPr>
                <w:p w14:paraId="2AD1F809">
                  <w:pPr>
                    <w:adjustRightInd w:val="0"/>
                    <w:snapToGrid w:val="0"/>
                    <w:jc w:val="center"/>
                    <w:rPr>
                      <w:color w:val="000000" w:themeColor="text1"/>
                      <w:sz w:val="21"/>
                      <w:szCs w:val="21"/>
                      <w14:textFill>
                        <w14:solidFill>
                          <w14:schemeClr w14:val="tx1"/>
                        </w14:solidFill>
                      </w14:textFill>
                    </w:rPr>
                  </w:pPr>
                </w:p>
              </w:tc>
              <w:tc>
                <w:tcPr>
                  <w:tcW w:w="398" w:type="pct"/>
                  <w:vAlign w:val="center"/>
                </w:tcPr>
                <w:p w14:paraId="390A50AD">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0.669</w:t>
                  </w:r>
                </w:p>
              </w:tc>
              <w:tc>
                <w:tcPr>
                  <w:tcW w:w="398" w:type="pct"/>
                  <w:vAlign w:val="center"/>
                </w:tcPr>
                <w:p w14:paraId="5FFE4A57">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0.279</w:t>
                  </w:r>
                </w:p>
              </w:tc>
              <w:tc>
                <w:tcPr>
                  <w:tcW w:w="299" w:type="pct"/>
                  <w:vAlign w:val="center"/>
                </w:tcPr>
                <w:p w14:paraId="243DD6A3">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5.579</w:t>
                  </w:r>
                </w:p>
              </w:tc>
              <w:tc>
                <w:tcPr>
                  <w:tcW w:w="471" w:type="pct"/>
                  <w:vAlign w:val="center"/>
                </w:tcPr>
                <w:p w14:paraId="12E9F879">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40</w:t>
                  </w:r>
                </w:p>
              </w:tc>
            </w:tr>
            <w:tr w14:paraId="3A54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2" w:type="pct"/>
                  <w:vMerge w:val="continue"/>
                  <w:vAlign w:val="center"/>
                </w:tcPr>
                <w:p w14:paraId="08171FC7">
                  <w:pPr>
                    <w:adjustRightInd w:val="0"/>
                    <w:snapToGrid w:val="0"/>
                    <w:jc w:val="center"/>
                    <w:rPr>
                      <w:color w:val="000000" w:themeColor="text1"/>
                      <w:sz w:val="21"/>
                      <w:szCs w:val="21"/>
                      <w14:textFill>
                        <w14:solidFill>
                          <w14:schemeClr w14:val="tx1"/>
                        </w14:solidFill>
                      </w14:textFill>
                    </w:rPr>
                  </w:pPr>
                </w:p>
              </w:tc>
              <w:tc>
                <w:tcPr>
                  <w:tcW w:w="290" w:type="pct"/>
                  <w:vMerge w:val="continue"/>
                  <w:vAlign w:val="center"/>
                </w:tcPr>
                <w:p w14:paraId="03D83E34">
                  <w:pPr>
                    <w:adjustRightInd w:val="0"/>
                    <w:snapToGrid w:val="0"/>
                    <w:jc w:val="center"/>
                    <w:rPr>
                      <w:rFonts w:hint="eastAsia"/>
                      <w:color w:val="000000" w:themeColor="text1"/>
                      <w:sz w:val="21"/>
                      <w:szCs w:val="21"/>
                      <w:lang w:eastAsia="zh-CN"/>
                      <w14:textFill>
                        <w14:solidFill>
                          <w14:schemeClr w14:val="tx1"/>
                        </w14:solidFill>
                      </w14:textFill>
                    </w:rPr>
                  </w:pPr>
                </w:p>
              </w:tc>
              <w:tc>
                <w:tcPr>
                  <w:tcW w:w="322" w:type="pct"/>
                  <w:vAlign w:val="center"/>
                </w:tcPr>
                <w:p w14:paraId="402E2870">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1.488</w:t>
                  </w:r>
                </w:p>
              </w:tc>
              <w:tc>
                <w:tcPr>
                  <w:tcW w:w="353" w:type="pct"/>
                  <w:vAlign w:val="center"/>
                </w:tcPr>
                <w:p w14:paraId="2F6B56BB">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347" w:type="pct"/>
                  <w:vAlign w:val="center"/>
                </w:tcPr>
                <w:p w14:paraId="11D434A8">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无组织</w:t>
                  </w:r>
                </w:p>
              </w:tc>
              <w:tc>
                <w:tcPr>
                  <w:tcW w:w="554" w:type="pct"/>
                  <w:vMerge w:val="continue"/>
                  <w:vAlign w:val="center"/>
                </w:tcPr>
                <w:p w14:paraId="776C24BB">
                  <w:pPr>
                    <w:adjustRightInd w:val="0"/>
                    <w:snapToGrid w:val="0"/>
                    <w:jc w:val="center"/>
                    <w:rPr>
                      <w:color w:val="000000" w:themeColor="text1"/>
                      <w:sz w:val="21"/>
                      <w:szCs w:val="21"/>
                      <w14:textFill>
                        <w14:solidFill>
                          <w14:schemeClr w14:val="tx1"/>
                        </w14:solidFill>
                      </w14:textFill>
                    </w:rPr>
                  </w:pPr>
                </w:p>
              </w:tc>
              <w:tc>
                <w:tcPr>
                  <w:tcW w:w="425" w:type="pct"/>
                  <w:vMerge w:val="continue"/>
                  <w:vAlign w:val="center"/>
                </w:tcPr>
                <w:p w14:paraId="604E4BF9">
                  <w:pPr>
                    <w:adjustRightInd w:val="0"/>
                    <w:snapToGrid w:val="0"/>
                    <w:jc w:val="center"/>
                    <w:rPr>
                      <w:color w:val="000000" w:themeColor="text1"/>
                      <w:sz w:val="21"/>
                      <w:szCs w:val="21"/>
                      <w14:textFill>
                        <w14:solidFill>
                          <w14:schemeClr w14:val="tx1"/>
                        </w14:solidFill>
                      </w14:textFill>
                    </w:rPr>
                  </w:pPr>
                </w:p>
              </w:tc>
              <w:tc>
                <w:tcPr>
                  <w:tcW w:w="268" w:type="pct"/>
                  <w:vMerge w:val="continue"/>
                  <w:vAlign w:val="center"/>
                </w:tcPr>
                <w:p w14:paraId="3424DC19">
                  <w:pPr>
                    <w:adjustRightInd w:val="0"/>
                    <w:snapToGrid w:val="0"/>
                    <w:jc w:val="center"/>
                    <w:rPr>
                      <w:color w:val="000000" w:themeColor="text1"/>
                      <w:sz w:val="21"/>
                      <w:szCs w:val="21"/>
                      <w14:textFill>
                        <w14:solidFill>
                          <w14:schemeClr w14:val="tx1"/>
                        </w14:solidFill>
                      </w14:textFill>
                    </w:rPr>
                  </w:pPr>
                </w:p>
              </w:tc>
              <w:tc>
                <w:tcPr>
                  <w:tcW w:w="259" w:type="pct"/>
                  <w:vMerge w:val="continue"/>
                  <w:vAlign w:val="center"/>
                </w:tcPr>
                <w:p w14:paraId="3F8453AD">
                  <w:pPr>
                    <w:adjustRightInd w:val="0"/>
                    <w:snapToGrid w:val="0"/>
                    <w:jc w:val="center"/>
                    <w:rPr>
                      <w:rFonts w:hint="eastAsia"/>
                      <w:color w:val="000000" w:themeColor="text1"/>
                      <w:sz w:val="21"/>
                      <w:szCs w:val="21"/>
                      <w:lang w:val="en-US" w:eastAsia="zh-CN"/>
                      <w14:textFill>
                        <w14:solidFill>
                          <w14:schemeClr w14:val="tx1"/>
                        </w14:solidFill>
                      </w14:textFill>
                    </w:rPr>
                  </w:pPr>
                </w:p>
              </w:tc>
              <w:tc>
                <w:tcPr>
                  <w:tcW w:w="329" w:type="pct"/>
                  <w:vMerge w:val="continue"/>
                  <w:vAlign w:val="center"/>
                </w:tcPr>
                <w:p w14:paraId="76F8AB99">
                  <w:pPr>
                    <w:adjustRightInd w:val="0"/>
                    <w:snapToGrid w:val="0"/>
                    <w:jc w:val="center"/>
                    <w:rPr>
                      <w:color w:val="000000" w:themeColor="text1"/>
                      <w:sz w:val="21"/>
                      <w:szCs w:val="21"/>
                      <w14:textFill>
                        <w14:solidFill>
                          <w14:schemeClr w14:val="tx1"/>
                        </w14:solidFill>
                      </w14:textFill>
                    </w:rPr>
                  </w:pPr>
                </w:p>
              </w:tc>
              <w:tc>
                <w:tcPr>
                  <w:tcW w:w="398" w:type="pct"/>
                  <w:vAlign w:val="center"/>
                </w:tcPr>
                <w:p w14:paraId="39FEA5FD">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1.488</w:t>
                  </w:r>
                </w:p>
              </w:tc>
              <w:tc>
                <w:tcPr>
                  <w:tcW w:w="398" w:type="pct"/>
                  <w:vAlign w:val="center"/>
                </w:tcPr>
                <w:p w14:paraId="751FB078">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299" w:type="pct"/>
                  <w:vAlign w:val="center"/>
                </w:tcPr>
                <w:p w14:paraId="22D79C9B">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471" w:type="pct"/>
                  <w:vAlign w:val="center"/>
                </w:tcPr>
                <w:p w14:paraId="5FDF1AAF">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4.0</w:t>
                  </w:r>
                </w:p>
              </w:tc>
            </w:tr>
            <w:tr w14:paraId="3944D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2" w:type="pct"/>
                  <w:vMerge w:val="continue"/>
                  <w:vAlign w:val="center"/>
                </w:tcPr>
                <w:p w14:paraId="158BD4CA">
                  <w:pPr>
                    <w:adjustRightInd w:val="0"/>
                    <w:snapToGrid w:val="0"/>
                    <w:jc w:val="center"/>
                    <w:rPr>
                      <w:color w:val="000000" w:themeColor="text1"/>
                      <w:sz w:val="21"/>
                      <w:szCs w:val="21"/>
                      <w14:textFill>
                        <w14:solidFill>
                          <w14:schemeClr w14:val="tx1"/>
                        </w14:solidFill>
                      </w14:textFill>
                    </w:rPr>
                  </w:pPr>
                </w:p>
              </w:tc>
              <w:tc>
                <w:tcPr>
                  <w:tcW w:w="290" w:type="pct"/>
                  <w:vMerge w:val="restart"/>
                  <w:vAlign w:val="center"/>
                </w:tcPr>
                <w:p w14:paraId="1CDDBAA7">
                  <w:pPr>
                    <w:adjustRightInd w:val="0"/>
                    <w:snapToGrid w:val="0"/>
                    <w:jc w:val="center"/>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氯化氢</w:t>
                  </w:r>
                </w:p>
              </w:tc>
              <w:tc>
                <w:tcPr>
                  <w:tcW w:w="322" w:type="pct"/>
                  <w:vAlign w:val="center"/>
                </w:tcPr>
                <w:p w14:paraId="0C5E32AC">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0.083</w:t>
                  </w:r>
                </w:p>
              </w:tc>
              <w:tc>
                <w:tcPr>
                  <w:tcW w:w="353" w:type="pct"/>
                  <w:vAlign w:val="center"/>
                </w:tcPr>
                <w:p w14:paraId="217D4D3C">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0.69</w:t>
                  </w:r>
                </w:p>
              </w:tc>
              <w:tc>
                <w:tcPr>
                  <w:tcW w:w="347" w:type="pct"/>
                  <w:vAlign w:val="center"/>
                </w:tcPr>
                <w:p w14:paraId="4ADA6E3E">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有组织</w:t>
                  </w:r>
                </w:p>
              </w:tc>
              <w:tc>
                <w:tcPr>
                  <w:tcW w:w="554" w:type="pct"/>
                  <w:vMerge w:val="continue"/>
                  <w:vAlign w:val="center"/>
                </w:tcPr>
                <w:p w14:paraId="1F1C38B8">
                  <w:pPr>
                    <w:adjustRightInd w:val="0"/>
                    <w:snapToGrid w:val="0"/>
                    <w:jc w:val="center"/>
                    <w:rPr>
                      <w:color w:val="000000" w:themeColor="text1"/>
                      <w:sz w:val="21"/>
                      <w:szCs w:val="21"/>
                      <w14:textFill>
                        <w14:solidFill>
                          <w14:schemeClr w14:val="tx1"/>
                        </w14:solidFill>
                      </w14:textFill>
                    </w:rPr>
                  </w:pPr>
                </w:p>
              </w:tc>
              <w:tc>
                <w:tcPr>
                  <w:tcW w:w="425" w:type="pct"/>
                  <w:vMerge w:val="continue"/>
                  <w:vAlign w:val="center"/>
                </w:tcPr>
                <w:p w14:paraId="0485D2BE">
                  <w:pPr>
                    <w:adjustRightInd w:val="0"/>
                    <w:snapToGrid w:val="0"/>
                    <w:jc w:val="center"/>
                    <w:rPr>
                      <w:color w:val="000000" w:themeColor="text1"/>
                      <w:sz w:val="21"/>
                      <w:szCs w:val="21"/>
                      <w14:textFill>
                        <w14:solidFill>
                          <w14:schemeClr w14:val="tx1"/>
                        </w14:solidFill>
                      </w14:textFill>
                    </w:rPr>
                  </w:pPr>
                </w:p>
              </w:tc>
              <w:tc>
                <w:tcPr>
                  <w:tcW w:w="268" w:type="pct"/>
                  <w:vMerge w:val="continue"/>
                  <w:vAlign w:val="center"/>
                </w:tcPr>
                <w:p w14:paraId="0AC336D5">
                  <w:pPr>
                    <w:adjustRightInd w:val="0"/>
                    <w:snapToGrid w:val="0"/>
                    <w:jc w:val="center"/>
                    <w:rPr>
                      <w:color w:val="000000" w:themeColor="text1"/>
                      <w:sz w:val="21"/>
                      <w:szCs w:val="21"/>
                      <w14:textFill>
                        <w14:solidFill>
                          <w14:schemeClr w14:val="tx1"/>
                        </w14:solidFill>
                      </w14:textFill>
                    </w:rPr>
                  </w:pPr>
                </w:p>
              </w:tc>
              <w:tc>
                <w:tcPr>
                  <w:tcW w:w="259" w:type="pct"/>
                  <w:vMerge w:val="restart"/>
                  <w:vAlign w:val="center"/>
                </w:tcPr>
                <w:p w14:paraId="62562920">
                  <w:pPr>
                    <w:adjustRightInd w:val="0"/>
                    <w:snapToGrid w:val="0"/>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75%</w:t>
                  </w:r>
                </w:p>
              </w:tc>
              <w:tc>
                <w:tcPr>
                  <w:tcW w:w="329" w:type="pct"/>
                  <w:vMerge w:val="continue"/>
                  <w:vAlign w:val="center"/>
                </w:tcPr>
                <w:p w14:paraId="19EA3AA0">
                  <w:pPr>
                    <w:adjustRightInd w:val="0"/>
                    <w:snapToGrid w:val="0"/>
                    <w:jc w:val="center"/>
                    <w:rPr>
                      <w:color w:val="000000" w:themeColor="text1"/>
                      <w:sz w:val="21"/>
                      <w:szCs w:val="21"/>
                      <w14:textFill>
                        <w14:solidFill>
                          <w14:schemeClr w14:val="tx1"/>
                        </w14:solidFill>
                      </w14:textFill>
                    </w:rPr>
                  </w:pPr>
                </w:p>
              </w:tc>
              <w:tc>
                <w:tcPr>
                  <w:tcW w:w="398" w:type="pct"/>
                  <w:vAlign w:val="center"/>
                </w:tcPr>
                <w:p w14:paraId="1454DC32">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0.033</w:t>
                  </w:r>
                </w:p>
              </w:tc>
              <w:tc>
                <w:tcPr>
                  <w:tcW w:w="398" w:type="pct"/>
                  <w:vAlign w:val="center"/>
                </w:tcPr>
                <w:p w14:paraId="07551BE0">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0.014</w:t>
                  </w:r>
                </w:p>
              </w:tc>
              <w:tc>
                <w:tcPr>
                  <w:tcW w:w="299" w:type="pct"/>
                  <w:vAlign w:val="center"/>
                </w:tcPr>
                <w:p w14:paraId="2491DB6D">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0.276</w:t>
                  </w:r>
                </w:p>
              </w:tc>
              <w:tc>
                <w:tcPr>
                  <w:tcW w:w="471" w:type="pct"/>
                  <w:vAlign w:val="center"/>
                </w:tcPr>
                <w:p w14:paraId="04C8068A">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30</w:t>
                  </w:r>
                </w:p>
              </w:tc>
            </w:tr>
            <w:tr w14:paraId="0D2A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2" w:type="pct"/>
                  <w:vMerge w:val="continue"/>
                  <w:vAlign w:val="center"/>
                </w:tcPr>
                <w:p w14:paraId="21139DFF">
                  <w:pPr>
                    <w:adjustRightInd w:val="0"/>
                    <w:snapToGrid w:val="0"/>
                    <w:jc w:val="center"/>
                    <w:rPr>
                      <w:color w:val="000000" w:themeColor="text1"/>
                      <w:sz w:val="21"/>
                      <w:szCs w:val="21"/>
                      <w14:textFill>
                        <w14:solidFill>
                          <w14:schemeClr w14:val="tx1"/>
                        </w14:solidFill>
                      </w14:textFill>
                    </w:rPr>
                  </w:pPr>
                </w:p>
              </w:tc>
              <w:tc>
                <w:tcPr>
                  <w:tcW w:w="290" w:type="pct"/>
                  <w:vMerge w:val="continue"/>
                  <w:vAlign w:val="center"/>
                </w:tcPr>
                <w:p w14:paraId="3285B8CD">
                  <w:pPr>
                    <w:adjustRightInd w:val="0"/>
                    <w:snapToGrid w:val="0"/>
                    <w:jc w:val="center"/>
                    <w:rPr>
                      <w:rFonts w:hint="eastAsia"/>
                      <w:color w:val="000000" w:themeColor="text1"/>
                      <w:sz w:val="21"/>
                      <w:szCs w:val="21"/>
                      <w:lang w:eastAsia="zh-CN"/>
                      <w14:textFill>
                        <w14:solidFill>
                          <w14:schemeClr w14:val="tx1"/>
                        </w14:solidFill>
                      </w14:textFill>
                    </w:rPr>
                  </w:pPr>
                </w:p>
              </w:tc>
              <w:tc>
                <w:tcPr>
                  <w:tcW w:w="322" w:type="pct"/>
                  <w:vAlign w:val="center"/>
                </w:tcPr>
                <w:p w14:paraId="22C374F3">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0.009</w:t>
                  </w:r>
                </w:p>
              </w:tc>
              <w:tc>
                <w:tcPr>
                  <w:tcW w:w="353" w:type="pct"/>
                  <w:vAlign w:val="center"/>
                </w:tcPr>
                <w:p w14:paraId="39E21370">
                  <w:pPr>
                    <w:adjustRightInd w:val="0"/>
                    <w:snapToGrid w:val="0"/>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347" w:type="pct"/>
                  <w:vAlign w:val="center"/>
                </w:tcPr>
                <w:p w14:paraId="62598987">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无组织</w:t>
                  </w:r>
                </w:p>
              </w:tc>
              <w:tc>
                <w:tcPr>
                  <w:tcW w:w="554" w:type="pct"/>
                  <w:vMerge w:val="continue"/>
                  <w:vAlign w:val="center"/>
                </w:tcPr>
                <w:p w14:paraId="05E19FBD">
                  <w:pPr>
                    <w:adjustRightInd w:val="0"/>
                    <w:snapToGrid w:val="0"/>
                    <w:jc w:val="center"/>
                    <w:rPr>
                      <w:color w:val="000000" w:themeColor="text1"/>
                      <w:sz w:val="21"/>
                      <w:szCs w:val="21"/>
                      <w14:textFill>
                        <w14:solidFill>
                          <w14:schemeClr w14:val="tx1"/>
                        </w14:solidFill>
                      </w14:textFill>
                    </w:rPr>
                  </w:pPr>
                </w:p>
              </w:tc>
              <w:tc>
                <w:tcPr>
                  <w:tcW w:w="425" w:type="pct"/>
                  <w:vMerge w:val="continue"/>
                  <w:vAlign w:val="center"/>
                </w:tcPr>
                <w:p w14:paraId="23570342">
                  <w:pPr>
                    <w:adjustRightInd w:val="0"/>
                    <w:snapToGrid w:val="0"/>
                    <w:jc w:val="center"/>
                    <w:rPr>
                      <w:color w:val="000000" w:themeColor="text1"/>
                      <w:sz w:val="21"/>
                      <w:szCs w:val="21"/>
                      <w14:textFill>
                        <w14:solidFill>
                          <w14:schemeClr w14:val="tx1"/>
                        </w14:solidFill>
                      </w14:textFill>
                    </w:rPr>
                  </w:pPr>
                </w:p>
              </w:tc>
              <w:tc>
                <w:tcPr>
                  <w:tcW w:w="268" w:type="pct"/>
                  <w:vMerge w:val="continue"/>
                  <w:vAlign w:val="center"/>
                </w:tcPr>
                <w:p w14:paraId="2C8EDB0F">
                  <w:pPr>
                    <w:adjustRightInd w:val="0"/>
                    <w:snapToGrid w:val="0"/>
                    <w:jc w:val="center"/>
                    <w:rPr>
                      <w:color w:val="000000" w:themeColor="text1"/>
                      <w:sz w:val="21"/>
                      <w:szCs w:val="21"/>
                      <w14:textFill>
                        <w14:solidFill>
                          <w14:schemeClr w14:val="tx1"/>
                        </w14:solidFill>
                      </w14:textFill>
                    </w:rPr>
                  </w:pPr>
                </w:p>
              </w:tc>
              <w:tc>
                <w:tcPr>
                  <w:tcW w:w="259" w:type="pct"/>
                  <w:vMerge w:val="continue"/>
                  <w:vAlign w:val="center"/>
                </w:tcPr>
                <w:p w14:paraId="2A7A3E8D">
                  <w:pPr>
                    <w:adjustRightInd w:val="0"/>
                    <w:snapToGrid w:val="0"/>
                    <w:jc w:val="center"/>
                    <w:rPr>
                      <w:rFonts w:hint="eastAsia"/>
                      <w:color w:val="000000" w:themeColor="text1"/>
                      <w:sz w:val="21"/>
                      <w:szCs w:val="21"/>
                      <w:lang w:val="en-US" w:eastAsia="zh-CN"/>
                      <w14:textFill>
                        <w14:solidFill>
                          <w14:schemeClr w14:val="tx1"/>
                        </w14:solidFill>
                      </w14:textFill>
                    </w:rPr>
                  </w:pPr>
                </w:p>
              </w:tc>
              <w:tc>
                <w:tcPr>
                  <w:tcW w:w="329" w:type="pct"/>
                  <w:vMerge w:val="continue"/>
                  <w:vAlign w:val="center"/>
                </w:tcPr>
                <w:p w14:paraId="110895E8">
                  <w:pPr>
                    <w:adjustRightInd w:val="0"/>
                    <w:snapToGrid w:val="0"/>
                    <w:jc w:val="center"/>
                    <w:rPr>
                      <w:color w:val="000000" w:themeColor="text1"/>
                      <w:sz w:val="21"/>
                      <w:szCs w:val="21"/>
                      <w14:textFill>
                        <w14:solidFill>
                          <w14:schemeClr w14:val="tx1"/>
                        </w14:solidFill>
                      </w14:textFill>
                    </w:rPr>
                  </w:pPr>
                </w:p>
              </w:tc>
              <w:tc>
                <w:tcPr>
                  <w:tcW w:w="398" w:type="pct"/>
                  <w:vAlign w:val="center"/>
                </w:tcPr>
                <w:p w14:paraId="0712186C">
                  <w:pPr>
                    <w:adjustRightInd w:val="0"/>
                    <w:snapToGrid w:val="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0.009</w:t>
                  </w:r>
                </w:p>
              </w:tc>
              <w:tc>
                <w:tcPr>
                  <w:tcW w:w="398" w:type="pct"/>
                  <w:vAlign w:val="center"/>
                </w:tcPr>
                <w:p w14:paraId="24D459F2">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299" w:type="pct"/>
                  <w:vAlign w:val="center"/>
                </w:tcPr>
                <w:p w14:paraId="6CB5A90F">
                  <w:pPr>
                    <w:adjustRightInd w:val="0"/>
                    <w:snapToGrid w:val="0"/>
                    <w:jc w:val="center"/>
                    <w:rPr>
                      <w:rFonts w:hint="eastAsia"/>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w:t>
                  </w:r>
                </w:p>
              </w:tc>
              <w:tc>
                <w:tcPr>
                  <w:tcW w:w="471" w:type="pct"/>
                  <w:vAlign w:val="center"/>
                </w:tcPr>
                <w:p w14:paraId="500BA0C7">
                  <w:pPr>
                    <w:adjustRightInd w:val="0"/>
                    <w:snapToGrid w:val="0"/>
                    <w:spacing w:before="62" w:beforeLines="20"/>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0.2</w:t>
                  </w:r>
                </w:p>
              </w:tc>
            </w:tr>
          </w:tbl>
          <w:p w14:paraId="25A12BC9">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jc w:val="both"/>
              <w:textAlignment w:val="auto"/>
              <w:rPr>
                <w:rFonts w:hint="eastAsia"/>
                <w:b/>
                <w:bCs/>
                <w:color w:val="000000"/>
                <w:sz w:val="24"/>
                <w:szCs w:val="24"/>
                <w:lang w:val="en-US" w:eastAsia="zh-CN"/>
              </w:rPr>
            </w:pPr>
          </w:p>
          <w:p w14:paraId="52A614BB">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jc w:val="both"/>
              <w:textAlignment w:val="auto"/>
              <w:rPr>
                <w:rFonts w:hint="eastAsia"/>
                <w:b/>
                <w:bCs/>
                <w:color w:val="000000"/>
                <w:sz w:val="24"/>
                <w:szCs w:val="24"/>
                <w:lang w:val="en-US" w:eastAsia="zh-CN"/>
              </w:rPr>
            </w:pPr>
          </w:p>
          <w:p w14:paraId="52AF1865">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default"/>
                <w:b w:val="0"/>
                <w:bCs w:val="0"/>
                <w:color w:val="000000"/>
                <w:sz w:val="24"/>
                <w:szCs w:val="24"/>
                <w:lang w:val="en-US" w:eastAsia="zh-CN"/>
              </w:rPr>
            </w:pPr>
            <w:r>
              <w:rPr>
                <w:rFonts w:hint="eastAsia"/>
                <w:b/>
                <w:bCs/>
                <w:color w:val="000000"/>
                <w:sz w:val="24"/>
                <w:szCs w:val="24"/>
                <w:lang w:val="en-US" w:eastAsia="zh-CN"/>
              </w:rPr>
              <w:t>排气口设置及监测计划</w:t>
            </w:r>
          </w:p>
          <w:p w14:paraId="61E6A2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color w:val="auto"/>
                <w:sz w:val="24"/>
                <w:szCs w:val="24"/>
                <w:lang w:val="en-US" w:eastAsia="zh-CN"/>
              </w:rPr>
            </w:pPr>
            <w:r>
              <w:rPr>
                <w:rFonts w:hint="eastAsia"/>
                <w:color w:val="auto"/>
                <w:sz w:val="24"/>
                <w:szCs w:val="24"/>
                <w:lang w:val="en-US" w:eastAsia="zh-CN"/>
              </w:rPr>
              <w:t>根据《排污单位自行监测技术指南 总则》（HJ819-2017）、</w:t>
            </w:r>
            <w:r>
              <w:rPr>
                <w:rFonts w:hint="eastAsia"/>
                <w:snapToGrid w:val="0"/>
                <w:color w:val="auto"/>
                <w:kern w:val="0"/>
                <w:sz w:val="24"/>
                <w:szCs w:val="24"/>
              </w:rPr>
              <w:t>《排污许可证申请与核发技术规范橡胶和塑料制品工业》（HJ1122</w:t>
            </w:r>
            <w:r>
              <w:rPr>
                <w:rFonts w:hint="eastAsia"/>
                <w:snapToGrid w:val="0"/>
                <w:color w:val="auto"/>
                <w:kern w:val="0"/>
                <w:sz w:val="24"/>
                <w:szCs w:val="24"/>
                <w:lang w:val="en-US" w:eastAsia="zh-CN"/>
              </w:rPr>
              <w:t>-</w:t>
            </w:r>
            <w:r>
              <w:rPr>
                <w:rFonts w:hint="eastAsia"/>
                <w:snapToGrid w:val="0"/>
                <w:color w:val="auto"/>
                <w:kern w:val="0"/>
                <w:sz w:val="24"/>
                <w:szCs w:val="24"/>
              </w:rPr>
              <w:t>020）</w:t>
            </w:r>
            <w:r>
              <w:rPr>
                <w:rFonts w:hint="eastAsia"/>
                <w:color w:val="auto"/>
                <w:sz w:val="24"/>
                <w:szCs w:val="24"/>
                <w:lang w:val="en-US" w:eastAsia="zh-CN"/>
              </w:rPr>
              <w:t>，制定本项目大气监测计划：</w:t>
            </w:r>
          </w:p>
          <w:p w14:paraId="0828571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b/>
                <w:bCs/>
                <w:color w:val="000000"/>
                <w:sz w:val="24"/>
                <w:szCs w:val="24"/>
                <w:lang w:val="en-US" w:eastAsia="zh-CN"/>
              </w:rPr>
            </w:pPr>
            <w:r>
              <w:rPr>
                <w:rFonts w:hint="default"/>
                <w:b/>
                <w:bCs/>
                <w:color w:val="000000"/>
                <w:sz w:val="24"/>
                <w:szCs w:val="24"/>
                <w:lang w:val="en-US" w:eastAsia="zh-CN"/>
              </w:rPr>
              <w:t>表4.</w:t>
            </w:r>
            <w:r>
              <w:rPr>
                <w:rFonts w:hint="eastAsia"/>
                <w:b/>
                <w:bCs/>
                <w:color w:val="000000"/>
                <w:sz w:val="24"/>
                <w:szCs w:val="24"/>
                <w:lang w:val="en-US" w:eastAsia="zh-CN"/>
              </w:rPr>
              <w:t>3</w:t>
            </w:r>
            <w:r>
              <w:rPr>
                <w:rFonts w:hint="default"/>
                <w:b/>
                <w:bCs/>
                <w:color w:val="000000"/>
                <w:sz w:val="24"/>
                <w:szCs w:val="24"/>
                <w:lang w:val="en-US" w:eastAsia="zh-CN"/>
              </w:rPr>
              <w:t xml:space="preserve"> </w:t>
            </w:r>
            <w:r>
              <w:rPr>
                <w:rFonts w:hint="eastAsia"/>
                <w:b/>
                <w:bCs/>
                <w:color w:val="000000"/>
                <w:sz w:val="24"/>
                <w:szCs w:val="24"/>
                <w:lang w:val="en-US" w:eastAsia="zh-CN"/>
              </w:rPr>
              <w:t xml:space="preserve"> </w:t>
            </w:r>
            <w:r>
              <w:rPr>
                <w:rFonts w:hint="default"/>
                <w:b/>
                <w:bCs/>
                <w:color w:val="000000"/>
                <w:sz w:val="24"/>
                <w:szCs w:val="24"/>
                <w:lang w:val="en-US" w:eastAsia="zh-CN"/>
              </w:rPr>
              <w:t>废气排放口</w:t>
            </w:r>
            <w:r>
              <w:rPr>
                <w:rFonts w:hint="eastAsia"/>
                <w:b/>
                <w:bCs/>
                <w:color w:val="000000"/>
                <w:sz w:val="24"/>
                <w:szCs w:val="24"/>
                <w:lang w:val="en-US" w:eastAsia="zh-CN"/>
              </w:rPr>
              <w:t>设置及大气污染物监测计划</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305"/>
              <w:gridCol w:w="885"/>
              <w:gridCol w:w="836"/>
              <w:gridCol w:w="814"/>
              <w:gridCol w:w="2881"/>
              <w:gridCol w:w="1368"/>
              <w:gridCol w:w="1211"/>
              <w:gridCol w:w="1211"/>
              <w:gridCol w:w="1232"/>
            </w:tblGrid>
            <w:tr w14:paraId="5EE26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8" w:type="pct"/>
                  <w:vMerge w:val="restart"/>
                  <w:noWrap w:val="0"/>
                  <w:vAlign w:val="center"/>
                </w:tcPr>
                <w:p w14:paraId="0F421EBF">
                  <w:pPr>
                    <w:adjustRightInd w:val="0"/>
                    <w:snapToGrid w:val="0"/>
                    <w:jc w:val="center"/>
                    <w:rPr>
                      <w:rFonts w:hint="default"/>
                      <w:color w:val="000000"/>
                      <w:lang w:val="en-US" w:eastAsia="zh-CN"/>
                    </w:rPr>
                  </w:pPr>
                  <w:r>
                    <w:rPr>
                      <w:rFonts w:hint="eastAsia"/>
                      <w:color w:val="000000"/>
                      <w:lang w:val="en-US" w:eastAsia="zh-CN"/>
                    </w:rPr>
                    <w:t>污染源类别</w:t>
                  </w:r>
                </w:p>
              </w:tc>
              <w:tc>
                <w:tcPr>
                  <w:tcW w:w="512" w:type="pct"/>
                  <w:vMerge w:val="restart"/>
                  <w:noWrap w:val="0"/>
                  <w:vAlign w:val="center"/>
                </w:tcPr>
                <w:p w14:paraId="50B16B8E">
                  <w:pPr>
                    <w:adjustRightInd w:val="0"/>
                    <w:snapToGrid w:val="0"/>
                    <w:jc w:val="center"/>
                    <w:rPr>
                      <w:rFonts w:hint="default"/>
                      <w:color w:val="000000"/>
                      <w:lang w:val="en-US" w:eastAsia="zh-CN"/>
                    </w:rPr>
                  </w:pPr>
                  <w:r>
                    <w:rPr>
                      <w:rFonts w:hint="eastAsia"/>
                      <w:color w:val="000000"/>
                      <w:lang w:val="en-US" w:eastAsia="zh-CN"/>
                    </w:rPr>
                    <w:t>排放口编号及名称</w:t>
                  </w:r>
                </w:p>
              </w:tc>
              <w:tc>
                <w:tcPr>
                  <w:tcW w:w="2664" w:type="pct"/>
                  <w:gridSpan w:val="5"/>
                  <w:noWrap w:val="0"/>
                  <w:vAlign w:val="center"/>
                </w:tcPr>
                <w:p w14:paraId="57664BEB">
                  <w:pPr>
                    <w:adjustRightInd w:val="0"/>
                    <w:snapToGrid w:val="0"/>
                    <w:jc w:val="center"/>
                    <w:rPr>
                      <w:rFonts w:hint="default"/>
                      <w:color w:val="000000"/>
                      <w:lang w:val="en-US" w:eastAsia="zh-CN"/>
                    </w:rPr>
                  </w:pPr>
                  <w:r>
                    <w:rPr>
                      <w:rFonts w:hint="eastAsia"/>
                      <w:color w:val="000000"/>
                      <w:lang w:val="en-US" w:eastAsia="zh-CN"/>
                    </w:rPr>
                    <w:t>排放口基本情况</w:t>
                  </w:r>
                </w:p>
              </w:tc>
              <w:tc>
                <w:tcPr>
                  <w:tcW w:w="1435" w:type="pct"/>
                  <w:gridSpan w:val="3"/>
                  <w:noWrap w:val="0"/>
                  <w:vAlign w:val="center"/>
                </w:tcPr>
                <w:p w14:paraId="51151F57">
                  <w:pPr>
                    <w:adjustRightInd w:val="0"/>
                    <w:snapToGrid w:val="0"/>
                    <w:jc w:val="center"/>
                    <w:rPr>
                      <w:rFonts w:hint="default"/>
                      <w:color w:val="000000"/>
                      <w:lang w:val="en-US" w:eastAsia="zh-CN"/>
                    </w:rPr>
                  </w:pPr>
                  <w:r>
                    <w:rPr>
                      <w:rFonts w:hint="eastAsia"/>
                      <w:color w:val="000000"/>
                      <w:lang w:val="en-US" w:eastAsia="zh-CN"/>
                    </w:rPr>
                    <w:t>监测要求</w:t>
                  </w:r>
                </w:p>
              </w:tc>
            </w:tr>
            <w:tr w14:paraId="4081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8" w:type="pct"/>
                  <w:vMerge w:val="continue"/>
                  <w:noWrap w:val="0"/>
                  <w:vAlign w:val="center"/>
                </w:tcPr>
                <w:p w14:paraId="79C339B2">
                  <w:pPr>
                    <w:adjustRightInd w:val="0"/>
                    <w:snapToGrid w:val="0"/>
                    <w:jc w:val="center"/>
                    <w:rPr>
                      <w:rFonts w:hint="default"/>
                      <w:color w:val="000000"/>
                      <w:lang w:val="en-US" w:eastAsia="zh-CN"/>
                    </w:rPr>
                  </w:pPr>
                </w:p>
              </w:tc>
              <w:tc>
                <w:tcPr>
                  <w:tcW w:w="512" w:type="pct"/>
                  <w:vMerge w:val="continue"/>
                  <w:noWrap w:val="0"/>
                  <w:vAlign w:val="center"/>
                </w:tcPr>
                <w:p w14:paraId="7534A163">
                  <w:pPr>
                    <w:adjustRightInd w:val="0"/>
                    <w:snapToGrid w:val="0"/>
                    <w:jc w:val="center"/>
                    <w:rPr>
                      <w:rFonts w:hint="default"/>
                      <w:color w:val="000000"/>
                      <w:lang w:val="en-US" w:eastAsia="zh-CN"/>
                    </w:rPr>
                  </w:pPr>
                </w:p>
              </w:tc>
              <w:tc>
                <w:tcPr>
                  <w:tcW w:w="347" w:type="pct"/>
                  <w:noWrap w:val="0"/>
                  <w:vAlign w:val="center"/>
                </w:tcPr>
                <w:p w14:paraId="086A6546">
                  <w:pPr>
                    <w:adjustRightInd w:val="0"/>
                    <w:snapToGrid w:val="0"/>
                    <w:jc w:val="center"/>
                    <w:rPr>
                      <w:rFonts w:hint="default"/>
                      <w:color w:val="000000"/>
                      <w:lang w:val="en-US" w:eastAsia="zh-CN"/>
                    </w:rPr>
                  </w:pPr>
                  <w:r>
                    <w:rPr>
                      <w:rFonts w:hint="eastAsia"/>
                      <w:color w:val="000000"/>
                      <w:lang w:val="en-US" w:eastAsia="zh-CN"/>
                    </w:rPr>
                    <w:t>高度/m</w:t>
                  </w:r>
                </w:p>
              </w:tc>
              <w:tc>
                <w:tcPr>
                  <w:tcW w:w="328" w:type="pct"/>
                  <w:noWrap w:val="0"/>
                  <w:vAlign w:val="center"/>
                </w:tcPr>
                <w:p w14:paraId="11A5A304">
                  <w:pPr>
                    <w:adjustRightInd w:val="0"/>
                    <w:snapToGrid w:val="0"/>
                    <w:jc w:val="center"/>
                    <w:rPr>
                      <w:rFonts w:hint="default"/>
                      <w:color w:val="000000"/>
                      <w:lang w:val="en-US" w:eastAsia="zh-CN"/>
                    </w:rPr>
                  </w:pPr>
                  <w:r>
                    <w:rPr>
                      <w:rFonts w:hint="eastAsia"/>
                      <w:color w:val="000000"/>
                      <w:lang w:val="en-US" w:eastAsia="zh-CN"/>
                    </w:rPr>
                    <w:t>内径/m</w:t>
                  </w:r>
                </w:p>
              </w:tc>
              <w:tc>
                <w:tcPr>
                  <w:tcW w:w="319" w:type="pct"/>
                  <w:noWrap w:val="0"/>
                  <w:vAlign w:val="center"/>
                </w:tcPr>
                <w:p w14:paraId="6856E2AB">
                  <w:pPr>
                    <w:adjustRightInd w:val="0"/>
                    <w:snapToGrid w:val="0"/>
                    <w:jc w:val="center"/>
                    <w:rPr>
                      <w:rFonts w:hint="default"/>
                      <w:color w:val="000000"/>
                      <w:lang w:val="en-US" w:eastAsia="zh-CN"/>
                    </w:rPr>
                  </w:pPr>
                  <w:r>
                    <w:rPr>
                      <w:rFonts w:hint="eastAsia"/>
                      <w:color w:val="000000"/>
                      <w:lang w:val="en-US" w:eastAsia="zh-CN"/>
                    </w:rPr>
                    <w:t>温度</w:t>
                  </w:r>
                  <w:r>
                    <w:rPr>
                      <w:rFonts w:hint="default"/>
                      <w:color w:val="000000"/>
                      <w:lang w:val="en-US" w:eastAsia="zh-CN"/>
                    </w:rPr>
                    <w:t>℃</w:t>
                  </w:r>
                </w:p>
              </w:tc>
              <w:tc>
                <w:tcPr>
                  <w:tcW w:w="1131" w:type="pct"/>
                  <w:noWrap w:val="0"/>
                  <w:vAlign w:val="center"/>
                </w:tcPr>
                <w:p w14:paraId="7DB2CAD9">
                  <w:pPr>
                    <w:adjustRightInd w:val="0"/>
                    <w:snapToGrid w:val="0"/>
                    <w:jc w:val="center"/>
                    <w:rPr>
                      <w:rFonts w:hint="default"/>
                      <w:color w:val="000000"/>
                      <w:lang w:val="en-US" w:eastAsia="zh-CN"/>
                    </w:rPr>
                  </w:pPr>
                  <w:r>
                    <w:rPr>
                      <w:rFonts w:hint="eastAsia"/>
                      <w:color w:val="000000"/>
                      <w:lang w:val="en-US" w:eastAsia="zh-CN"/>
                    </w:rPr>
                    <w:t>坐标</w:t>
                  </w:r>
                </w:p>
              </w:tc>
              <w:tc>
                <w:tcPr>
                  <w:tcW w:w="537" w:type="pct"/>
                  <w:noWrap w:val="0"/>
                  <w:vAlign w:val="center"/>
                </w:tcPr>
                <w:p w14:paraId="58F3B7A8">
                  <w:pPr>
                    <w:adjustRightInd w:val="0"/>
                    <w:snapToGrid w:val="0"/>
                    <w:jc w:val="center"/>
                    <w:rPr>
                      <w:rFonts w:hint="default"/>
                      <w:color w:val="000000"/>
                      <w:lang w:val="en-US" w:eastAsia="zh-CN"/>
                    </w:rPr>
                  </w:pPr>
                  <w:r>
                    <w:rPr>
                      <w:rFonts w:hint="eastAsia"/>
                      <w:color w:val="000000"/>
                      <w:lang w:val="en-US" w:eastAsia="zh-CN"/>
                    </w:rPr>
                    <w:t>类型</w:t>
                  </w:r>
                </w:p>
              </w:tc>
              <w:tc>
                <w:tcPr>
                  <w:tcW w:w="475" w:type="pct"/>
                  <w:noWrap w:val="0"/>
                  <w:vAlign w:val="center"/>
                </w:tcPr>
                <w:p w14:paraId="0CF6B149">
                  <w:pPr>
                    <w:adjustRightInd w:val="0"/>
                    <w:snapToGrid w:val="0"/>
                    <w:jc w:val="center"/>
                    <w:rPr>
                      <w:rFonts w:hint="default"/>
                      <w:color w:val="000000"/>
                      <w:lang w:val="en-US" w:eastAsia="zh-CN"/>
                    </w:rPr>
                  </w:pPr>
                  <w:r>
                    <w:rPr>
                      <w:rFonts w:hint="eastAsia"/>
                      <w:color w:val="000000"/>
                      <w:lang w:val="en-US" w:eastAsia="zh-CN"/>
                    </w:rPr>
                    <w:t>监测点位</w:t>
                  </w:r>
                </w:p>
              </w:tc>
              <w:tc>
                <w:tcPr>
                  <w:tcW w:w="475" w:type="pct"/>
                  <w:noWrap w:val="0"/>
                  <w:vAlign w:val="center"/>
                </w:tcPr>
                <w:p w14:paraId="3DEE14B1">
                  <w:pPr>
                    <w:adjustRightInd w:val="0"/>
                    <w:snapToGrid w:val="0"/>
                    <w:jc w:val="center"/>
                    <w:rPr>
                      <w:rFonts w:hint="default"/>
                      <w:color w:val="000000"/>
                      <w:lang w:val="en-US" w:eastAsia="zh-CN"/>
                    </w:rPr>
                  </w:pPr>
                  <w:r>
                    <w:rPr>
                      <w:rFonts w:hint="eastAsia"/>
                      <w:color w:val="000000"/>
                      <w:lang w:val="en-US" w:eastAsia="zh-CN"/>
                    </w:rPr>
                    <w:t>监测因子</w:t>
                  </w:r>
                </w:p>
              </w:tc>
              <w:tc>
                <w:tcPr>
                  <w:tcW w:w="483" w:type="pct"/>
                  <w:noWrap w:val="0"/>
                  <w:vAlign w:val="center"/>
                </w:tcPr>
                <w:p w14:paraId="7DB4DF73">
                  <w:pPr>
                    <w:adjustRightInd w:val="0"/>
                    <w:snapToGrid w:val="0"/>
                    <w:jc w:val="center"/>
                    <w:rPr>
                      <w:rFonts w:hint="default"/>
                      <w:color w:val="000000"/>
                      <w:lang w:val="en-US" w:eastAsia="zh-CN"/>
                    </w:rPr>
                  </w:pPr>
                  <w:r>
                    <w:rPr>
                      <w:rFonts w:hint="eastAsia"/>
                      <w:color w:val="000000"/>
                      <w:lang w:val="en-US" w:eastAsia="zh-CN"/>
                    </w:rPr>
                    <w:t>监测频次</w:t>
                  </w:r>
                </w:p>
              </w:tc>
            </w:tr>
            <w:tr w14:paraId="20B5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8" w:type="pct"/>
                  <w:noWrap w:val="0"/>
                  <w:vAlign w:val="center"/>
                </w:tcPr>
                <w:p w14:paraId="3530F4F9">
                  <w:pPr>
                    <w:adjustRightInd w:val="0"/>
                    <w:snapToGrid w:val="0"/>
                    <w:jc w:val="center"/>
                    <w:rPr>
                      <w:rFonts w:hint="eastAsia"/>
                      <w:color w:val="000000"/>
                      <w:lang w:val="en-US" w:eastAsia="zh-CN"/>
                    </w:rPr>
                  </w:pPr>
                  <w:r>
                    <w:rPr>
                      <w:rFonts w:hint="eastAsia"/>
                      <w:color w:val="000000"/>
                      <w:lang w:val="en-US" w:eastAsia="zh-CN"/>
                    </w:rPr>
                    <w:t>有组织</w:t>
                  </w:r>
                </w:p>
              </w:tc>
              <w:tc>
                <w:tcPr>
                  <w:tcW w:w="1305" w:type="dxa"/>
                  <w:noWrap w:val="0"/>
                  <w:vAlign w:val="center"/>
                </w:tcPr>
                <w:p w14:paraId="1423398F">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eastAsia="宋体"/>
                      <w:color w:val="000000" w:themeColor="text1"/>
                      <w:sz w:val="21"/>
                      <w:szCs w:val="21"/>
                      <w:lang w:val="en-US" w:eastAsia="zh-CN"/>
                      <w14:textFill>
                        <w14:solidFill>
                          <w14:schemeClr w14:val="tx1"/>
                        </w14:solidFill>
                      </w14:textFill>
                    </w:rPr>
                    <w:t>混料、牵引切割、精确切割、砂光打磨废气</w:t>
                  </w:r>
                  <w:r>
                    <w:rPr>
                      <w:rFonts w:hint="eastAsia" w:eastAsia="宋体"/>
                      <w:color w:val="000000" w:themeColor="text1"/>
                      <w:sz w:val="21"/>
                      <w:szCs w:val="21"/>
                      <w:lang w:val="en-US" w:eastAsia="zh-CN"/>
                      <w14:textFill>
                        <w14:solidFill>
                          <w14:schemeClr w14:val="tx1"/>
                        </w14:solidFill>
                      </w14:textFill>
                    </w:rPr>
                    <w:t>排放口/DA00</w:t>
                  </w:r>
                  <w:r>
                    <w:rPr>
                      <w:rFonts w:hint="eastAsia"/>
                      <w:color w:val="000000" w:themeColor="text1"/>
                      <w:sz w:val="21"/>
                      <w:szCs w:val="21"/>
                      <w:lang w:val="en-US" w:eastAsia="zh-CN"/>
                      <w14:textFill>
                        <w14:solidFill>
                          <w14:schemeClr w14:val="tx1"/>
                        </w14:solidFill>
                      </w14:textFill>
                    </w:rPr>
                    <w:t>6</w:t>
                  </w:r>
                </w:p>
              </w:tc>
              <w:tc>
                <w:tcPr>
                  <w:tcW w:w="347" w:type="pct"/>
                  <w:noWrap w:val="0"/>
                  <w:vAlign w:val="center"/>
                </w:tcPr>
                <w:p w14:paraId="2B2132DD">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15</w:t>
                  </w:r>
                </w:p>
              </w:tc>
              <w:tc>
                <w:tcPr>
                  <w:tcW w:w="328" w:type="pct"/>
                  <w:noWrap w:val="0"/>
                  <w:vAlign w:val="center"/>
                </w:tcPr>
                <w:p w14:paraId="00405816">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0.7</w:t>
                  </w:r>
                </w:p>
              </w:tc>
              <w:tc>
                <w:tcPr>
                  <w:tcW w:w="319" w:type="pct"/>
                  <w:noWrap w:val="0"/>
                  <w:vAlign w:val="center"/>
                </w:tcPr>
                <w:p w14:paraId="665AD55A">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25</w:t>
                  </w:r>
                </w:p>
              </w:tc>
              <w:tc>
                <w:tcPr>
                  <w:tcW w:w="1131" w:type="pct"/>
                  <w:noWrap w:val="0"/>
                  <w:vAlign w:val="center"/>
                </w:tcPr>
                <w:p w14:paraId="53AA0BD7">
                  <w:pPr>
                    <w:adjustRightInd w:val="0"/>
                    <w:snapToGrid w:val="0"/>
                    <w:jc w:val="center"/>
                    <w:rPr>
                      <w:rFonts w:hint="eastAsia"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117°2′23.617″</w:t>
                  </w:r>
                  <w:r>
                    <w:rPr>
                      <w:rFonts w:hint="eastAsia" w:cs="Times New Roman"/>
                      <w:snapToGrid/>
                      <w:color w:val="000000" w:themeColor="text1"/>
                      <w:spacing w:val="0"/>
                      <w:kern w:val="0"/>
                      <w:position w:val="0"/>
                      <w:sz w:val="21"/>
                      <w:szCs w:val="21"/>
                      <w:lang w:val="en-US" w:eastAsia="zh-CN"/>
                      <w14:textFill>
                        <w14:solidFill>
                          <w14:schemeClr w14:val="tx1"/>
                        </w14:solidFill>
                      </w14:textFill>
                    </w:rPr>
                    <w:t>,</w:t>
                  </w:r>
                </w:p>
                <w:p w14:paraId="1CDE1DEC">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33°38′31.360″</w:t>
                  </w:r>
                </w:p>
              </w:tc>
              <w:tc>
                <w:tcPr>
                  <w:tcW w:w="537" w:type="pct"/>
                  <w:noWrap w:val="0"/>
                  <w:vAlign w:val="center"/>
                </w:tcPr>
                <w:p w14:paraId="5E241974">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一般排放口</w:t>
                  </w:r>
                </w:p>
              </w:tc>
              <w:tc>
                <w:tcPr>
                  <w:tcW w:w="475" w:type="pct"/>
                  <w:noWrap w:val="0"/>
                  <w:vAlign w:val="center"/>
                </w:tcPr>
                <w:p w14:paraId="080E36CA">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DA00</w:t>
                  </w:r>
                  <w:r>
                    <w:rPr>
                      <w:rFonts w:hint="eastAsia"/>
                      <w:color w:val="000000" w:themeColor="text1"/>
                      <w:sz w:val="21"/>
                      <w:szCs w:val="21"/>
                      <w:lang w:val="en-US" w:eastAsia="zh-CN"/>
                      <w14:textFill>
                        <w14:solidFill>
                          <w14:schemeClr w14:val="tx1"/>
                        </w14:solidFill>
                      </w14:textFill>
                    </w:rPr>
                    <w:t>6</w:t>
                  </w:r>
                </w:p>
              </w:tc>
              <w:tc>
                <w:tcPr>
                  <w:tcW w:w="475" w:type="pct"/>
                  <w:noWrap w:val="0"/>
                  <w:vAlign w:val="center"/>
                </w:tcPr>
                <w:p w14:paraId="78955901">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颗粒物</w:t>
                  </w:r>
                </w:p>
              </w:tc>
              <w:tc>
                <w:tcPr>
                  <w:tcW w:w="483" w:type="pct"/>
                  <w:noWrap w:val="0"/>
                  <w:vAlign w:val="center"/>
                </w:tcPr>
                <w:p w14:paraId="22F97DE8">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14:textFill>
                        <w14:solidFill>
                          <w14:schemeClr w14:val="tx1"/>
                        </w14:solidFill>
                      </w14:textFill>
                    </w:rPr>
                    <w:t>1次/年</w:t>
                  </w:r>
                </w:p>
              </w:tc>
            </w:tr>
            <w:tr w14:paraId="5A812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8" w:type="pct"/>
                  <w:noWrap w:val="0"/>
                  <w:vAlign w:val="center"/>
                </w:tcPr>
                <w:p w14:paraId="6493810A">
                  <w:pPr>
                    <w:adjustRightInd w:val="0"/>
                    <w:snapToGrid w:val="0"/>
                    <w:jc w:val="center"/>
                    <w:rPr>
                      <w:rFonts w:hint="eastAsia"/>
                      <w:color w:val="000000"/>
                      <w:lang w:val="en-US" w:eastAsia="zh-CN"/>
                    </w:rPr>
                  </w:pPr>
                  <w:r>
                    <w:rPr>
                      <w:rFonts w:hint="eastAsia"/>
                      <w:color w:val="000000"/>
                      <w:lang w:val="en-US" w:eastAsia="zh-CN"/>
                    </w:rPr>
                    <w:t>有组织</w:t>
                  </w:r>
                </w:p>
              </w:tc>
              <w:tc>
                <w:tcPr>
                  <w:tcW w:w="1305" w:type="dxa"/>
                  <w:noWrap w:val="0"/>
                  <w:vAlign w:val="center"/>
                </w:tcPr>
                <w:p w14:paraId="0FEE6D0A">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b w:val="0"/>
                      <w:bCs w:val="0"/>
                      <w:color w:val="auto"/>
                      <w:sz w:val="21"/>
                      <w:szCs w:val="21"/>
                      <w:lang w:val="en-US" w:eastAsia="zh-CN"/>
                    </w:rPr>
                    <w:t>融熔挤出废气</w:t>
                  </w:r>
                  <w:r>
                    <w:rPr>
                      <w:rFonts w:hint="eastAsia" w:eastAsia="宋体"/>
                      <w:color w:val="000000" w:themeColor="text1"/>
                      <w:sz w:val="21"/>
                      <w:szCs w:val="21"/>
                      <w:lang w:val="en-US" w:eastAsia="zh-CN"/>
                      <w14:textFill>
                        <w14:solidFill>
                          <w14:schemeClr w14:val="tx1"/>
                        </w14:solidFill>
                      </w14:textFill>
                    </w:rPr>
                    <w:t>排放口/DA00</w:t>
                  </w:r>
                  <w:r>
                    <w:rPr>
                      <w:rFonts w:hint="eastAsia"/>
                      <w:color w:val="000000" w:themeColor="text1"/>
                      <w:sz w:val="21"/>
                      <w:szCs w:val="21"/>
                      <w:lang w:val="en-US" w:eastAsia="zh-CN"/>
                      <w14:textFill>
                        <w14:solidFill>
                          <w14:schemeClr w14:val="tx1"/>
                        </w14:solidFill>
                      </w14:textFill>
                    </w:rPr>
                    <w:t>7</w:t>
                  </w:r>
                </w:p>
              </w:tc>
              <w:tc>
                <w:tcPr>
                  <w:tcW w:w="347" w:type="pct"/>
                  <w:noWrap w:val="0"/>
                  <w:vAlign w:val="center"/>
                </w:tcPr>
                <w:p w14:paraId="065153F8">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15</w:t>
                  </w:r>
                </w:p>
              </w:tc>
              <w:tc>
                <w:tcPr>
                  <w:tcW w:w="328" w:type="pct"/>
                  <w:noWrap w:val="0"/>
                  <w:vAlign w:val="center"/>
                </w:tcPr>
                <w:p w14:paraId="0AF7D400">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1</w:t>
                  </w:r>
                </w:p>
              </w:tc>
              <w:tc>
                <w:tcPr>
                  <w:tcW w:w="319" w:type="pct"/>
                  <w:noWrap w:val="0"/>
                  <w:vAlign w:val="center"/>
                </w:tcPr>
                <w:p w14:paraId="50C3E9AB">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30</w:t>
                  </w:r>
                </w:p>
              </w:tc>
              <w:tc>
                <w:tcPr>
                  <w:tcW w:w="1131" w:type="pct"/>
                  <w:noWrap w:val="0"/>
                  <w:vAlign w:val="center"/>
                </w:tcPr>
                <w:p w14:paraId="7A03304E">
                  <w:pPr>
                    <w:adjustRightInd w:val="0"/>
                    <w:snapToGrid w:val="0"/>
                    <w:jc w:val="center"/>
                    <w:rPr>
                      <w:rFonts w:hint="eastAsia"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117°2′24.380″</w:t>
                  </w:r>
                  <w:r>
                    <w:rPr>
                      <w:rFonts w:hint="eastAsia" w:cs="Times New Roman"/>
                      <w:snapToGrid/>
                      <w:color w:val="000000" w:themeColor="text1"/>
                      <w:spacing w:val="0"/>
                      <w:kern w:val="0"/>
                      <w:position w:val="0"/>
                      <w:sz w:val="21"/>
                      <w:szCs w:val="21"/>
                      <w:lang w:val="en-US" w:eastAsia="zh-CN"/>
                      <w14:textFill>
                        <w14:solidFill>
                          <w14:schemeClr w14:val="tx1"/>
                        </w14:solidFill>
                      </w14:textFill>
                    </w:rPr>
                    <w:t>,</w:t>
                  </w:r>
                </w:p>
                <w:p w14:paraId="574C6E6F">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33°38′31.336″</w:t>
                  </w:r>
                </w:p>
              </w:tc>
              <w:tc>
                <w:tcPr>
                  <w:tcW w:w="537" w:type="pct"/>
                  <w:noWrap w:val="0"/>
                  <w:vAlign w:val="center"/>
                </w:tcPr>
                <w:p w14:paraId="7F463E06">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一般排放口</w:t>
                  </w:r>
                </w:p>
              </w:tc>
              <w:tc>
                <w:tcPr>
                  <w:tcW w:w="475" w:type="pct"/>
                  <w:noWrap w:val="0"/>
                  <w:vAlign w:val="center"/>
                </w:tcPr>
                <w:p w14:paraId="3BED6908">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eastAsia="宋体"/>
                      <w:color w:val="000000" w:themeColor="text1"/>
                      <w:sz w:val="21"/>
                      <w:szCs w:val="21"/>
                      <w:lang w:val="en-US" w:eastAsia="zh-CN"/>
                      <w14:textFill>
                        <w14:solidFill>
                          <w14:schemeClr w14:val="tx1"/>
                        </w14:solidFill>
                      </w14:textFill>
                    </w:rPr>
                    <w:t>DA00</w:t>
                  </w:r>
                  <w:r>
                    <w:rPr>
                      <w:rFonts w:hint="eastAsia"/>
                      <w:color w:val="000000" w:themeColor="text1"/>
                      <w:sz w:val="21"/>
                      <w:szCs w:val="21"/>
                      <w:lang w:val="en-US" w:eastAsia="zh-CN"/>
                      <w14:textFill>
                        <w14:solidFill>
                          <w14:schemeClr w14:val="tx1"/>
                        </w14:solidFill>
                      </w14:textFill>
                    </w:rPr>
                    <w:t>7</w:t>
                  </w:r>
                </w:p>
              </w:tc>
              <w:tc>
                <w:tcPr>
                  <w:tcW w:w="475" w:type="pct"/>
                  <w:noWrap w:val="0"/>
                  <w:vAlign w:val="center"/>
                </w:tcPr>
                <w:p w14:paraId="1A3A7FE7">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非甲烷总烃、氯乙烯、氯化氢</w:t>
                  </w:r>
                </w:p>
              </w:tc>
              <w:tc>
                <w:tcPr>
                  <w:tcW w:w="483" w:type="pct"/>
                  <w:noWrap w:val="0"/>
                  <w:vAlign w:val="center"/>
                </w:tcPr>
                <w:p w14:paraId="3E2F8E73">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14:textFill>
                        <w14:solidFill>
                          <w14:schemeClr w14:val="tx1"/>
                        </w14:solidFill>
                      </w14:textFill>
                    </w:rPr>
                    <w:t>1次/年</w:t>
                  </w:r>
                </w:p>
              </w:tc>
            </w:tr>
            <w:tr w14:paraId="61EB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8" w:type="pct"/>
                  <w:noWrap w:val="0"/>
                  <w:vAlign w:val="center"/>
                </w:tcPr>
                <w:p w14:paraId="2CDEA9E5">
                  <w:pPr>
                    <w:adjustRightInd w:val="0"/>
                    <w:snapToGrid w:val="0"/>
                    <w:jc w:val="center"/>
                    <w:rPr>
                      <w:rFonts w:hint="default"/>
                      <w:color w:val="000000"/>
                      <w:lang w:val="en-US" w:eastAsia="zh-CN"/>
                    </w:rPr>
                  </w:pPr>
                  <w:r>
                    <w:rPr>
                      <w:rFonts w:hint="eastAsia"/>
                      <w:color w:val="000000"/>
                      <w:lang w:val="en-US" w:eastAsia="zh-CN"/>
                    </w:rPr>
                    <w:t>无组织</w:t>
                  </w:r>
                </w:p>
              </w:tc>
              <w:tc>
                <w:tcPr>
                  <w:tcW w:w="1305" w:type="dxa"/>
                  <w:noWrap w:val="0"/>
                  <w:vAlign w:val="center"/>
                </w:tcPr>
                <w:p w14:paraId="0745053D">
                  <w:pPr>
                    <w:adjustRightInd w:val="0"/>
                    <w:snapToGrid w:val="0"/>
                    <w:jc w:val="center"/>
                    <w:rPr>
                      <w:rFonts w:hint="default"/>
                      <w:color w:val="000000"/>
                      <w:lang w:val="en-US" w:eastAsia="zh-CN"/>
                    </w:rPr>
                  </w:pPr>
                  <w:r>
                    <w:rPr>
                      <w:color w:val="auto"/>
                      <w:kern w:val="0"/>
                      <w:szCs w:val="21"/>
                    </w:rPr>
                    <w:t>厂界</w:t>
                  </w:r>
                </w:p>
              </w:tc>
              <w:tc>
                <w:tcPr>
                  <w:tcW w:w="347" w:type="pct"/>
                  <w:noWrap w:val="0"/>
                  <w:vAlign w:val="center"/>
                </w:tcPr>
                <w:p w14:paraId="3AA76914">
                  <w:pPr>
                    <w:adjustRightInd w:val="0"/>
                    <w:snapToGrid w:val="0"/>
                    <w:jc w:val="center"/>
                    <w:rPr>
                      <w:rFonts w:hint="default"/>
                      <w:color w:val="000000"/>
                      <w:lang w:val="en-US" w:eastAsia="zh-CN"/>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328" w:type="pct"/>
                  <w:noWrap w:val="0"/>
                  <w:vAlign w:val="center"/>
                </w:tcPr>
                <w:p w14:paraId="390F8C63">
                  <w:pPr>
                    <w:adjustRightInd w:val="0"/>
                    <w:snapToGrid w:val="0"/>
                    <w:jc w:val="center"/>
                    <w:rPr>
                      <w:rFonts w:hint="default"/>
                      <w:color w:val="000000"/>
                      <w:lang w:val="en-US" w:eastAsia="zh-CN"/>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319" w:type="pct"/>
                  <w:noWrap w:val="0"/>
                  <w:vAlign w:val="center"/>
                </w:tcPr>
                <w:p w14:paraId="2AE127C7">
                  <w:pPr>
                    <w:adjustRightInd w:val="0"/>
                    <w:snapToGrid w:val="0"/>
                    <w:jc w:val="center"/>
                    <w:rPr>
                      <w:rFonts w:hint="default"/>
                      <w:color w:val="000000"/>
                      <w:lang w:val="en-US" w:eastAsia="zh-CN"/>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1131" w:type="pct"/>
                  <w:noWrap w:val="0"/>
                  <w:vAlign w:val="center"/>
                </w:tcPr>
                <w:p w14:paraId="296A4BBD">
                  <w:pPr>
                    <w:adjustRightInd w:val="0"/>
                    <w:snapToGrid w:val="0"/>
                    <w:jc w:val="center"/>
                    <w:rPr>
                      <w:rFonts w:hint="default"/>
                      <w:color w:val="000000"/>
                      <w:lang w:val="en-US" w:eastAsia="zh-CN"/>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537" w:type="pct"/>
                  <w:noWrap w:val="0"/>
                  <w:vAlign w:val="center"/>
                </w:tcPr>
                <w:p w14:paraId="616C61D8">
                  <w:pPr>
                    <w:adjustRightInd w:val="0"/>
                    <w:snapToGrid w:val="0"/>
                    <w:jc w:val="center"/>
                    <w:rPr>
                      <w:rFonts w:hint="default"/>
                      <w:color w:val="000000"/>
                      <w:lang w:val="en-US" w:eastAsia="zh-CN"/>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475" w:type="pct"/>
                  <w:noWrap w:val="0"/>
                  <w:vAlign w:val="center"/>
                </w:tcPr>
                <w:p w14:paraId="70D4476E">
                  <w:pPr>
                    <w:adjustRightInd w:val="0"/>
                    <w:snapToGrid w:val="0"/>
                    <w:jc w:val="center"/>
                    <w:rPr>
                      <w:rFonts w:hint="default"/>
                      <w:color w:val="000000"/>
                      <w:lang w:val="en-US" w:eastAsia="zh-CN"/>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厂界</w:t>
                  </w:r>
                </w:p>
              </w:tc>
              <w:tc>
                <w:tcPr>
                  <w:tcW w:w="475" w:type="pct"/>
                  <w:noWrap w:val="0"/>
                  <w:vAlign w:val="center"/>
                </w:tcPr>
                <w:p w14:paraId="6569C0FF">
                  <w:pPr>
                    <w:adjustRightInd w:val="0"/>
                    <w:snapToGrid w:val="0"/>
                    <w:jc w:val="center"/>
                    <w:rPr>
                      <w:rFonts w:hint="default"/>
                      <w:color w:val="000000"/>
                      <w:lang w:val="en-US" w:eastAsia="zh-CN"/>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颗粒物</w:t>
                  </w:r>
                  <w:r>
                    <w:rPr>
                      <w:rFonts w:hint="eastAsia" w:cs="Times New Roman"/>
                      <w:snapToGrid/>
                      <w:color w:val="000000" w:themeColor="text1"/>
                      <w:spacing w:val="0"/>
                      <w:kern w:val="0"/>
                      <w:position w:val="0"/>
                      <w:sz w:val="21"/>
                      <w:szCs w:val="21"/>
                      <w:lang w:val="en-US" w:eastAsia="zh-CN"/>
                      <w14:textFill>
                        <w14:solidFill>
                          <w14:schemeClr w14:val="tx1"/>
                        </w14:solidFill>
                      </w14:textFill>
                    </w:rPr>
                    <w:t>、非甲烷总烃、氯乙烯、氯化氢、臭气浓度</w:t>
                  </w:r>
                </w:p>
              </w:tc>
              <w:tc>
                <w:tcPr>
                  <w:tcW w:w="483" w:type="pct"/>
                  <w:noWrap w:val="0"/>
                  <w:vAlign w:val="center"/>
                </w:tcPr>
                <w:p w14:paraId="757FAE06">
                  <w:pPr>
                    <w:adjustRightInd w:val="0"/>
                    <w:snapToGrid w:val="0"/>
                    <w:jc w:val="center"/>
                    <w:rPr>
                      <w:rFonts w:hint="default"/>
                      <w:color w:val="000000"/>
                      <w:lang w:val="en-US" w:eastAsia="zh-CN"/>
                    </w:rPr>
                  </w:pPr>
                  <w:r>
                    <w:rPr>
                      <w:rFonts w:hint="default" w:ascii="Times New Roman" w:hAnsi="Times New Roman" w:eastAsia="宋体" w:cs="Times New Roman"/>
                      <w:snapToGrid/>
                      <w:color w:val="000000" w:themeColor="text1"/>
                      <w:spacing w:val="0"/>
                      <w:kern w:val="0"/>
                      <w:position w:val="0"/>
                      <w:sz w:val="21"/>
                      <w:szCs w:val="21"/>
                      <w14:textFill>
                        <w14:solidFill>
                          <w14:schemeClr w14:val="tx1"/>
                        </w14:solidFill>
                      </w14:textFill>
                    </w:rPr>
                    <w:t>1次/年</w:t>
                  </w:r>
                </w:p>
              </w:tc>
            </w:tr>
            <w:tr w14:paraId="2961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8" w:type="pct"/>
                  <w:noWrap w:val="0"/>
                  <w:vAlign w:val="center"/>
                </w:tcPr>
                <w:p w14:paraId="40367304">
                  <w:pPr>
                    <w:adjustRightInd w:val="0"/>
                    <w:snapToGrid w:val="0"/>
                    <w:jc w:val="center"/>
                    <w:rPr>
                      <w:rFonts w:hint="eastAsia"/>
                      <w:color w:val="000000"/>
                      <w:lang w:val="en-US" w:eastAsia="zh-CN"/>
                    </w:rPr>
                  </w:pPr>
                  <w:r>
                    <w:rPr>
                      <w:rFonts w:hint="eastAsia"/>
                      <w:color w:val="000000"/>
                      <w:lang w:val="en-US" w:eastAsia="zh-CN"/>
                    </w:rPr>
                    <w:t>无组织</w:t>
                  </w:r>
                </w:p>
              </w:tc>
              <w:tc>
                <w:tcPr>
                  <w:tcW w:w="1305" w:type="dxa"/>
                  <w:noWrap w:val="0"/>
                  <w:vAlign w:val="center"/>
                </w:tcPr>
                <w:p w14:paraId="554BC852">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color w:val="auto"/>
                      <w:kern w:val="0"/>
                      <w:szCs w:val="21"/>
                    </w:rPr>
                    <w:t>厂</w:t>
                  </w:r>
                  <w:r>
                    <w:rPr>
                      <w:rFonts w:hint="eastAsia"/>
                      <w:color w:val="auto"/>
                      <w:kern w:val="0"/>
                      <w:szCs w:val="21"/>
                      <w:lang w:val="en-US" w:eastAsia="zh-CN"/>
                    </w:rPr>
                    <w:t>区</w:t>
                  </w:r>
                  <w:r>
                    <w:rPr>
                      <w:rFonts w:hint="eastAsia"/>
                      <w:color w:val="auto"/>
                      <w:kern w:val="0"/>
                      <w:szCs w:val="21"/>
                      <w:lang w:eastAsia="zh-CN"/>
                    </w:rPr>
                    <w:t>内</w:t>
                  </w:r>
                </w:p>
              </w:tc>
              <w:tc>
                <w:tcPr>
                  <w:tcW w:w="347" w:type="pct"/>
                  <w:noWrap w:val="0"/>
                  <w:vAlign w:val="center"/>
                </w:tcPr>
                <w:p w14:paraId="667821BE">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328" w:type="pct"/>
                  <w:noWrap w:val="0"/>
                  <w:vAlign w:val="center"/>
                </w:tcPr>
                <w:p w14:paraId="46DAF1FD">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319" w:type="pct"/>
                  <w:noWrap w:val="0"/>
                  <w:vAlign w:val="center"/>
                </w:tcPr>
                <w:p w14:paraId="5F98A3CE">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1131" w:type="pct"/>
                  <w:noWrap w:val="0"/>
                  <w:vAlign w:val="center"/>
                </w:tcPr>
                <w:p w14:paraId="7D3D36DF">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537" w:type="pct"/>
                  <w:noWrap w:val="0"/>
                  <w:vAlign w:val="center"/>
                </w:tcPr>
                <w:p w14:paraId="58EBACFF">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w:t>
                  </w:r>
                </w:p>
              </w:tc>
              <w:tc>
                <w:tcPr>
                  <w:tcW w:w="475" w:type="pct"/>
                  <w:noWrap w:val="0"/>
                  <w:vAlign w:val="center"/>
                </w:tcPr>
                <w:p w14:paraId="23331FCD">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color w:val="auto"/>
                      <w:kern w:val="0"/>
                      <w:szCs w:val="21"/>
                    </w:rPr>
                    <w:t>厂</w:t>
                  </w:r>
                  <w:r>
                    <w:rPr>
                      <w:rFonts w:hint="eastAsia"/>
                      <w:color w:val="auto"/>
                      <w:kern w:val="0"/>
                      <w:szCs w:val="21"/>
                      <w:lang w:val="en-US" w:eastAsia="zh-CN"/>
                    </w:rPr>
                    <w:t>区</w:t>
                  </w:r>
                  <w:r>
                    <w:rPr>
                      <w:rFonts w:hint="eastAsia"/>
                      <w:color w:val="auto"/>
                      <w:kern w:val="0"/>
                      <w:szCs w:val="21"/>
                      <w:lang w:eastAsia="zh-CN"/>
                    </w:rPr>
                    <w:t>内</w:t>
                  </w:r>
                </w:p>
              </w:tc>
              <w:tc>
                <w:tcPr>
                  <w:tcW w:w="475" w:type="pct"/>
                  <w:noWrap w:val="0"/>
                  <w:vAlign w:val="center"/>
                </w:tcPr>
                <w:p w14:paraId="584B2CE7">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eastAsia" w:cs="Times New Roman"/>
                      <w:snapToGrid/>
                      <w:color w:val="000000" w:themeColor="text1"/>
                      <w:spacing w:val="0"/>
                      <w:kern w:val="0"/>
                      <w:position w:val="0"/>
                      <w:sz w:val="21"/>
                      <w:szCs w:val="21"/>
                      <w:lang w:val="en-US" w:eastAsia="zh-CN"/>
                      <w14:textFill>
                        <w14:solidFill>
                          <w14:schemeClr w14:val="tx1"/>
                        </w14:solidFill>
                      </w14:textFill>
                    </w:rPr>
                    <w:t>非甲烷总烃</w:t>
                  </w:r>
                </w:p>
              </w:tc>
              <w:tc>
                <w:tcPr>
                  <w:tcW w:w="483" w:type="pct"/>
                  <w:noWrap w:val="0"/>
                  <w:vAlign w:val="center"/>
                </w:tcPr>
                <w:p w14:paraId="64948AE5">
                  <w:pPr>
                    <w:adjustRightInd w:val="0"/>
                    <w:snapToGrid w:val="0"/>
                    <w:jc w:val="center"/>
                    <w:rPr>
                      <w:rFonts w:hint="default" w:ascii="Times New Roman" w:hAnsi="Times New Roman" w:eastAsia="宋体" w:cs="Times New Roman"/>
                      <w:snapToGrid/>
                      <w:color w:val="000000" w:themeColor="text1"/>
                      <w:spacing w:val="0"/>
                      <w:kern w:val="0"/>
                      <w:position w:val="0"/>
                      <w:sz w:val="21"/>
                      <w:szCs w:val="21"/>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14:textFill>
                        <w14:solidFill>
                          <w14:schemeClr w14:val="tx1"/>
                        </w14:solidFill>
                      </w14:textFill>
                    </w:rPr>
                    <w:t>1次/年</w:t>
                  </w:r>
                </w:p>
              </w:tc>
            </w:tr>
          </w:tbl>
          <w:p w14:paraId="201605CF">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default"/>
                <w:color w:val="0000FF"/>
                <w:szCs w:val="24"/>
                <w:lang w:val="en-US" w:eastAsia="zh-CN"/>
              </w:rPr>
            </w:pPr>
          </w:p>
          <w:p w14:paraId="4329E9B3">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both"/>
              <w:textAlignment w:val="auto"/>
              <w:rPr>
                <w:rFonts w:hint="default" w:eastAsia="宋体"/>
                <w:color w:val="0000FF"/>
                <w:szCs w:val="24"/>
                <w:lang w:val="en-US" w:eastAsia="zh-CN"/>
              </w:rPr>
            </w:pPr>
          </w:p>
        </w:tc>
      </w:tr>
    </w:tbl>
    <w:p w14:paraId="602A3D3A">
      <w:pPr>
        <w:pStyle w:val="14"/>
        <w:ind w:left="0" w:leftChars="0" w:firstLine="0" w:firstLineChars="0"/>
        <w:rPr>
          <w:rFonts w:hint="eastAsia"/>
        </w:rPr>
        <w:sectPr>
          <w:pgSz w:w="16840" w:h="11907" w:orient="landscape"/>
          <w:pgMar w:top="1531" w:right="1701" w:bottom="1531" w:left="2127"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4"/>
        <w:tblW w:w="890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02"/>
        <w:gridCol w:w="8406"/>
      </w:tblGrid>
      <w:tr w14:paraId="6A7409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9" w:hRule="atLeast"/>
          <w:jc w:val="center"/>
        </w:trPr>
        <w:tc>
          <w:tcPr>
            <w:tcW w:w="502" w:type="dxa"/>
            <w:tcBorders>
              <w:tl2br w:val="nil"/>
              <w:tr2bl w:val="nil"/>
            </w:tcBorders>
            <w:noWrap w:val="0"/>
            <w:tcMar>
              <w:left w:w="28" w:type="dxa"/>
              <w:right w:w="28" w:type="dxa"/>
            </w:tcMar>
            <w:vAlign w:val="center"/>
          </w:tcPr>
          <w:p w14:paraId="48C42B15">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运营</w:t>
            </w:r>
          </w:p>
          <w:p w14:paraId="1DAAA5BC">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期环</w:t>
            </w:r>
          </w:p>
          <w:p w14:paraId="50EAC748">
            <w:pPr>
              <w:pStyle w:val="22"/>
              <w:adjustRightInd w:val="0"/>
              <w:snapToGrid w:val="0"/>
              <w:spacing w:before="0" w:beforeAutospacing="0" w:after="0" w:afterAutospacing="0"/>
              <w:jc w:val="center"/>
              <w:rPr>
                <w:rFonts w:hint="eastAsia" w:ascii="Times New Roman" w:hAnsi="Times New Roman" w:eastAsia="宋体" w:cs="Times New Roman"/>
                <w:bCs/>
                <w:kern w:val="2"/>
                <w:sz w:val="24"/>
                <w:szCs w:val="24"/>
                <w:lang w:val="en-US" w:eastAsia="zh-CN"/>
              </w:rPr>
            </w:pPr>
            <w:r>
              <w:rPr>
                <w:rFonts w:hint="default" w:ascii="Times New Roman" w:hAnsi="Times New Roman" w:eastAsia="宋体" w:cs="Times New Roman"/>
                <w:bCs/>
                <w:kern w:val="2"/>
                <w:sz w:val="24"/>
                <w:szCs w:val="24"/>
              </w:rPr>
              <w:t>境影</w:t>
            </w:r>
            <w:r>
              <w:rPr>
                <w:rFonts w:hint="eastAsia" w:ascii="Times New Roman" w:hAnsi="Times New Roman" w:cs="Times New Roman"/>
                <w:bCs/>
                <w:kern w:val="2"/>
                <w:sz w:val="24"/>
                <w:szCs w:val="24"/>
                <w:lang w:val="en-US" w:eastAsia="zh-CN"/>
              </w:rPr>
              <w:t>响</w:t>
            </w:r>
          </w:p>
          <w:p w14:paraId="7B2E466E">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和</w:t>
            </w:r>
          </w:p>
          <w:p w14:paraId="1E79A920">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保护</w:t>
            </w:r>
          </w:p>
          <w:p w14:paraId="0E85114B">
            <w:pPr>
              <w:pStyle w:val="22"/>
              <w:adjustRightInd w:val="0"/>
              <w:snapToGrid w:val="0"/>
              <w:spacing w:before="0" w:beforeAutospacing="0" w:after="0" w:afterAutospacing="0"/>
              <w:jc w:val="center"/>
              <w:rPr>
                <w:rFonts w:hint="default" w:ascii="Times New Roman" w:hAnsi="Times New Roman" w:eastAsia="宋体" w:cs="Times New Roman"/>
                <w:bCs/>
                <w:kern w:val="2"/>
                <w:sz w:val="24"/>
                <w:szCs w:val="24"/>
              </w:rPr>
            </w:pPr>
            <w:r>
              <w:rPr>
                <w:rFonts w:hint="default" w:ascii="Times New Roman" w:hAnsi="Times New Roman" w:eastAsia="宋体" w:cs="Times New Roman"/>
                <w:bCs/>
                <w:kern w:val="2"/>
                <w:sz w:val="24"/>
                <w:szCs w:val="24"/>
              </w:rPr>
              <w:t>措施</w:t>
            </w:r>
          </w:p>
        </w:tc>
        <w:tc>
          <w:tcPr>
            <w:tcW w:w="8406" w:type="dxa"/>
            <w:tcBorders>
              <w:tl2br w:val="nil"/>
              <w:tr2bl w:val="nil"/>
            </w:tcBorders>
            <w:noWrap w:val="0"/>
            <w:vAlign w:val="top"/>
          </w:tcPr>
          <w:p w14:paraId="79D5CC8C">
            <w:pPr>
              <w:adjustRightInd w:val="0"/>
              <w:snapToGrid w:val="0"/>
              <w:spacing w:before="120" w:beforeLines="50" w:line="360" w:lineRule="auto"/>
              <w:ind w:firstLine="482" w:firstLineChars="200"/>
              <w:rPr>
                <w:rFonts w:hint="default" w:ascii="Times New Roman" w:hAnsi="Times New Roman" w:eastAsia="宋体" w:cs="Times New Roman"/>
                <w:b/>
                <w:color w:val="auto"/>
                <w:sz w:val="24"/>
              </w:rPr>
            </w:pPr>
            <w:r>
              <w:rPr>
                <w:rFonts w:hint="default" w:ascii="Times New Roman" w:hAnsi="Times New Roman" w:eastAsia="宋体" w:cs="Times New Roman"/>
                <w:b/>
                <w:color w:val="auto"/>
                <w:sz w:val="24"/>
              </w:rPr>
              <w:t>废气</w:t>
            </w:r>
            <w:r>
              <w:rPr>
                <w:rFonts w:hint="eastAsia" w:ascii="Times New Roman" w:hAnsi="Times New Roman" w:eastAsia="宋体" w:cs="Times New Roman"/>
                <w:b/>
                <w:color w:val="auto"/>
                <w:sz w:val="24"/>
                <w:lang w:val="en-US" w:eastAsia="zh-CN"/>
              </w:rPr>
              <w:t>工艺可行性</w:t>
            </w:r>
            <w:r>
              <w:rPr>
                <w:rFonts w:hint="default" w:ascii="Times New Roman" w:hAnsi="Times New Roman" w:eastAsia="宋体" w:cs="Times New Roman"/>
                <w:b/>
                <w:color w:val="auto"/>
                <w:sz w:val="24"/>
              </w:rPr>
              <w:t>分析</w:t>
            </w:r>
          </w:p>
          <w:p w14:paraId="0D3637D2">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0" w:firstLineChars="200"/>
              <w:textAlignment w:val="auto"/>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color w:val="auto"/>
                <w:sz w:val="24"/>
                <w:szCs w:val="24"/>
                <w:lang w:val="en-US" w:eastAsia="zh-CN"/>
              </w:rPr>
              <w:t>本项目废气主要是料、牵引切割、精确切割、砂光打磨废气</w:t>
            </w:r>
            <w:r>
              <w:rPr>
                <w:rFonts w:hint="eastAsia" w:cs="Times New Roman"/>
                <w:color w:val="auto"/>
                <w:sz w:val="24"/>
                <w:szCs w:val="24"/>
                <w:lang w:val="en-US" w:eastAsia="zh-CN"/>
              </w:rPr>
              <w:t>和熔融挤出废气。</w:t>
            </w:r>
            <w:r>
              <w:rPr>
                <w:rFonts w:hint="eastAsia" w:cs="Times New Roman"/>
                <w:color w:val="000000" w:themeColor="text1"/>
                <w:kern w:val="2"/>
                <w:sz w:val="24"/>
                <w:szCs w:val="24"/>
                <w:lang w:val="en-US" w:eastAsia="zh-CN" w:bidi="ar-SA"/>
                <w14:textFill>
                  <w14:solidFill>
                    <w14:schemeClr w14:val="tx1"/>
                  </w14:solidFill>
                </w14:textFill>
              </w:rPr>
              <w:t>混料、牵引切割、精确切割、砂光打磨废气采用集气罩收集后经布袋除尘器处理，通过15m高排气筒（DA006）排放；熔融挤出废气采用集气罩收集后经碱液喷淋+除雾器+CO催化燃烧装置处理</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w:t>
            </w:r>
            <w:r>
              <w:rPr>
                <w:rFonts w:hint="eastAsia" w:cs="Times New Roman"/>
                <w:color w:val="000000" w:themeColor="text1"/>
                <w:kern w:val="2"/>
                <w:sz w:val="24"/>
                <w:szCs w:val="24"/>
                <w:lang w:val="en-US" w:eastAsia="zh-CN" w:bidi="ar-SA"/>
                <w14:textFill>
                  <w14:solidFill>
                    <w14:schemeClr w14:val="tx1"/>
                  </w14:solidFill>
                </w14:textFill>
              </w:rPr>
              <w:t>通过15m高排气筒（DA007）排放。</w:t>
            </w:r>
            <w:r>
              <w:rPr>
                <w:rFonts w:hint="default" w:ascii="Times New Roman" w:hAnsi="Times New Roman" w:eastAsia="宋体" w:cs="Times New Roman"/>
                <w:color w:val="auto"/>
                <w:kern w:val="0"/>
                <w:sz w:val="24"/>
                <w:szCs w:val="24"/>
                <w:lang w:val="en-US" w:eastAsia="zh-CN" w:bidi="ar"/>
              </w:rPr>
              <w:t>根据《排污许可证申请与核发技术规范 橡胶和塑料制品工业》（HJ1122-2020）</w:t>
            </w:r>
            <w:r>
              <w:rPr>
                <w:rFonts w:hint="eastAsia" w:cs="Times New Roman"/>
                <w:color w:val="auto"/>
                <w:kern w:val="0"/>
                <w:sz w:val="24"/>
                <w:szCs w:val="24"/>
                <w:lang w:val="en-US" w:eastAsia="zh-CN" w:bidi="ar"/>
              </w:rPr>
              <w:t>表A.2 塑料制品工业排污单位废气污染防治可行技术参考表，颗粒物污染治理可行技术为</w:t>
            </w:r>
            <w:r>
              <w:rPr>
                <w:rFonts w:hint="default" w:ascii="Times New Roman" w:hAnsi="Times New Roman" w:cs="Times New Roman"/>
                <w:color w:val="auto"/>
                <w:kern w:val="0"/>
                <w:sz w:val="24"/>
                <w:szCs w:val="24"/>
                <w:lang w:val="en-US" w:eastAsia="zh-CN" w:bidi="ar"/>
              </w:rPr>
              <w:t>①袋式除尘。②滤筒/滤芯除尘。本项目颗粒物治理技术采用布袋除尘器处理为可行技术。非甲烷总烃污染治理可行技术为①喷淋。②吸附</w:t>
            </w:r>
            <w:r>
              <w:rPr>
                <w:rFonts w:hint="eastAsia" w:cs="Times New Roman"/>
                <w:color w:val="auto"/>
                <w:kern w:val="0"/>
                <w:sz w:val="24"/>
                <w:szCs w:val="24"/>
                <w:lang w:val="en-US" w:eastAsia="zh-CN" w:bidi="ar"/>
              </w:rPr>
              <w:t>；</w:t>
            </w:r>
            <w:r>
              <w:rPr>
                <w:rFonts w:hint="default" w:ascii="Times New Roman" w:hAnsi="Times New Roman" w:cs="Times New Roman"/>
                <w:color w:val="auto"/>
                <w:kern w:val="0"/>
                <w:sz w:val="24"/>
                <w:szCs w:val="24"/>
                <w:lang w:val="en-US" w:eastAsia="zh-CN" w:bidi="ar"/>
              </w:rPr>
              <w:t>③吸附浓缩+热力燃烧/催化燃烧。本项目采用</w:t>
            </w:r>
            <w:r>
              <w:rPr>
                <w:rFonts w:hint="default" w:ascii="Times New Roman" w:hAnsi="Times New Roman" w:cs="Times New Roman"/>
                <w:color w:val="000000" w:themeColor="text1"/>
                <w:kern w:val="2"/>
                <w:sz w:val="24"/>
                <w:szCs w:val="24"/>
                <w:lang w:val="en-US" w:eastAsia="zh-CN" w:bidi="ar-SA"/>
                <w14:textFill>
                  <w14:solidFill>
                    <w14:schemeClr w14:val="tx1"/>
                  </w14:solidFill>
                </w14:textFill>
              </w:rPr>
              <w:t>碱液喷淋+除雾器+CO催化燃烧属于可行技术，</w:t>
            </w:r>
            <w:r>
              <w:rPr>
                <w:rFonts w:hint="eastAsia" w:cs="Times New Roman"/>
                <w:color w:val="000000" w:themeColor="text1"/>
                <w:kern w:val="2"/>
                <w:sz w:val="24"/>
                <w:szCs w:val="24"/>
                <w:lang w:val="en-US" w:eastAsia="zh-CN" w:bidi="ar-SA"/>
                <w14:textFill>
                  <w14:solidFill>
                    <w14:schemeClr w14:val="tx1"/>
                  </w14:solidFill>
                </w14:textFill>
              </w:rPr>
              <w:t>熔融挤出工艺所产生氯化氢气体采用碱液喷淋处理，硫化氢气体易溶于水，故采用碱液喷淋处理为可行技术。</w:t>
            </w:r>
            <w:r>
              <w:rPr>
                <w:rFonts w:hint="default" w:ascii="Times New Roman" w:hAnsi="Times New Roman" w:cs="Times New Roman"/>
                <w:color w:val="000000" w:themeColor="text1"/>
                <w:kern w:val="2"/>
                <w:sz w:val="24"/>
                <w:szCs w:val="24"/>
                <w:lang w:val="en-US" w:eastAsia="zh-CN" w:bidi="ar-SA"/>
                <w14:textFill>
                  <w14:solidFill>
                    <w14:schemeClr w14:val="tx1"/>
                  </w14:solidFill>
                </w14:textFill>
              </w:rPr>
              <w:t>具体对照详见下表</w:t>
            </w:r>
            <w:r>
              <w:rPr>
                <w:rFonts w:hint="default" w:ascii="Times New Roman" w:hAnsi="Times New Roman" w:eastAsia="宋体" w:cs="Times New Roman"/>
                <w:color w:val="auto"/>
                <w:kern w:val="0"/>
                <w:sz w:val="24"/>
                <w:szCs w:val="24"/>
                <w:lang w:val="en-US" w:eastAsia="zh-CN" w:bidi="ar"/>
              </w:rPr>
              <w:t>。</w:t>
            </w:r>
          </w:p>
          <w:p w14:paraId="330A01BA">
            <w:pPr>
              <w:keepNext w:val="0"/>
              <w:keepLines w:val="0"/>
              <w:pageBreakBefore w:val="0"/>
              <w:widowControl w:val="0"/>
              <w:kinsoku/>
              <w:wordWrap/>
              <w:overflowPunct/>
              <w:topLinePunct w:val="0"/>
              <w:autoSpaceDE/>
              <w:autoSpaceDN/>
              <w:bidi w:val="0"/>
              <w:snapToGrid w:val="0"/>
              <w:spacing w:line="360" w:lineRule="auto"/>
              <w:jc w:val="center"/>
              <w:textAlignment w:val="auto"/>
              <w:rPr>
                <w:rFonts w:hint="eastAsia" w:ascii="宋体" w:hAnsi="宋体" w:eastAsia="宋体" w:cs="宋体"/>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表4.</w:t>
            </w:r>
            <w:r>
              <w:rPr>
                <w:rFonts w:hint="eastAsia" w:cs="Times New Roman"/>
                <w:b/>
                <w:bCs/>
                <w:color w:val="auto"/>
                <w:kern w:val="0"/>
                <w:sz w:val="24"/>
                <w:szCs w:val="24"/>
                <w:lang w:val="en-US" w:eastAsia="zh-CN" w:bidi="ar"/>
              </w:rPr>
              <w:t>4</w:t>
            </w:r>
            <w:r>
              <w:rPr>
                <w:rFonts w:hint="default" w:ascii="Times New Roman" w:hAnsi="Times New Roman" w:eastAsia="宋体" w:cs="Times New Roman"/>
                <w:b/>
                <w:bCs/>
                <w:color w:val="auto"/>
                <w:kern w:val="0"/>
                <w:sz w:val="24"/>
                <w:szCs w:val="24"/>
                <w:lang w:val="en-US" w:eastAsia="zh-CN" w:bidi="ar"/>
              </w:rPr>
              <w:t xml:space="preserve"> 废气污染治理措施可行性分</w:t>
            </w:r>
            <w:r>
              <w:rPr>
                <w:rFonts w:hint="eastAsia" w:ascii="宋体" w:hAnsi="宋体" w:eastAsia="宋体" w:cs="宋体"/>
                <w:b/>
                <w:bCs/>
                <w:color w:val="auto"/>
                <w:kern w:val="0"/>
                <w:sz w:val="24"/>
                <w:szCs w:val="24"/>
                <w:lang w:val="en-US" w:eastAsia="zh-CN" w:bidi="ar"/>
              </w:rPr>
              <w:t>析</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1066"/>
              <w:gridCol w:w="1955"/>
              <w:gridCol w:w="1785"/>
              <w:gridCol w:w="1470"/>
              <w:gridCol w:w="841"/>
            </w:tblGrid>
            <w:tr w14:paraId="369A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8" w:type="pct"/>
                  <w:noWrap w:val="0"/>
                  <w:vAlign w:val="center"/>
                </w:tcPr>
                <w:p w14:paraId="648EECA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废气种类</w:t>
                  </w:r>
                </w:p>
              </w:tc>
              <w:tc>
                <w:tcPr>
                  <w:tcW w:w="651" w:type="pct"/>
                  <w:noWrap w:val="0"/>
                  <w:vAlign w:val="center"/>
                </w:tcPr>
                <w:p w14:paraId="60EE4E8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污染物</w:t>
                  </w:r>
                </w:p>
                <w:p w14:paraId="1F78A80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种类</w:t>
                  </w:r>
                </w:p>
              </w:tc>
              <w:tc>
                <w:tcPr>
                  <w:tcW w:w="1195" w:type="pct"/>
                  <w:noWrap w:val="0"/>
                  <w:vAlign w:val="center"/>
                </w:tcPr>
                <w:p w14:paraId="360BCBD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规定可</w:t>
                  </w:r>
                </w:p>
                <w:p w14:paraId="6B50A48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行技术</w:t>
                  </w:r>
                </w:p>
              </w:tc>
              <w:tc>
                <w:tcPr>
                  <w:tcW w:w="1091" w:type="pct"/>
                  <w:noWrap w:val="0"/>
                  <w:vAlign w:val="center"/>
                </w:tcPr>
                <w:p w14:paraId="1B67333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可行技</w:t>
                  </w:r>
                </w:p>
                <w:p w14:paraId="0673EED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术来源</w:t>
                  </w:r>
                </w:p>
              </w:tc>
              <w:tc>
                <w:tcPr>
                  <w:tcW w:w="898" w:type="pct"/>
                  <w:noWrap w:val="0"/>
                  <w:vAlign w:val="center"/>
                </w:tcPr>
                <w:p w14:paraId="5B64C95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本项目采取措施</w:t>
                  </w:r>
                </w:p>
              </w:tc>
              <w:tc>
                <w:tcPr>
                  <w:tcW w:w="514" w:type="pct"/>
                  <w:noWrap w:val="0"/>
                  <w:vAlign w:val="center"/>
                </w:tcPr>
                <w:p w14:paraId="257FEBB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是否</w:t>
                  </w:r>
                </w:p>
                <w:p w14:paraId="2809B2E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可行</w:t>
                  </w:r>
                </w:p>
              </w:tc>
            </w:tr>
            <w:tr w14:paraId="46F9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8" w:type="pct"/>
                  <w:noWrap w:val="0"/>
                  <w:vAlign w:val="center"/>
                </w:tcPr>
                <w:p w14:paraId="35039CF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eastAsia="宋体"/>
                      <w:color w:val="auto"/>
                      <w:sz w:val="21"/>
                      <w:szCs w:val="21"/>
                      <w:lang w:val="en-US" w:eastAsia="zh-CN"/>
                    </w:rPr>
                    <w:t>混料、切割、砂光打磨废气</w:t>
                  </w:r>
                </w:p>
              </w:tc>
              <w:tc>
                <w:tcPr>
                  <w:tcW w:w="651" w:type="pct"/>
                  <w:noWrap w:val="0"/>
                  <w:vAlign w:val="center"/>
                </w:tcPr>
                <w:p w14:paraId="2BE7C68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1195" w:type="pct"/>
                  <w:noWrap w:val="0"/>
                  <w:vAlign w:val="center"/>
                </w:tcPr>
                <w:p w14:paraId="0C2F642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①袋式除尘。②滤筒/滤芯除尘</w:t>
                  </w:r>
                </w:p>
              </w:tc>
              <w:tc>
                <w:tcPr>
                  <w:tcW w:w="1091" w:type="pct"/>
                  <w:vMerge w:val="restart"/>
                  <w:noWrap w:val="0"/>
                  <w:vAlign w:val="center"/>
                </w:tcPr>
                <w:p w14:paraId="24EFEF64">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《排污许可证申请与核发技术规范 橡胶和塑料制品工业》（HJ1122-2020）</w:t>
                  </w:r>
                </w:p>
              </w:tc>
              <w:tc>
                <w:tcPr>
                  <w:tcW w:w="898" w:type="pct"/>
                  <w:noWrap w:val="0"/>
                  <w:vAlign w:val="center"/>
                </w:tcPr>
                <w:p w14:paraId="374CDE75">
                  <w:pPr>
                    <w:adjustRightInd w:val="0"/>
                    <w:snapToGrid w:val="0"/>
                    <w:jc w:val="center"/>
                    <w:rPr>
                      <w:rFonts w:hint="default" w:ascii="Times New Roman" w:hAnsi="Times New Roman" w:eastAsia="宋体" w:cs="Times New Roman"/>
                      <w:color w:val="auto"/>
                      <w:kern w:val="0"/>
                      <w:sz w:val="21"/>
                      <w:szCs w:val="21"/>
                      <w:vertAlign w:val="baseline"/>
                      <w:lang w:val="en-US" w:eastAsia="zh-CN" w:bidi="ar"/>
                    </w:rPr>
                  </w:pPr>
                  <w:r>
                    <w:rPr>
                      <w:rFonts w:hint="eastAsia" w:cs="Times New Roman"/>
                      <w:color w:val="auto"/>
                      <w:kern w:val="0"/>
                      <w:sz w:val="21"/>
                      <w:szCs w:val="21"/>
                      <w:vertAlign w:val="baseline"/>
                      <w:lang w:val="en-US" w:eastAsia="zh-CN" w:bidi="ar"/>
                    </w:rPr>
                    <w:t>布袋除尘器</w:t>
                  </w:r>
                </w:p>
              </w:tc>
              <w:tc>
                <w:tcPr>
                  <w:tcW w:w="514" w:type="pct"/>
                  <w:noWrap w:val="0"/>
                  <w:vAlign w:val="center"/>
                </w:tcPr>
                <w:p w14:paraId="7D737FB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是</w:t>
                  </w:r>
                </w:p>
              </w:tc>
            </w:tr>
            <w:tr w14:paraId="1368B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8" w:type="pct"/>
                  <w:vMerge w:val="restart"/>
                  <w:noWrap w:val="0"/>
                  <w:vAlign w:val="center"/>
                </w:tcPr>
                <w:p w14:paraId="54BF737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lang w:val="en-US" w:eastAsia="zh-CN"/>
                    </w:rPr>
                  </w:pPr>
                  <w:r>
                    <w:rPr>
                      <w:rFonts w:hint="eastAsia" w:cs="Times New Roman"/>
                      <w:b w:val="0"/>
                      <w:bCs w:val="0"/>
                      <w:color w:val="auto"/>
                      <w:sz w:val="21"/>
                      <w:szCs w:val="21"/>
                      <w:lang w:val="en-US" w:eastAsia="zh-CN"/>
                    </w:rPr>
                    <w:t>融熔挤出废气</w:t>
                  </w:r>
                </w:p>
              </w:tc>
              <w:tc>
                <w:tcPr>
                  <w:tcW w:w="651" w:type="pct"/>
                  <w:noWrap w:val="0"/>
                  <w:vAlign w:val="center"/>
                </w:tcPr>
                <w:p w14:paraId="63A2ABC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非甲烷总烃</w:t>
                  </w:r>
                </w:p>
              </w:tc>
              <w:tc>
                <w:tcPr>
                  <w:tcW w:w="1195" w:type="pct"/>
                  <w:noWrap w:val="0"/>
                  <w:vAlign w:val="center"/>
                </w:tcPr>
                <w:p w14:paraId="5552C40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①喷淋。②吸附</w:t>
                  </w:r>
                  <w:r>
                    <w:rPr>
                      <w:rFonts w:hint="eastAsia" w:cs="Times New Roman"/>
                      <w:color w:val="auto"/>
                      <w:kern w:val="0"/>
                      <w:sz w:val="21"/>
                      <w:szCs w:val="21"/>
                      <w:vertAlign w:val="baseline"/>
                      <w:lang w:val="en-US" w:eastAsia="zh-CN" w:bidi="ar"/>
                    </w:rPr>
                    <w:t>；</w:t>
                  </w:r>
                  <w:r>
                    <w:rPr>
                      <w:rFonts w:hint="default" w:ascii="Times New Roman" w:hAnsi="Times New Roman" w:eastAsia="宋体" w:cs="Times New Roman"/>
                      <w:color w:val="auto"/>
                      <w:kern w:val="0"/>
                      <w:sz w:val="21"/>
                      <w:szCs w:val="21"/>
                      <w:vertAlign w:val="baseline"/>
                      <w:lang w:val="en-US" w:eastAsia="zh-CN" w:bidi="ar"/>
                    </w:rPr>
                    <w:t>③吸附浓缩+热力燃烧/催化燃烧</w:t>
                  </w:r>
                </w:p>
              </w:tc>
              <w:tc>
                <w:tcPr>
                  <w:tcW w:w="1091" w:type="pct"/>
                  <w:vMerge w:val="continue"/>
                  <w:noWrap w:val="0"/>
                  <w:vAlign w:val="center"/>
                </w:tcPr>
                <w:p w14:paraId="1341E3D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Times New Roman" w:hAnsi="Times New Roman" w:eastAsia="宋体" w:cs="Times New Roman"/>
                      <w:color w:val="auto"/>
                      <w:kern w:val="0"/>
                      <w:sz w:val="21"/>
                      <w:szCs w:val="21"/>
                      <w:vertAlign w:val="baseline"/>
                      <w:lang w:val="en-US" w:eastAsia="zh-CN" w:bidi="ar"/>
                    </w:rPr>
                  </w:pPr>
                </w:p>
              </w:tc>
              <w:tc>
                <w:tcPr>
                  <w:tcW w:w="898" w:type="pct"/>
                  <w:noWrap w:val="0"/>
                  <w:vAlign w:val="center"/>
                </w:tcPr>
                <w:p w14:paraId="50B16FD1">
                  <w:pPr>
                    <w:adjustRightInd w:val="0"/>
                    <w:snapToGrid w:val="0"/>
                    <w:jc w:val="center"/>
                    <w:rPr>
                      <w:rFonts w:hint="eastAsia" w:cs="Times New Roman"/>
                      <w:color w:val="auto"/>
                      <w:kern w:val="0"/>
                      <w:sz w:val="21"/>
                      <w:szCs w:val="21"/>
                      <w:vertAlign w:val="baseline"/>
                      <w:lang w:val="en-US" w:eastAsia="zh-CN" w:bidi="ar"/>
                    </w:rPr>
                  </w:pPr>
                  <w:r>
                    <w:rPr>
                      <w:rFonts w:hint="eastAsia" w:cs="Times New Roman"/>
                      <w:color w:val="auto"/>
                      <w:kern w:val="0"/>
                      <w:sz w:val="21"/>
                      <w:szCs w:val="21"/>
                      <w:vertAlign w:val="baseline"/>
                      <w:lang w:val="en-US" w:eastAsia="zh-CN" w:bidi="ar"/>
                    </w:rPr>
                    <w:t>碱液喷淋+除雾器+CO催化燃烧装置</w:t>
                  </w:r>
                </w:p>
              </w:tc>
              <w:tc>
                <w:tcPr>
                  <w:tcW w:w="514" w:type="pct"/>
                  <w:noWrap w:val="0"/>
                  <w:vAlign w:val="center"/>
                </w:tcPr>
                <w:p w14:paraId="18689A8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是</w:t>
                  </w:r>
                </w:p>
              </w:tc>
            </w:tr>
            <w:tr w14:paraId="244C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8" w:type="pct"/>
                  <w:vMerge w:val="continue"/>
                  <w:noWrap w:val="0"/>
                  <w:vAlign w:val="center"/>
                </w:tcPr>
                <w:p w14:paraId="624286A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b w:val="0"/>
                      <w:bCs w:val="0"/>
                      <w:color w:val="auto"/>
                      <w:sz w:val="21"/>
                      <w:szCs w:val="21"/>
                      <w:lang w:val="en-US" w:eastAsia="zh-CN"/>
                    </w:rPr>
                  </w:pPr>
                </w:p>
              </w:tc>
              <w:tc>
                <w:tcPr>
                  <w:tcW w:w="651" w:type="pct"/>
                  <w:noWrap w:val="0"/>
                  <w:vAlign w:val="center"/>
                </w:tcPr>
                <w:p w14:paraId="2858135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氯化氢</w:t>
                  </w:r>
                </w:p>
              </w:tc>
              <w:tc>
                <w:tcPr>
                  <w:tcW w:w="1195" w:type="pct"/>
                  <w:noWrap w:val="0"/>
                  <w:vAlign w:val="center"/>
                </w:tcPr>
                <w:p w14:paraId="476345A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eastAsia" w:cs="Times New Roman"/>
                      <w:color w:val="auto"/>
                      <w:kern w:val="0"/>
                      <w:sz w:val="21"/>
                      <w:szCs w:val="21"/>
                      <w:vertAlign w:val="baseline"/>
                      <w:lang w:val="en-US" w:eastAsia="zh-CN" w:bidi="ar"/>
                    </w:rPr>
                    <w:t>/</w:t>
                  </w:r>
                </w:p>
              </w:tc>
              <w:tc>
                <w:tcPr>
                  <w:tcW w:w="1091" w:type="pct"/>
                  <w:noWrap w:val="0"/>
                  <w:vAlign w:val="center"/>
                </w:tcPr>
                <w:p w14:paraId="1AD4B0B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eastAsia" w:cs="Times New Roman"/>
                      <w:color w:val="auto"/>
                      <w:kern w:val="0"/>
                      <w:sz w:val="21"/>
                      <w:szCs w:val="21"/>
                      <w:vertAlign w:val="baseline"/>
                      <w:lang w:val="en-US" w:eastAsia="zh-CN" w:bidi="ar"/>
                    </w:rPr>
                    <w:t>/</w:t>
                  </w:r>
                </w:p>
              </w:tc>
              <w:tc>
                <w:tcPr>
                  <w:tcW w:w="898" w:type="pct"/>
                  <w:noWrap w:val="0"/>
                  <w:vAlign w:val="center"/>
                </w:tcPr>
                <w:p w14:paraId="44CD6C2C">
                  <w:pPr>
                    <w:adjustRightInd w:val="0"/>
                    <w:snapToGrid w:val="0"/>
                    <w:jc w:val="center"/>
                    <w:rPr>
                      <w:rFonts w:hint="eastAsia" w:cs="Times New Roman"/>
                      <w:color w:val="auto"/>
                      <w:kern w:val="0"/>
                      <w:sz w:val="21"/>
                      <w:szCs w:val="21"/>
                      <w:vertAlign w:val="baseline"/>
                      <w:lang w:val="en-US" w:eastAsia="zh-CN" w:bidi="ar"/>
                    </w:rPr>
                  </w:pPr>
                  <w:r>
                    <w:rPr>
                      <w:rFonts w:hint="eastAsia" w:cs="Times New Roman"/>
                      <w:color w:val="auto"/>
                      <w:kern w:val="0"/>
                      <w:sz w:val="21"/>
                      <w:szCs w:val="21"/>
                      <w:vertAlign w:val="baseline"/>
                      <w:lang w:val="en-US" w:eastAsia="zh-CN" w:bidi="ar"/>
                    </w:rPr>
                    <w:t>碱液喷淋</w:t>
                  </w:r>
                </w:p>
              </w:tc>
              <w:tc>
                <w:tcPr>
                  <w:tcW w:w="514" w:type="pct"/>
                  <w:noWrap w:val="0"/>
                  <w:vAlign w:val="center"/>
                </w:tcPr>
                <w:p w14:paraId="27C02B7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kern w:val="0"/>
                      <w:sz w:val="21"/>
                      <w:szCs w:val="21"/>
                      <w:vertAlign w:val="baseline"/>
                      <w:lang w:val="en-US" w:eastAsia="zh-CN" w:bidi="ar"/>
                    </w:rPr>
                  </w:pPr>
                  <w:r>
                    <w:rPr>
                      <w:rFonts w:hint="default" w:ascii="Times New Roman" w:hAnsi="Times New Roman" w:eastAsia="宋体" w:cs="Times New Roman"/>
                      <w:color w:val="auto"/>
                      <w:kern w:val="0"/>
                      <w:sz w:val="21"/>
                      <w:szCs w:val="21"/>
                      <w:vertAlign w:val="baseline"/>
                      <w:lang w:val="en-US" w:eastAsia="zh-CN" w:bidi="ar"/>
                    </w:rPr>
                    <w:t>是</w:t>
                  </w:r>
                </w:p>
              </w:tc>
            </w:tr>
          </w:tbl>
          <w:p w14:paraId="4748DB89">
            <w:pPr>
              <w:keepNext w:val="0"/>
              <w:keepLines w:val="0"/>
              <w:pageBreakBefore w:val="0"/>
              <w:widowControl w:val="0"/>
              <w:kinsoku/>
              <w:wordWrap/>
              <w:overflowPunct/>
              <w:topLinePunct w:val="0"/>
              <w:autoSpaceDE/>
              <w:autoSpaceDN/>
              <w:bidi w:val="0"/>
              <w:adjustRightInd/>
              <w:snapToGrid w:val="0"/>
              <w:spacing w:before="157" w:beforeLines="50" w:line="360" w:lineRule="auto"/>
              <w:ind w:firstLine="480" w:firstLineChars="200"/>
              <w:textAlignment w:val="auto"/>
              <w:rPr>
                <w:rFonts w:hint="eastAsia"/>
                <w:color w:val="auto"/>
                <w:lang w:val="en-US" w:eastAsia="zh-CN"/>
              </w:rPr>
            </w:pPr>
            <w:r>
              <w:rPr>
                <w:rFonts w:hint="eastAsia" w:ascii="宋体" w:hAnsi="宋体" w:eastAsia="宋体" w:cs="宋体"/>
                <w:color w:val="auto"/>
                <w:kern w:val="0"/>
                <w:sz w:val="24"/>
                <w:szCs w:val="24"/>
                <w:lang w:val="en-US" w:eastAsia="zh-CN" w:bidi="ar"/>
              </w:rPr>
              <w:t>综上，本项目采取的大气污染防治措施可行，按照本次环评要求落实后，对大气影响较小。</w:t>
            </w:r>
          </w:p>
          <w:p w14:paraId="6347CA2B">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textAlignment w:val="auto"/>
              <w:rPr>
                <w:rFonts w:hint="eastAsia"/>
                <w:bCs/>
                <w:color w:val="auto"/>
                <w:spacing w:val="-10"/>
                <w:sz w:val="24"/>
              </w:rPr>
            </w:pPr>
            <w:r>
              <w:rPr>
                <w:rFonts w:hint="eastAsia"/>
                <w:b/>
                <w:color w:val="auto"/>
                <w:spacing w:val="-10"/>
                <w:sz w:val="24"/>
              </w:rPr>
              <w:t>非正常工况分析</w:t>
            </w:r>
          </w:p>
          <w:p w14:paraId="1B0E7A22">
            <w:pPr>
              <w:widowControl/>
              <w:adjustRightInd w:val="0"/>
              <w:snapToGrid w:val="0"/>
              <w:spacing w:line="360" w:lineRule="auto"/>
              <w:ind w:firstLine="480" w:firstLineChars="200"/>
              <w:jc w:val="left"/>
              <w:rPr>
                <w:color w:val="auto"/>
                <w:sz w:val="24"/>
              </w:rPr>
            </w:pPr>
            <w:r>
              <w:rPr>
                <w:color w:val="auto"/>
                <w:kern w:val="0"/>
                <w:sz w:val="24"/>
                <w:lang w:bidi="ar"/>
              </w:rPr>
              <w:t>非正常工况是指生产运行阶段的检修、操作不正常或设备故障等引起的一般性事故排放。根据本项目的污染物特点及工程分析，非正常工况</w:t>
            </w:r>
            <w:r>
              <w:rPr>
                <w:rFonts w:hint="eastAsia"/>
                <w:color w:val="auto"/>
                <w:kern w:val="0"/>
                <w:sz w:val="24"/>
                <w:lang w:bidi="ar"/>
              </w:rPr>
              <w:t>主要为环保设施故障，即混料、牵引切割、精确切割、砂光打磨</w:t>
            </w:r>
            <w:r>
              <w:rPr>
                <w:rFonts w:hint="default"/>
                <w:color w:val="auto"/>
                <w:kern w:val="0"/>
                <w:sz w:val="24"/>
                <w:lang w:val="en-US" w:eastAsia="zh-CN" w:bidi="ar"/>
              </w:rPr>
              <w:t>废气</w:t>
            </w:r>
            <w:r>
              <w:rPr>
                <w:rFonts w:hint="eastAsia"/>
                <w:color w:val="auto"/>
                <w:kern w:val="0"/>
                <w:sz w:val="24"/>
                <w:lang w:bidi="ar"/>
              </w:rPr>
              <w:t>处理设施“</w:t>
            </w:r>
            <w:r>
              <w:rPr>
                <w:rFonts w:hint="default"/>
                <w:color w:val="auto"/>
                <w:kern w:val="0"/>
                <w:sz w:val="24"/>
                <w:lang w:val="en-US" w:eastAsia="zh-CN" w:bidi="ar"/>
              </w:rPr>
              <w:t>布袋除尘器</w:t>
            </w:r>
            <w:r>
              <w:rPr>
                <w:rFonts w:hint="eastAsia"/>
                <w:color w:val="auto"/>
                <w:kern w:val="0"/>
                <w:sz w:val="24"/>
                <w:lang w:bidi="ar"/>
              </w:rPr>
              <w:t>”发生故障，引起</w:t>
            </w:r>
            <w:r>
              <w:rPr>
                <w:rFonts w:hint="eastAsia"/>
                <w:color w:val="auto"/>
                <w:kern w:val="0"/>
                <w:sz w:val="24"/>
                <w:lang w:val="en-US" w:eastAsia="zh-CN" w:bidi="ar"/>
              </w:rPr>
              <w:t>颗粒物</w:t>
            </w:r>
            <w:r>
              <w:rPr>
                <w:rFonts w:hint="eastAsia"/>
                <w:color w:val="auto"/>
                <w:kern w:val="0"/>
                <w:sz w:val="24"/>
                <w:lang w:bidi="ar"/>
              </w:rPr>
              <w:t>的事故排放</w:t>
            </w:r>
            <w:r>
              <w:rPr>
                <w:rFonts w:hint="eastAsia"/>
                <w:color w:val="auto"/>
                <w:kern w:val="0"/>
                <w:sz w:val="24"/>
                <w:lang w:eastAsia="zh-CN" w:bidi="ar"/>
              </w:rPr>
              <w:t>，融熔挤出废气</w:t>
            </w:r>
            <w:r>
              <w:rPr>
                <w:rFonts w:hint="eastAsia"/>
                <w:color w:val="auto"/>
                <w:kern w:val="0"/>
                <w:sz w:val="24"/>
                <w:lang w:bidi="ar"/>
              </w:rPr>
              <w:t>处理设施“碱液喷淋+除雾器+CO催化燃烧装置”发生故障，引起</w:t>
            </w:r>
            <w:r>
              <w:rPr>
                <w:rFonts w:hint="eastAsia"/>
                <w:color w:val="auto"/>
                <w:kern w:val="0"/>
                <w:sz w:val="24"/>
                <w:lang w:val="en-US" w:eastAsia="zh-CN" w:bidi="ar"/>
              </w:rPr>
              <w:t>非甲烷总烃、氯乙烯、氯化氢</w:t>
            </w:r>
            <w:r>
              <w:rPr>
                <w:rFonts w:hint="eastAsia"/>
                <w:color w:val="auto"/>
                <w:kern w:val="0"/>
                <w:sz w:val="24"/>
                <w:lang w:bidi="ar"/>
              </w:rPr>
              <w:t>的事故排放</w:t>
            </w:r>
            <w:r>
              <w:rPr>
                <w:rFonts w:hint="eastAsia"/>
                <w:color w:val="auto"/>
                <w:kern w:val="0"/>
                <w:sz w:val="24"/>
                <w:lang w:eastAsia="zh-CN" w:bidi="ar"/>
              </w:rPr>
              <w:t>，</w:t>
            </w:r>
            <w:r>
              <w:rPr>
                <w:rFonts w:hint="eastAsia"/>
                <w:color w:val="auto"/>
                <w:kern w:val="0"/>
                <w:sz w:val="24"/>
                <w:lang w:bidi="ar"/>
              </w:rPr>
              <w:t>一旦设施发生故障，应</w:t>
            </w:r>
            <w:r>
              <w:rPr>
                <w:color w:val="auto"/>
                <w:kern w:val="0"/>
                <w:sz w:val="24"/>
                <w:lang w:bidi="ar"/>
              </w:rPr>
              <w:t>立即停止</w:t>
            </w:r>
            <w:r>
              <w:rPr>
                <w:rFonts w:hint="eastAsia"/>
                <w:color w:val="auto"/>
                <w:kern w:val="0"/>
                <w:sz w:val="24"/>
                <w:lang w:bidi="ar"/>
              </w:rPr>
              <w:t>生产进行检修，</w:t>
            </w:r>
            <w:r>
              <w:rPr>
                <w:color w:val="auto"/>
                <w:kern w:val="0"/>
                <w:sz w:val="24"/>
                <w:lang w:bidi="ar"/>
              </w:rPr>
              <w:t>直至废气治理设施正常运行。并定期对废气处理装置维护、维修、保养</w:t>
            </w:r>
            <w:r>
              <w:rPr>
                <w:rFonts w:hint="eastAsia"/>
                <w:color w:val="auto"/>
                <w:kern w:val="0"/>
                <w:sz w:val="24"/>
                <w:lang w:bidi="ar"/>
              </w:rPr>
              <w:t>。</w:t>
            </w:r>
            <w:r>
              <w:rPr>
                <w:color w:val="auto"/>
                <w:kern w:val="0"/>
                <w:sz w:val="24"/>
                <w:lang w:bidi="ar"/>
              </w:rPr>
              <w:t>事故持续时间在</w:t>
            </w:r>
            <w:r>
              <w:rPr>
                <w:rFonts w:hint="eastAsia"/>
                <w:color w:val="auto"/>
                <w:kern w:val="0"/>
                <w:sz w:val="24"/>
                <w:lang w:bidi="ar"/>
              </w:rPr>
              <w:t>0.5</w:t>
            </w:r>
            <w:r>
              <w:rPr>
                <w:color w:val="auto"/>
                <w:kern w:val="0"/>
                <w:sz w:val="24"/>
                <w:lang w:bidi="ar"/>
              </w:rPr>
              <w:t>小时之内，非正常工况条件下废气排放源强及排放情况见下表</w:t>
            </w:r>
            <w:r>
              <w:rPr>
                <w:color w:val="auto"/>
                <w:sz w:val="24"/>
              </w:rPr>
              <w:t>：</w:t>
            </w:r>
          </w:p>
          <w:p w14:paraId="719E3668">
            <w:pPr>
              <w:adjustRightInd w:val="0"/>
              <w:snapToGrid w:val="0"/>
              <w:spacing w:line="360" w:lineRule="auto"/>
              <w:jc w:val="center"/>
              <w:rPr>
                <w:b/>
                <w:bCs/>
                <w:color w:val="auto"/>
                <w:sz w:val="24"/>
              </w:rPr>
            </w:pPr>
            <w:r>
              <w:rPr>
                <w:b/>
                <w:bCs/>
                <w:color w:val="auto"/>
                <w:sz w:val="24"/>
              </w:rPr>
              <w:t>表4.</w:t>
            </w:r>
            <w:r>
              <w:rPr>
                <w:rFonts w:hint="eastAsia"/>
                <w:b/>
                <w:bCs/>
                <w:color w:val="auto"/>
                <w:sz w:val="24"/>
                <w:lang w:val="en-US" w:eastAsia="zh-CN"/>
              </w:rPr>
              <w:t xml:space="preserve">5 </w:t>
            </w:r>
            <w:r>
              <w:rPr>
                <w:b/>
                <w:bCs/>
                <w:color w:val="auto"/>
                <w:sz w:val="24"/>
              </w:rPr>
              <w:t xml:space="preserve"> 非正常工况下污染物排放一览表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850"/>
              <w:gridCol w:w="1384"/>
              <w:gridCol w:w="650"/>
              <w:gridCol w:w="696"/>
              <w:gridCol w:w="1119"/>
              <w:gridCol w:w="877"/>
              <w:gridCol w:w="802"/>
              <w:gridCol w:w="1164"/>
            </w:tblGrid>
            <w:tr w14:paraId="5F635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9" w:type="pct"/>
                  <w:noWrap w:val="0"/>
                  <w:vAlign w:val="center"/>
                </w:tcPr>
                <w:p w14:paraId="6134E3E9">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519" w:type="pct"/>
                  <w:noWrap w:val="0"/>
                  <w:vAlign w:val="center"/>
                </w:tcPr>
                <w:p w14:paraId="4BAC289E">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污染源</w:t>
                  </w:r>
                </w:p>
              </w:tc>
              <w:tc>
                <w:tcPr>
                  <w:tcW w:w="845" w:type="pct"/>
                  <w:noWrap w:val="0"/>
                  <w:vAlign w:val="center"/>
                </w:tcPr>
                <w:p w14:paraId="52518EDB">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非正常排放原因</w:t>
                  </w:r>
                </w:p>
              </w:tc>
              <w:tc>
                <w:tcPr>
                  <w:tcW w:w="397" w:type="pct"/>
                  <w:noWrap w:val="0"/>
                  <w:vAlign w:val="center"/>
                </w:tcPr>
                <w:p w14:paraId="2810329C">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污染物</w:t>
                  </w:r>
                </w:p>
              </w:tc>
              <w:tc>
                <w:tcPr>
                  <w:tcW w:w="425" w:type="pct"/>
                  <w:noWrap w:val="0"/>
                  <w:vAlign w:val="center"/>
                </w:tcPr>
                <w:p w14:paraId="233452AC">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频次</w:t>
                  </w:r>
                </w:p>
              </w:tc>
              <w:tc>
                <w:tcPr>
                  <w:tcW w:w="683" w:type="pct"/>
                  <w:noWrap w:val="0"/>
                  <w:vAlign w:val="center"/>
                </w:tcPr>
                <w:p w14:paraId="5262027F">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排放量t/a</w:t>
                  </w:r>
                </w:p>
              </w:tc>
              <w:tc>
                <w:tcPr>
                  <w:tcW w:w="536" w:type="pct"/>
                  <w:noWrap w:val="0"/>
                  <w:vAlign w:val="center"/>
                </w:tcPr>
                <w:p w14:paraId="5315970F">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排放浓度</w:t>
                  </w:r>
                  <w:r>
                    <w:rPr>
                      <w:rFonts w:hint="default" w:ascii="Times New Roman" w:hAnsi="Times New Roman" w:cs="Times New Roman"/>
                      <w:color w:val="auto"/>
                    </w:rPr>
                    <w:t>mg/m</w:t>
                  </w:r>
                  <w:r>
                    <w:rPr>
                      <w:rFonts w:hint="default" w:ascii="Times New Roman" w:hAnsi="Times New Roman" w:cs="Times New Roman"/>
                      <w:color w:val="auto"/>
                      <w:vertAlign w:val="superscript"/>
                    </w:rPr>
                    <w:t>3</w:t>
                  </w:r>
                </w:p>
              </w:tc>
              <w:tc>
                <w:tcPr>
                  <w:tcW w:w="490" w:type="pct"/>
                  <w:noWrap w:val="0"/>
                  <w:vAlign w:val="center"/>
                </w:tcPr>
                <w:p w14:paraId="47CC3B30">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持续时间/h</w:t>
                  </w:r>
                </w:p>
              </w:tc>
              <w:tc>
                <w:tcPr>
                  <w:tcW w:w="711" w:type="pct"/>
                  <w:noWrap w:val="0"/>
                  <w:vAlign w:val="center"/>
                </w:tcPr>
                <w:p w14:paraId="68839CF5">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措施</w:t>
                  </w:r>
                </w:p>
              </w:tc>
            </w:tr>
            <w:tr w14:paraId="15883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389" w:type="pct"/>
                  <w:noWrap w:val="0"/>
                  <w:vAlign w:val="center"/>
                </w:tcPr>
                <w:p w14:paraId="7FD1DF78">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519" w:type="pct"/>
                  <w:noWrap w:val="0"/>
                  <w:vAlign w:val="center"/>
                </w:tcPr>
                <w:p w14:paraId="798E2604">
                  <w:pPr>
                    <w:adjustRightInd w:val="0"/>
                    <w:snapToGrid w:val="0"/>
                    <w:spacing w:before="48" w:beforeLines="20"/>
                    <w:jc w:val="center"/>
                    <w:outlineLvl w:val="0"/>
                    <w:rPr>
                      <w:rFonts w:hint="eastAsia" w:ascii="Times New Roman" w:hAnsi="Times New Roman" w:eastAsia="宋体" w:cs="Times New Roman"/>
                      <w:color w:val="auto"/>
                      <w:szCs w:val="21"/>
                      <w:lang w:val="en-US" w:eastAsia="zh-CN"/>
                    </w:rPr>
                  </w:pPr>
                  <w:r>
                    <w:rPr>
                      <w:rFonts w:hint="default" w:ascii="Times New Roman" w:hAnsi="Times New Roman" w:cs="Times New Roman"/>
                      <w:color w:val="auto"/>
                      <w:szCs w:val="21"/>
                    </w:rPr>
                    <w:t>DA00</w:t>
                  </w:r>
                  <w:r>
                    <w:rPr>
                      <w:rFonts w:hint="eastAsia" w:cs="Times New Roman"/>
                      <w:color w:val="auto"/>
                      <w:szCs w:val="21"/>
                      <w:lang w:val="en-US" w:eastAsia="zh-CN"/>
                    </w:rPr>
                    <w:t>6</w:t>
                  </w:r>
                </w:p>
              </w:tc>
              <w:tc>
                <w:tcPr>
                  <w:tcW w:w="845" w:type="pct"/>
                  <w:noWrap w:val="0"/>
                  <w:vAlign w:val="center"/>
                </w:tcPr>
                <w:p w14:paraId="74900D52">
                  <w:pPr>
                    <w:adjustRightInd w:val="0"/>
                    <w:snapToGrid w:val="0"/>
                    <w:spacing w:before="48" w:beforeLines="20"/>
                    <w:jc w:val="center"/>
                    <w:outlineLvl w:val="0"/>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颗粒物</w:t>
                  </w:r>
                  <w:r>
                    <w:rPr>
                      <w:rFonts w:hint="default" w:ascii="Times New Roman" w:hAnsi="Times New Roman" w:cs="Times New Roman"/>
                      <w:color w:val="auto"/>
                      <w:szCs w:val="21"/>
                      <w:lang w:val="en-US" w:eastAsia="zh-CN"/>
                    </w:rPr>
                    <w:t>处理设施</w:t>
                  </w:r>
                  <w:r>
                    <w:rPr>
                      <w:rFonts w:hint="eastAsia" w:ascii="Times New Roman" w:hAnsi="Times New Roman" w:cs="Times New Roman"/>
                      <w:color w:val="auto"/>
                      <w:szCs w:val="21"/>
                      <w:lang w:val="en-US" w:eastAsia="zh-CN"/>
                    </w:rPr>
                    <w:t>“</w:t>
                  </w:r>
                  <w:r>
                    <w:rPr>
                      <w:rFonts w:hint="eastAsia" w:cs="Times New Roman"/>
                      <w:color w:val="auto"/>
                      <w:szCs w:val="21"/>
                      <w:lang w:val="en-US" w:eastAsia="zh-CN"/>
                    </w:rPr>
                    <w:t>布袋除尘器</w:t>
                  </w:r>
                  <w:r>
                    <w:rPr>
                      <w:rFonts w:hint="eastAsia" w:ascii="Times New Roman" w:hAnsi="Times New Roman" w:cs="Times New Roman"/>
                      <w:color w:val="auto"/>
                      <w:szCs w:val="21"/>
                      <w:lang w:val="en-US" w:eastAsia="zh-CN"/>
                    </w:rPr>
                    <w:t>”处</w:t>
                  </w:r>
                  <w:r>
                    <w:rPr>
                      <w:rFonts w:hint="default" w:ascii="Times New Roman" w:hAnsi="Times New Roman" w:cs="Times New Roman"/>
                      <w:color w:val="auto"/>
                      <w:szCs w:val="21"/>
                      <w:lang w:val="en-US" w:eastAsia="zh-CN"/>
                    </w:rPr>
                    <w:t>理效率下降或</w:t>
                  </w:r>
                  <w:r>
                    <w:rPr>
                      <w:rFonts w:hint="default" w:ascii="Times New Roman" w:hAnsi="Times New Roman" w:cs="Times New Roman"/>
                      <w:color w:val="auto"/>
                      <w:szCs w:val="21"/>
                      <w:lang w:eastAsia="zh-CN"/>
                    </w:rPr>
                    <w:t>故障</w:t>
                  </w:r>
                  <w:r>
                    <w:rPr>
                      <w:rFonts w:hint="default" w:ascii="Times New Roman" w:hAnsi="Times New Roman" w:cs="Times New Roman"/>
                      <w:color w:val="auto"/>
                      <w:szCs w:val="21"/>
                      <w:lang w:val="en-US" w:eastAsia="zh-CN"/>
                    </w:rPr>
                    <w:t>，</w:t>
                  </w:r>
                  <w:r>
                    <w:rPr>
                      <w:rFonts w:hint="default" w:ascii="Times New Roman" w:hAnsi="Times New Roman" w:cs="Times New Roman"/>
                      <w:color w:val="auto"/>
                      <w:szCs w:val="21"/>
                    </w:rPr>
                    <w:t>处理效率为</w:t>
                  </w:r>
                  <w:r>
                    <w:rPr>
                      <w:rFonts w:hint="eastAsia" w:cs="Times New Roman"/>
                      <w:color w:val="auto"/>
                      <w:szCs w:val="21"/>
                      <w:lang w:val="en-US" w:eastAsia="zh-CN"/>
                    </w:rPr>
                    <w:t>50</w:t>
                  </w:r>
                </w:p>
              </w:tc>
              <w:tc>
                <w:tcPr>
                  <w:tcW w:w="397" w:type="pct"/>
                  <w:noWrap w:val="0"/>
                  <w:vAlign w:val="center"/>
                </w:tcPr>
                <w:p w14:paraId="1D2B5CCA">
                  <w:pPr>
                    <w:adjustRightInd w:val="0"/>
                    <w:snapToGrid w:val="0"/>
                    <w:spacing w:before="48" w:beforeLines="20"/>
                    <w:jc w:val="center"/>
                    <w:outlineLvl w:val="0"/>
                    <w:rPr>
                      <w:rFonts w:hint="default" w:ascii="Times New Roman" w:hAnsi="Times New Roman" w:cs="Times New Roman"/>
                      <w:color w:val="auto"/>
                      <w:szCs w:val="21"/>
                    </w:rPr>
                  </w:pPr>
                  <w:r>
                    <w:rPr>
                      <w:rFonts w:hint="eastAsia"/>
                      <w:color w:val="auto"/>
                      <w:szCs w:val="21"/>
                      <w:lang w:val="en-US" w:eastAsia="zh-CN"/>
                    </w:rPr>
                    <w:t>颗粒物</w:t>
                  </w:r>
                </w:p>
              </w:tc>
              <w:tc>
                <w:tcPr>
                  <w:tcW w:w="425" w:type="pct"/>
                  <w:noWrap w:val="0"/>
                  <w:vAlign w:val="center"/>
                </w:tcPr>
                <w:p w14:paraId="26BE24B1">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1</w:t>
                  </w:r>
                  <w:r>
                    <w:rPr>
                      <w:rFonts w:hint="eastAsia" w:cs="Times New Roman"/>
                      <w:color w:val="auto"/>
                      <w:szCs w:val="21"/>
                      <w:lang w:eastAsia="zh-CN"/>
                    </w:rPr>
                    <w:t>～</w:t>
                  </w:r>
                  <w:r>
                    <w:rPr>
                      <w:rFonts w:hint="default" w:ascii="Times New Roman" w:hAnsi="Times New Roman" w:cs="Times New Roman"/>
                      <w:color w:val="auto"/>
                      <w:szCs w:val="21"/>
                    </w:rPr>
                    <w:t>2次/年</w:t>
                  </w:r>
                </w:p>
              </w:tc>
              <w:tc>
                <w:tcPr>
                  <w:tcW w:w="683" w:type="pct"/>
                  <w:noWrap w:val="0"/>
                  <w:vAlign w:val="center"/>
                </w:tcPr>
                <w:p w14:paraId="451666FD">
                  <w:pPr>
                    <w:adjustRightInd w:val="0"/>
                    <w:snapToGrid w:val="0"/>
                    <w:spacing w:before="48" w:beforeLines="20"/>
                    <w:jc w:val="center"/>
                    <w:outlineLvl w:val="0"/>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0.028</w:t>
                  </w:r>
                </w:p>
              </w:tc>
              <w:tc>
                <w:tcPr>
                  <w:tcW w:w="536" w:type="pct"/>
                  <w:noWrap w:val="0"/>
                  <w:vAlign w:val="center"/>
                </w:tcPr>
                <w:p w14:paraId="13CA2393">
                  <w:pPr>
                    <w:adjustRightInd w:val="0"/>
                    <w:snapToGrid w:val="0"/>
                    <w:spacing w:before="48" w:beforeLines="20"/>
                    <w:jc w:val="center"/>
                    <w:outlineLvl w:val="0"/>
                    <w:rPr>
                      <w:rFonts w:hint="default" w:ascii="Times New Roman" w:hAnsi="Times New Roman" w:eastAsia="宋体" w:cs="Times New Roman"/>
                      <w:color w:val="auto"/>
                      <w:szCs w:val="21"/>
                      <w:lang w:val="en-US" w:eastAsia="zh-CN"/>
                    </w:rPr>
                  </w:pPr>
                  <w:r>
                    <w:rPr>
                      <w:rFonts w:hint="eastAsia" w:cs="Times New Roman"/>
                      <w:color w:val="auto"/>
                      <w:kern w:val="2"/>
                      <w:sz w:val="21"/>
                      <w:szCs w:val="21"/>
                      <w:vertAlign w:val="baseline"/>
                      <w:lang w:val="en-US" w:eastAsia="zh-CN" w:bidi="ar-SA"/>
                    </w:rPr>
                    <w:t>692.51</w:t>
                  </w:r>
                </w:p>
              </w:tc>
              <w:tc>
                <w:tcPr>
                  <w:tcW w:w="490" w:type="pct"/>
                  <w:vMerge w:val="restart"/>
                  <w:noWrap w:val="0"/>
                  <w:vAlign w:val="center"/>
                </w:tcPr>
                <w:p w14:paraId="2B155384">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0.5</w:t>
                  </w:r>
                </w:p>
              </w:tc>
              <w:tc>
                <w:tcPr>
                  <w:tcW w:w="711" w:type="pct"/>
                  <w:vMerge w:val="restart"/>
                  <w:noWrap w:val="0"/>
                  <w:vAlign w:val="center"/>
                </w:tcPr>
                <w:p w14:paraId="42C36578">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立即停止生产进行检修，直至废气治理设施正常运行。并定期对废气处理装置维护、维修、保养。</w:t>
                  </w:r>
                </w:p>
              </w:tc>
            </w:tr>
            <w:tr w14:paraId="4758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389" w:type="pct"/>
                  <w:vMerge w:val="restart"/>
                  <w:noWrap w:val="0"/>
                  <w:vAlign w:val="center"/>
                </w:tcPr>
                <w:p w14:paraId="24ADD479">
                  <w:pPr>
                    <w:adjustRightInd w:val="0"/>
                    <w:snapToGrid w:val="0"/>
                    <w:spacing w:before="48" w:beforeLines="20"/>
                    <w:jc w:val="center"/>
                    <w:outlineLvl w:val="0"/>
                    <w:rPr>
                      <w:rFonts w:hint="eastAsia" w:ascii="Times New Roman" w:hAnsi="Times New Roman" w:eastAsia="宋体" w:cs="Times New Roman"/>
                      <w:color w:val="auto"/>
                      <w:szCs w:val="21"/>
                      <w:lang w:val="en-US" w:eastAsia="zh-CN"/>
                    </w:rPr>
                  </w:pPr>
                  <w:r>
                    <w:rPr>
                      <w:rFonts w:hint="eastAsia" w:cs="Times New Roman"/>
                      <w:color w:val="auto"/>
                      <w:szCs w:val="21"/>
                      <w:lang w:val="en-US" w:eastAsia="zh-CN"/>
                    </w:rPr>
                    <w:t>2</w:t>
                  </w:r>
                </w:p>
              </w:tc>
              <w:tc>
                <w:tcPr>
                  <w:tcW w:w="519" w:type="pct"/>
                  <w:vMerge w:val="restart"/>
                  <w:noWrap w:val="0"/>
                  <w:vAlign w:val="center"/>
                </w:tcPr>
                <w:p w14:paraId="79B8CAA4">
                  <w:pPr>
                    <w:adjustRightInd w:val="0"/>
                    <w:snapToGrid w:val="0"/>
                    <w:jc w:val="center"/>
                    <w:rPr>
                      <w:rFonts w:hint="eastAsia" w:ascii="Times New Roman" w:hAnsi="Times New Roman" w:eastAsia="宋体" w:cs="Times New Roman"/>
                      <w:color w:val="auto"/>
                      <w:szCs w:val="21"/>
                      <w:lang w:val="en-US" w:eastAsia="zh-CN"/>
                    </w:rPr>
                  </w:pPr>
                  <w:r>
                    <w:rPr>
                      <w:rFonts w:hint="default" w:ascii="Times New Roman" w:hAnsi="Times New Roman" w:cs="Times New Roman"/>
                      <w:color w:val="auto"/>
                      <w:szCs w:val="21"/>
                    </w:rPr>
                    <w:t>DA00</w:t>
                  </w:r>
                  <w:r>
                    <w:rPr>
                      <w:rFonts w:hint="eastAsia" w:cs="Times New Roman"/>
                      <w:color w:val="auto"/>
                      <w:szCs w:val="21"/>
                      <w:lang w:val="en-US" w:eastAsia="zh-CN"/>
                    </w:rPr>
                    <w:t>7</w:t>
                  </w:r>
                </w:p>
              </w:tc>
              <w:tc>
                <w:tcPr>
                  <w:tcW w:w="845" w:type="pct"/>
                  <w:vMerge w:val="restart"/>
                  <w:noWrap w:val="0"/>
                  <w:vAlign w:val="center"/>
                </w:tcPr>
                <w:p w14:paraId="67F2F309">
                  <w:pPr>
                    <w:adjustRightInd w:val="0"/>
                    <w:snapToGrid w:val="0"/>
                    <w:spacing w:before="48" w:beforeLines="20"/>
                    <w:jc w:val="center"/>
                    <w:outlineLvl w:val="0"/>
                    <w:rPr>
                      <w:rFonts w:hint="default" w:ascii="Times New Roman" w:hAnsi="Times New Roman" w:cs="Times New Roman"/>
                      <w:color w:val="auto"/>
                      <w:szCs w:val="21"/>
                    </w:rPr>
                  </w:pPr>
                  <w:r>
                    <w:rPr>
                      <w:rFonts w:hint="eastAsia" w:cs="Times New Roman"/>
                      <w:color w:val="auto"/>
                      <w:szCs w:val="21"/>
                      <w:lang w:val="en-US" w:eastAsia="zh-CN"/>
                    </w:rPr>
                    <w:t>氯乙烯、非甲烷总烃、氯化氢</w:t>
                  </w:r>
                  <w:r>
                    <w:rPr>
                      <w:rFonts w:hint="default" w:ascii="Times New Roman" w:hAnsi="Times New Roman" w:cs="Times New Roman"/>
                      <w:color w:val="auto"/>
                      <w:szCs w:val="21"/>
                      <w:lang w:val="en-US" w:eastAsia="zh-CN"/>
                    </w:rPr>
                    <w:t>处理设施</w:t>
                  </w:r>
                  <w:r>
                    <w:rPr>
                      <w:rFonts w:hint="eastAsia" w:ascii="Times New Roman" w:hAnsi="Times New Roman" w:cs="Times New Roman"/>
                      <w:color w:val="auto"/>
                      <w:szCs w:val="21"/>
                      <w:lang w:val="en-US" w:eastAsia="zh-CN"/>
                    </w:rPr>
                    <w:t>“</w:t>
                  </w:r>
                  <w:r>
                    <w:rPr>
                      <w:rFonts w:hint="eastAsia" w:cs="Times New Roman"/>
                      <w:color w:val="auto"/>
                      <w:kern w:val="2"/>
                      <w:sz w:val="21"/>
                      <w:szCs w:val="21"/>
                      <w:lang w:val="en-US" w:eastAsia="zh-CN" w:bidi="ar-SA"/>
                    </w:rPr>
                    <w:t>碱液喷淋+除雾器+CO催化燃烧装置</w:t>
                  </w:r>
                  <w:r>
                    <w:rPr>
                      <w:rFonts w:hint="eastAsia" w:ascii="Times New Roman" w:hAnsi="Times New Roman" w:cs="Times New Roman"/>
                      <w:color w:val="auto"/>
                      <w:szCs w:val="21"/>
                      <w:lang w:val="en-US" w:eastAsia="zh-CN"/>
                    </w:rPr>
                    <w:t>”处</w:t>
                  </w:r>
                  <w:r>
                    <w:rPr>
                      <w:rFonts w:hint="default" w:ascii="Times New Roman" w:hAnsi="Times New Roman" w:cs="Times New Roman"/>
                      <w:color w:val="auto"/>
                      <w:szCs w:val="21"/>
                      <w:lang w:val="en-US" w:eastAsia="zh-CN"/>
                    </w:rPr>
                    <w:t>理效率下降或</w:t>
                  </w:r>
                  <w:r>
                    <w:rPr>
                      <w:rFonts w:hint="default" w:ascii="Times New Roman" w:hAnsi="Times New Roman" w:cs="Times New Roman"/>
                      <w:color w:val="auto"/>
                      <w:szCs w:val="21"/>
                      <w:lang w:eastAsia="zh-CN"/>
                    </w:rPr>
                    <w:t>故障</w:t>
                  </w:r>
                  <w:r>
                    <w:rPr>
                      <w:rFonts w:hint="default" w:ascii="Times New Roman" w:hAnsi="Times New Roman" w:cs="Times New Roman"/>
                      <w:color w:val="auto"/>
                      <w:szCs w:val="21"/>
                      <w:lang w:val="en-US" w:eastAsia="zh-CN"/>
                    </w:rPr>
                    <w:t>，</w:t>
                  </w:r>
                  <w:r>
                    <w:rPr>
                      <w:rFonts w:hint="default" w:ascii="Times New Roman" w:hAnsi="Times New Roman" w:cs="Times New Roman"/>
                      <w:color w:val="auto"/>
                      <w:szCs w:val="21"/>
                    </w:rPr>
                    <w:t>处理效率为</w:t>
                  </w:r>
                  <w:r>
                    <w:rPr>
                      <w:rFonts w:hint="eastAsia" w:cs="Times New Roman"/>
                      <w:color w:val="auto"/>
                      <w:szCs w:val="21"/>
                      <w:lang w:val="en-US" w:eastAsia="zh-CN"/>
                    </w:rPr>
                    <w:t>50</w:t>
                  </w:r>
                </w:p>
              </w:tc>
              <w:tc>
                <w:tcPr>
                  <w:tcW w:w="397" w:type="pct"/>
                  <w:noWrap w:val="0"/>
                  <w:vAlign w:val="center"/>
                </w:tcPr>
                <w:p w14:paraId="6C40118F">
                  <w:pPr>
                    <w:adjustRightInd w:val="0"/>
                    <w:snapToGrid w:val="0"/>
                    <w:spacing w:before="48" w:beforeLines="20"/>
                    <w:jc w:val="center"/>
                    <w:outlineLvl w:val="0"/>
                    <w:rPr>
                      <w:rFonts w:hint="eastAsia" w:cs="Times New Roman"/>
                      <w:color w:val="auto"/>
                      <w:szCs w:val="21"/>
                      <w:lang w:eastAsia="zh-CN"/>
                    </w:rPr>
                  </w:pPr>
                  <w:r>
                    <w:rPr>
                      <w:rFonts w:hint="eastAsia" w:cs="Times New Roman"/>
                      <w:color w:val="auto"/>
                      <w:szCs w:val="21"/>
                      <w:lang w:val="en-US" w:eastAsia="zh-CN"/>
                    </w:rPr>
                    <w:t>氯乙烯</w:t>
                  </w:r>
                </w:p>
              </w:tc>
              <w:tc>
                <w:tcPr>
                  <w:tcW w:w="425" w:type="pct"/>
                  <w:vMerge w:val="restart"/>
                  <w:noWrap w:val="0"/>
                  <w:vAlign w:val="center"/>
                </w:tcPr>
                <w:p w14:paraId="50C54603">
                  <w:pPr>
                    <w:adjustRightInd w:val="0"/>
                    <w:snapToGrid w:val="0"/>
                    <w:spacing w:before="48" w:beforeLines="20"/>
                    <w:jc w:val="center"/>
                    <w:outlineLvl w:val="0"/>
                    <w:rPr>
                      <w:rFonts w:hint="default" w:ascii="Times New Roman" w:hAnsi="Times New Roman" w:cs="Times New Roman"/>
                      <w:color w:val="auto"/>
                      <w:szCs w:val="21"/>
                    </w:rPr>
                  </w:pPr>
                  <w:r>
                    <w:rPr>
                      <w:rFonts w:hint="default" w:ascii="Times New Roman" w:hAnsi="Times New Roman" w:cs="Times New Roman"/>
                      <w:color w:val="auto"/>
                      <w:szCs w:val="21"/>
                    </w:rPr>
                    <w:t>1</w:t>
                  </w:r>
                  <w:r>
                    <w:rPr>
                      <w:rFonts w:hint="eastAsia" w:cs="Times New Roman"/>
                      <w:color w:val="auto"/>
                      <w:szCs w:val="21"/>
                      <w:lang w:eastAsia="zh-CN"/>
                    </w:rPr>
                    <w:t>～</w:t>
                  </w:r>
                  <w:r>
                    <w:rPr>
                      <w:rFonts w:hint="default" w:ascii="Times New Roman" w:hAnsi="Times New Roman" w:cs="Times New Roman"/>
                      <w:color w:val="auto"/>
                      <w:szCs w:val="21"/>
                    </w:rPr>
                    <w:t>2次/年</w:t>
                  </w:r>
                </w:p>
              </w:tc>
              <w:tc>
                <w:tcPr>
                  <w:tcW w:w="683" w:type="pct"/>
                  <w:noWrap w:val="0"/>
                  <w:vAlign w:val="center"/>
                </w:tcPr>
                <w:p w14:paraId="006C473F">
                  <w:pPr>
                    <w:adjustRightInd w:val="0"/>
                    <w:snapToGrid w:val="0"/>
                    <w:spacing w:before="48" w:beforeLines="20"/>
                    <w:jc w:val="center"/>
                    <w:outlineLvl w:val="0"/>
                    <w:rPr>
                      <w:rFonts w:hint="default" w:cs="Times New Roman"/>
                      <w:color w:val="auto"/>
                      <w:szCs w:val="21"/>
                      <w:lang w:val="en-US" w:eastAsia="zh-CN"/>
                    </w:rPr>
                  </w:pPr>
                  <w:r>
                    <w:rPr>
                      <w:rFonts w:hint="eastAsia" w:cs="Times New Roman"/>
                      <w:color w:val="auto"/>
                      <w:szCs w:val="21"/>
                      <w:lang w:val="en-US" w:eastAsia="zh-CN"/>
                    </w:rPr>
                    <w:t>4.63</w:t>
                  </w:r>
                  <w:r>
                    <w:rPr>
                      <w:rFonts w:hint="default" w:ascii="Arial" w:hAnsi="Arial" w:cs="Arial"/>
                      <w:color w:val="auto"/>
                      <w:szCs w:val="21"/>
                      <w:lang w:val="en-US" w:eastAsia="zh-CN"/>
                    </w:rPr>
                    <w:t>×</w:t>
                  </w:r>
                  <w:r>
                    <w:rPr>
                      <w:rFonts w:hint="eastAsia" w:cs="Times New Roman"/>
                      <w:color w:val="auto"/>
                      <w:szCs w:val="21"/>
                      <w:lang w:val="en-US" w:eastAsia="zh-CN"/>
                    </w:rPr>
                    <w:t>10</w:t>
                  </w:r>
                  <w:r>
                    <w:rPr>
                      <w:rFonts w:hint="eastAsia" w:cs="Times New Roman"/>
                      <w:color w:val="auto"/>
                      <w:szCs w:val="21"/>
                      <w:vertAlign w:val="superscript"/>
                      <w:lang w:val="en-US" w:eastAsia="zh-CN"/>
                    </w:rPr>
                    <w:t>-5</w:t>
                  </w:r>
                </w:p>
              </w:tc>
              <w:tc>
                <w:tcPr>
                  <w:tcW w:w="536" w:type="pct"/>
                  <w:noWrap w:val="0"/>
                  <w:vAlign w:val="center"/>
                </w:tcPr>
                <w:p w14:paraId="3AC43945">
                  <w:pPr>
                    <w:adjustRightInd w:val="0"/>
                    <w:snapToGrid w:val="0"/>
                    <w:spacing w:before="48" w:beforeLines="20"/>
                    <w:jc w:val="center"/>
                    <w:outlineLvl w:val="0"/>
                    <w:rPr>
                      <w:rFonts w:hint="default" w:cs="Times New Roman"/>
                      <w:color w:val="auto"/>
                      <w:szCs w:val="21"/>
                      <w:lang w:val="en-US" w:eastAsia="zh-CN"/>
                    </w:rPr>
                  </w:pPr>
                  <w:r>
                    <w:rPr>
                      <w:rFonts w:hint="eastAsia" w:cs="Times New Roman"/>
                      <w:color w:val="auto"/>
                      <w:szCs w:val="21"/>
                      <w:lang w:val="en-US" w:eastAsia="zh-CN"/>
                    </w:rPr>
                    <w:t>0.465</w:t>
                  </w:r>
                </w:p>
              </w:tc>
              <w:tc>
                <w:tcPr>
                  <w:tcW w:w="490" w:type="pct"/>
                  <w:vMerge w:val="continue"/>
                  <w:noWrap w:val="0"/>
                  <w:vAlign w:val="center"/>
                </w:tcPr>
                <w:p w14:paraId="2C4F62CF">
                  <w:pPr>
                    <w:adjustRightInd w:val="0"/>
                    <w:snapToGrid w:val="0"/>
                    <w:spacing w:before="48" w:beforeLines="20"/>
                    <w:jc w:val="center"/>
                    <w:outlineLvl w:val="0"/>
                    <w:rPr>
                      <w:rFonts w:hint="default" w:ascii="Times New Roman" w:hAnsi="Times New Roman" w:cs="Times New Roman"/>
                      <w:color w:val="auto"/>
                      <w:szCs w:val="21"/>
                    </w:rPr>
                  </w:pPr>
                </w:p>
              </w:tc>
              <w:tc>
                <w:tcPr>
                  <w:tcW w:w="711" w:type="pct"/>
                  <w:vMerge w:val="continue"/>
                  <w:noWrap w:val="0"/>
                  <w:vAlign w:val="center"/>
                </w:tcPr>
                <w:p w14:paraId="21837207">
                  <w:pPr>
                    <w:adjustRightInd w:val="0"/>
                    <w:snapToGrid w:val="0"/>
                    <w:spacing w:before="48" w:beforeLines="20"/>
                    <w:jc w:val="center"/>
                    <w:outlineLvl w:val="0"/>
                    <w:rPr>
                      <w:rFonts w:hint="default" w:ascii="Times New Roman" w:hAnsi="Times New Roman" w:cs="Times New Roman"/>
                      <w:color w:val="auto"/>
                      <w:szCs w:val="21"/>
                    </w:rPr>
                  </w:pPr>
                </w:p>
              </w:tc>
            </w:tr>
            <w:tr w14:paraId="6AEB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389" w:type="pct"/>
                  <w:vMerge w:val="continue"/>
                  <w:noWrap w:val="0"/>
                  <w:vAlign w:val="center"/>
                </w:tcPr>
                <w:p w14:paraId="412C3265">
                  <w:pPr>
                    <w:adjustRightInd w:val="0"/>
                    <w:snapToGrid w:val="0"/>
                    <w:spacing w:before="48" w:beforeLines="20"/>
                    <w:jc w:val="center"/>
                    <w:outlineLvl w:val="0"/>
                    <w:rPr>
                      <w:rFonts w:hint="eastAsia" w:cs="Times New Roman"/>
                      <w:color w:val="auto"/>
                      <w:szCs w:val="21"/>
                      <w:lang w:val="en-US" w:eastAsia="zh-CN"/>
                    </w:rPr>
                  </w:pPr>
                </w:p>
              </w:tc>
              <w:tc>
                <w:tcPr>
                  <w:tcW w:w="519" w:type="pct"/>
                  <w:vMerge w:val="continue"/>
                  <w:noWrap w:val="0"/>
                  <w:vAlign w:val="center"/>
                </w:tcPr>
                <w:p w14:paraId="4C02E3EA">
                  <w:pPr>
                    <w:adjustRightInd w:val="0"/>
                    <w:snapToGrid w:val="0"/>
                    <w:jc w:val="center"/>
                    <w:rPr>
                      <w:rFonts w:hint="default" w:ascii="Times New Roman" w:hAnsi="Times New Roman" w:cs="Times New Roman"/>
                      <w:color w:val="auto"/>
                      <w:szCs w:val="21"/>
                    </w:rPr>
                  </w:pPr>
                </w:p>
              </w:tc>
              <w:tc>
                <w:tcPr>
                  <w:tcW w:w="845" w:type="pct"/>
                  <w:vMerge w:val="continue"/>
                  <w:noWrap w:val="0"/>
                  <w:vAlign w:val="center"/>
                </w:tcPr>
                <w:p w14:paraId="2A959F8B">
                  <w:pPr>
                    <w:adjustRightInd w:val="0"/>
                    <w:snapToGrid w:val="0"/>
                    <w:spacing w:before="48" w:beforeLines="20"/>
                    <w:jc w:val="center"/>
                    <w:outlineLvl w:val="0"/>
                    <w:rPr>
                      <w:rFonts w:hint="eastAsia" w:ascii="Times New Roman" w:hAnsi="Times New Roman" w:cs="Times New Roman"/>
                      <w:color w:val="auto"/>
                      <w:szCs w:val="21"/>
                      <w:lang w:val="en-US" w:eastAsia="zh-CN"/>
                    </w:rPr>
                  </w:pPr>
                </w:p>
              </w:tc>
              <w:tc>
                <w:tcPr>
                  <w:tcW w:w="397" w:type="pct"/>
                  <w:noWrap w:val="0"/>
                  <w:vAlign w:val="center"/>
                </w:tcPr>
                <w:p w14:paraId="7BA41398">
                  <w:pPr>
                    <w:adjustRightInd w:val="0"/>
                    <w:snapToGrid w:val="0"/>
                    <w:spacing w:before="48" w:beforeLines="20"/>
                    <w:jc w:val="center"/>
                    <w:outlineLvl w:val="0"/>
                    <w:rPr>
                      <w:rFonts w:hint="eastAsia" w:cs="Times New Roman"/>
                      <w:color w:val="auto"/>
                      <w:szCs w:val="21"/>
                      <w:lang w:eastAsia="zh-CN"/>
                    </w:rPr>
                  </w:pPr>
                  <w:r>
                    <w:rPr>
                      <w:rFonts w:hint="eastAsia" w:cs="Times New Roman"/>
                      <w:color w:val="auto"/>
                      <w:szCs w:val="21"/>
                      <w:lang w:val="en-US" w:eastAsia="zh-CN"/>
                    </w:rPr>
                    <w:t>非甲烷总烃</w:t>
                  </w:r>
                </w:p>
              </w:tc>
              <w:tc>
                <w:tcPr>
                  <w:tcW w:w="425" w:type="pct"/>
                  <w:vMerge w:val="continue"/>
                  <w:noWrap w:val="0"/>
                  <w:vAlign w:val="center"/>
                </w:tcPr>
                <w:p w14:paraId="32F923AD">
                  <w:pPr>
                    <w:adjustRightInd w:val="0"/>
                    <w:snapToGrid w:val="0"/>
                    <w:spacing w:before="48" w:beforeLines="20"/>
                    <w:jc w:val="center"/>
                    <w:outlineLvl w:val="0"/>
                    <w:rPr>
                      <w:rFonts w:hint="default" w:ascii="Times New Roman" w:hAnsi="Times New Roman" w:cs="Times New Roman"/>
                      <w:color w:val="auto"/>
                      <w:szCs w:val="21"/>
                    </w:rPr>
                  </w:pPr>
                </w:p>
              </w:tc>
              <w:tc>
                <w:tcPr>
                  <w:tcW w:w="683" w:type="pct"/>
                  <w:noWrap w:val="0"/>
                  <w:vAlign w:val="center"/>
                </w:tcPr>
                <w:p w14:paraId="46373F32">
                  <w:pPr>
                    <w:adjustRightInd w:val="0"/>
                    <w:snapToGrid w:val="0"/>
                    <w:spacing w:before="48" w:beforeLines="20"/>
                    <w:jc w:val="center"/>
                    <w:outlineLvl w:val="0"/>
                    <w:rPr>
                      <w:rFonts w:hint="default" w:cs="Times New Roman"/>
                      <w:color w:val="auto"/>
                      <w:szCs w:val="21"/>
                      <w:lang w:val="en-US" w:eastAsia="zh-CN"/>
                    </w:rPr>
                  </w:pPr>
                  <w:r>
                    <w:rPr>
                      <w:rFonts w:hint="default" w:ascii="Times New Roman" w:hAnsi="Times New Roman" w:cs="Times New Roman"/>
                      <w:color w:val="auto"/>
                      <w:szCs w:val="21"/>
                      <w:lang w:val="en-US" w:eastAsia="zh-CN"/>
                    </w:rPr>
                    <w:t>5.5</w:t>
                  </w:r>
                  <w:r>
                    <w:rPr>
                      <w:rFonts w:hint="eastAsia" w:ascii="Times New Roman" w:hAnsi="Times New Roman" w:cs="Times New Roman"/>
                      <w:color w:val="auto"/>
                      <w:szCs w:val="21"/>
                      <w:lang w:val="en-US" w:eastAsia="zh-CN"/>
                    </w:rPr>
                    <w:t>8</w:t>
                  </w:r>
                  <w:r>
                    <w:rPr>
                      <w:rFonts w:hint="default" w:ascii="Times New Roman" w:hAnsi="Times New Roman" w:cs="Times New Roman"/>
                      <w:color w:val="auto"/>
                      <w:szCs w:val="21"/>
                      <w:lang w:val="en-US" w:eastAsia="zh-CN"/>
                    </w:rPr>
                    <w:t>×10</w:t>
                  </w:r>
                  <w:r>
                    <w:rPr>
                      <w:rFonts w:hint="default" w:ascii="Times New Roman" w:hAnsi="Times New Roman" w:cs="Times New Roman"/>
                      <w:color w:val="auto"/>
                      <w:szCs w:val="21"/>
                      <w:vertAlign w:val="superscript"/>
                      <w:lang w:val="en-US" w:eastAsia="zh-CN"/>
                    </w:rPr>
                    <w:t>-3</w:t>
                  </w:r>
                </w:p>
              </w:tc>
              <w:tc>
                <w:tcPr>
                  <w:tcW w:w="536" w:type="pct"/>
                  <w:noWrap w:val="0"/>
                  <w:vAlign w:val="center"/>
                </w:tcPr>
                <w:p w14:paraId="1FF66C93">
                  <w:pPr>
                    <w:adjustRightInd w:val="0"/>
                    <w:snapToGrid w:val="0"/>
                    <w:spacing w:before="48" w:beforeLines="20"/>
                    <w:jc w:val="center"/>
                    <w:outlineLvl w:val="0"/>
                    <w:rPr>
                      <w:rFonts w:hint="default" w:cs="Times New Roman"/>
                      <w:color w:val="auto"/>
                      <w:szCs w:val="21"/>
                      <w:lang w:val="en-US" w:eastAsia="zh-CN"/>
                    </w:rPr>
                  </w:pPr>
                  <w:r>
                    <w:rPr>
                      <w:rFonts w:hint="eastAsia" w:cs="Times New Roman"/>
                      <w:color w:val="auto"/>
                      <w:szCs w:val="21"/>
                      <w:lang w:val="en-US" w:eastAsia="zh-CN"/>
                    </w:rPr>
                    <w:t>55.785</w:t>
                  </w:r>
                </w:p>
              </w:tc>
              <w:tc>
                <w:tcPr>
                  <w:tcW w:w="490" w:type="pct"/>
                  <w:vMerge w:val="continue"/>
                  <w:noWrap w:val="0"/>
                  <w:vAlign w:val="center"/>
                </w:tcPr>
                <w:p w14:paraId="19C1E391">
                  <w:pPr>
                    <w:adjustRightInd w:val="0"/>
                    <w:snapToGrid w:val="0"/>
                    <w:spacing w:before="48" w:beforeLines="20"/>
                    <w:jc w:val="center"/>
                    <w:outlineLvl w:val="0"/>
                    <w:rPr>
                      <w:rFonts w:hint="default" w:ascii="Times New Roman" w:hAnsi="Times New Roman" w:cs="Times New Roman"/>
                      <w:color w:val="auto"/>
                      <w:szCs w:val="21"/>
                    </w:rPr>
                  </w:pPr>
                </w:p>
              </w:tc>
              <w:tc>
                <w:tcPr>
                  <w:tcW w:w="711" w:type="pct"/>
                  <w:vMerge w:val="continue"/>
                  <w:noWrap w:val="0"/>
                  <w:vAlign w:val="center"/>
                </w:tcPr>
                <w:p w14:paraId="47C42E59">
                  <w:pPr>
                    <w:adjustRightInd w:val="0"/>
                    <w:snapToGrid w:val="0"/>
                    <w:spacing w:before="48" w:beforeLines="20"/>
                    <w:jc w:val="center"/>
                    <w:outlineLvl w:val="0"/>
                    <w:rPr>
                      <w:rFonts w:hint="default" w:ascii="Times New Roman" w:hAnsi="Times New Roman" w:cs="Times New Roman"/>
                      <w:color w:val="auto"/>
                      <w:szCs w:val="21"/>
                    </w:rPr>
                  </w:pPr>
                </w:p>
              </w:tc>
            </w:tr>
            <w:tr w14:paraId="589CD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389" w:type="pct"/>
                  <w:vMerge w:val="continue"/>
                  <w:noWrap w:val="0"/>
                  <w:vAlign w:val="center"/>
                </w:tcPr>
                <w:p w14:paraId="7D30AA4A">
                  <w:pPr>
                    <w:adjustRightInd w:val="0"/>
                    <w:snapToGrid w:val="0"/>
                    <w:spacing w:before="48" w:beforeLines="20"/>
                    <w:jc w:val="center"/>
                    <w:outlineLvl w:val="0"/>
                    <w:rPr>
                      <w:rFonts w:hint="eastAsia" w:cs="Times New Roman"/>
                      <w:color w:val="auto"/>
                      <w:szCs w:val="21"/>
                      <w:lang w:val="en-US" w:eastAsia="zh-CN"/>
                    </w:rPr>
                  </w:pPr>
                </w:p>
              </w:tc>
              <w:tc>
                <w:tcPr>
                  <w:tcW w:w="519" w:type="pct"/>
                  <w:vMerge w:val="continue"/>
                  <w:noWrap w:val="0"/>
                  <w:vAlign w:val="center"/>
                </w:tcPr>
                <w:p w14:paraId="6BE2BE3C">
                  <w:pPr>
                    <w:adjustRightInd w:val="0"/>
                    <w:snapToGrid w:val="0"/>
                    <w:jc w:val="center"/>
                    <w:rPr>
                      <w:rFonts w:hint="default" w:ascii="Times New Roman" w:hAnsi="Times New Roman" w:cs="Times New Roman"/>
                      <w:color w:val="auto"/>
                      <w:szCs w:val="21"/>
                    </w:rPr>
                  </w:pPr>
                </w:p>
              </w:tc>
              <w:tc>
                <w:tcPr>
                  <w:tcW w:w="845" w:type="pct"/>
                  <w:vMerge w:val="continue"/>
                  <w:noWrap w:val="0"/>
                  <w:vAlign w:val="center"/>
                </w:tcPr>
                <w:p w14:paraId="0EA34E6D">
                  <w:pPr>
                    <w:adjustRightInd w:val="0"/>
                    <w:snapToGrid w:val="0"/>
                    <w:spacing w:before="48" w:beforeLines="20"/>
                    <w:jc w:val="center"/>
                    <w:outlineLvl w:val="0"/>
                    <w:rPr>
                      <w:rFonts w:hint="eastAsia" w:ascii="Times New Roman" w:hAnsi="Times New Roman" w:cs="Times New Roman"/>
                      <w:color w:val="auto"/>
                      <w:szCs w:val="21"/>
                      <w:lang w:val="en-US" w:eastAsia="zh-CN"/>
                    </w:rPr>
                  </w:pPr>
                </w:p>
              </w:tc>
              <w:tc>
                <w:tcPr>
                  <w:tcW w:w="397" w:type="pct"/>
                  <w:noWrap w:val="0"/>
                  <w:vAlign w:val="center"/>
                </w:tcPr>
                <w:p w14:paraId="66FFF95B">
                  <w:pPr>
                    <w:adjustRightInd w:val="0"/>
                    <w:snapToGrid w:val="0"/>
                    <w:spacing w:before="48" w:beforeLines="20"/>
                    <w:jc w:val="center"/>
                    <w:outlineLvl w:val="0"/>
                    <w:rPr>
                      <w:rFonts w:hint="eastAsia" w:cs="Times New Roman"/>
                      <w:color w:val="auto"/>
                      <w:szCs w:val="21"/>
                      <w:lang w:eastAsia="zh-CN"/>
                    </w:rPr>
                  </w:pPr>
                  <w:r>
                    <w:rPr>
                      <w:rFonts w:hint="eastAsia" w:cs="Times New Roman"/>
                      <w:color w:val="auto"/>
                      <w:szCs w:val="21"/>
                      <w:lang w:val="en-US" w:eastAsia="zh-CN"/>
                    </w:rPr>
                    <w:t>氯化氢</w:t>
                  </w:r>
                </w:p>
              </w:tc>
              <w:tc>
                <w:tcPr>
                  <w:tcW w:w="425" w:type="pct"/>
                  <w:vMerge w:val="continue"/>
                  <w:noWrap w:val="0"/>
                  <w:vAlign w:val="center"/>
                </w:tcPr>
                <w:p w14:paraId="412DF824">
                  <w:pPr>
                    <w:adjustRightInd w:val="0"/>
                    <w:snapToGrid w:val="0"/>
                    <w:spacing w:before="48" w:beforeLines="20"/>
                    <w:jc w:val="center"/>
                    <w:outlineLvl w:val="0"/>
                    <w:rPr>
                      <w:rFonts w:hint="default" w:ascii="Times New Roman" w:hAnsi="Times New Roman" w:cs="Times New Roman"/>
                      <w:color w:val="auto"/>
                      <w:szCs w:val="21"/>
                    </w:rPr>
                  </w:pPr>
                </w:p>
              </w:tc>
              <w:tc>
                <w:tcPr>
                  <w:tcW w:w="683" w:type="pct"/>
                  <w:noWrap w:val="0"/>
                  <w:vAlign w:val="center"/>
                </w:tcPr>
                <w:p w14:paraId="6C82CAD3">
                  <w:pPr>
                    <w:adjustRightInd w:val="0"/>
                    <w:snapToGrid w:val="0"/>
                    <w:spacing w:before="48" w:beforeLines="20"/>
                    <w:jc w:val="center"/>
                    <w:outlineLvl w:val="0"/>
                    <w:rPr>
                      <w:rFonts w:hint="default" w:cs="Times New Roman"/>
                      <w:color w:val="auto"/>
                      <w:szCs w:val="21"/>
                      <w:lang w:val="en-US" w:eastAsia="zh-CN"/>
                    </w:rPr>
                  </w:pPr>
                  <w:r>
                    <w:rPr>
                      <w:rFonts w:hint="eastAsia" w:cs="Times New Roman"/>
                      <w:color w:val="auto"/>
                      <w:szCs w:val="21"/>
                      <w:lang w:val="en-US" w:eastAsia="zh-CN"/>
                    </w:rPr>
                    <w:t>3.46</w:t>
                  </w:r>
                  <w:r>
                    <w:rPr>
                      <w:rFonts w:hint="default" w:ascii="Arial" w:hAnsi="Arial" w:cs="Arial"/>
                      <w:color w:val="auto"/>
                      <w:szCs w:val="21"/>
                      <w:lang w:val="en-US" w:eastAsia="zh-CN"/>
                    </w:rPr>
                    <w:t>×</w:t>
                  </w:r>
                  <w:r>
                    <w:rPr>
                      <w:rFonts w:hint="eastAsia" w:cs="Times New Roman"/>
                      <w:color w:val="auto"/>
                      <w:szCs w:val="21"/>
                      <w:lang w:val="en-US" w:eastAsia="zh-CN"/>
                    </w:rPr>
                    <w:t>10</w:t>
                  </w:r>
                  <w:r>
                    <w:rPr>
                      <w:rFonts w:hint="eastAsia" w:cs="Times New Roman"/>
                      <w:color w:val="auto"/>
                      <w:szCs w:val="21"/>
                      <w:vertAlign w:val="superscript"/>
                      <w:lang w:val="en-US" w:eastAsia="zh-CN"/>
                    </w:rPr>
                    <w:t>-5</w:t>
                  </w:r>
                </w:p>
              </w:tc>
              <w:tc>
                <w:tcPr>
                  <w:tcW w:w="536" w:type="pct"/>
                  <w:noWrap w:val="0"/>
                  <w:vAlign w:val="center"/>
                </w:tcPr>
                <w:p w14:paraId="7B592D27">
                  <w:pPr>
                    <w:adjustRightInd w:val="0"/>
                    <w:snapToGrid w:val="0"/>
                    <w:spacing w:before="48" w:beforeLines="20"/>
                    <w:jc w:val="center"/>
                    <w:outlineLvl w:val="0"/>
                    <w:rPr>
                      <w:rFonts w:hint="default" w:cs="Times New Roman"/>
                      <w:color w:val="auto"/>
                      <w:szCs w:val="21"/>
                      <w:lang w:val="en-US" w:eastAsia="zh-CN"/>
                    </w:rPr>
                  </w:pPr>
                  <w:r>
                    <w:rPr>
                      <w:rFonts w:hint="eastAsia" w:cs="Times New Roman"/>
                      <w:color w:val="auto"/>
                      <w:szCs w:val="21"/>
                      <w:lang w:val="en-US" w:eastAsia="zh-CN"/>
                    </w:rPr>
                    <w:t>0.345</w:t>
                  </w:r>
                </w:p>
              </w:tc>
              <w:tc>
                <w:tcPr>
                  <w:tcW w:w="490" w:type="pct"/>
                  <w:vMerge w:val="continue"/>
                  <w:noWrap w:val="0"/>
                  <w:vAlign w:val="center"/>
                </w:tcPr>
                <w:p w14:paraId="5A8C0728">
                  <w:pPr>
                    <w:adjustRightInd w:val="0"/>
                    <w:snapToGrid w:val="0"/>
                    <w:spacing w:before="48" w:beforeLines="20"/>
                    <w:jc w:val="center"/>
                    <w:outlineLvl w:val="0"/>
                    <w:rPr>
                      <w:rFonts w:hint="default" w:ascii="Times New Roman" w:hAnsi="Times New Roman" w:cs="Times New Roman"/>
                      <w:color w:val="auto"/>
                      <w:szCs w:val="21"/>
                    </w:rPr>
                  </w:pPr>
                </w:p>
              </w:tc>
              <w:tc>
                <w:tcPr>
                  <w:tcW w:w="711" w:type="pct"/>
                  <w:vMerge w:val="continue"/>
                  <w:noWrap w:val="0"/>
                  <w:vAlign w:val="center"/>
                </w:tcPr>
                <w:p w14:paraId="1D069C13">
                  <w:pPr>
                    <w:adjustRightInd w:val="0"/>
                    <w:snapToGrid w:val="0"/>
                    <w:spacing w:before="48" w:beforeLines="20"/>
                    <w:jc w:val="center"/>
                    <w:outlineLvl w:val="0"/>
                    <w:rPr>
                      <w:rFonts w:hint="default" w:ascii="Times New Roman" w:hAnsi="Times New Roman" w:cs="Times New Roman"/>
                      <w:color w:val="auto"/>
                      <w:szCs w:val="21"/>
                    </w:rPr>
                  </w:pPr>
                </w:p>
              </w:tc>
            </w:tr>
          </w:tbl>
          <w:p w14:paraId="17CAF49B">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textAlignment w:val="auto"/>
              <w:rPr>
                <w:rFonts w:hint="eastAsia"/>
                <w:b/>
                <w:bCs/>
                <w:color w:val="auto"/>
                <w:kern w:val="0"/>
                <w:sz w:val="24"/>
              </w:rPr>
            </w:pPr>
            <w:r>
              <w:rPr>
                <w:rFonts w:hint="eastAsia"/>
                <w:b/>
                <w:bCs/>
                <w:color w:val="auto"/>
                <w:kern w:val="0"/>
                <w:sz w:val="24"/>
              </w:rPr>
              <w:t>废气影响分析</w:t>
            </w:r>
          </w:p>
          <w:p w14:paraId="09613AD7">
            <w:pPr>
              <w:autoSpaceDE w:val="0"/>
              <w:autoSpaceDN w:val="0"/>
              <w:adjustRightInd w:val="0"/>
              <w:snapToGrid w:val="0"/>
              <w:spacing w:line="360" w:lineRule="auto"/>
              <w:ind w:firstLine="480" w:firstLineChars="200"/>
              <w:rPr>
                <w:rFonts w:hint="eastAsia"/>
                <w:color w:val="auto"/>
                <w:kern w:val="0"/>
                <w:sz w:val="24"/>
              </w:rPr>
            </w:pPr>
            <w:r>
              <w:rPr>
                <w:rFonts w:hint="eastAsia"/>
                <w:color w:val="auto"/>
                <w:kern w:val="0"/>
                <w:sz w:val="24"/>
              </w:rPr>
              <w:t>项目位于</w:t>
            </w:r>
            <w:r>
              <w:rPr>
                <w:rFonts w:ascii="宋体" w:hAnsi="宋体" w:eastAsia="宋体" w:cs="宋体"/>
                <w:color w:val="auto"/>
                <w:sz w:val="24"/>
                <w:szCs w:val="24"/>
              </w:rPr>
              <w:t>宿州</w:t>
            </w:r>
            <w:r>
              <w:rPr>
                <w:rFonts w:hint="eastAsia" w:ascii="宋体" w:hAnsi="宋体" w:cs="宋体"/>
                <w:sz w:val="24"/>
                <w:szCs w:val="24"/>
                <w:lang w:eastAsia="zh-CN"/>
              </w:rPr>
              <w:t>市</w:t>
            </w:r>
            <w:r>
              <w:rPr>
                <w:rFonts w:ascii="宋体" w:hAnsi="宋体" w:eastAsia="宋体" w:cs="宋体"/>
                <w:sz w:val="24"/>
                <w:szCs w:val="24"/>
              </w:rPr>
              <w:t>埇桥</w:t>
            </w:r>
            <w:r>
              <w:rPr>
                <w:rFonts w:hint="eastAsia" w:ascii="宋体" w:hAnsi="宋体" w:cs="宋体"/>
                <w:sz w:val="24"/>
                <w:szCs w:val="24"/>
                <w:lang w:eastAsia="zh-CN"/>
              </w:rPr>
              <w:t>区</w:t>
            </w:r>
            <w:r>
              <w:rPr>
                <w:rFonts w:ascii="宋体" w:hAnsi="宋体" w:eastAsia="宋体" w:cs="宋体"/>
                <w:sz w:val="24"/>
                <w:szCs w:val="24"/>
              </w:rPr>
              <w:t>循环经济示范园东二环西侧</w:t>
            </w:r>
            <w:r>
              <w:rPr>
                <w:rFonts w:hint="eastAsia"/>
                <w:color w:val="auto"/>
                <w:kern w:val="0"/>
                <w:sz w:val="24"/>
              </w:rPr>
              <w:t>，</w:t>
            </w:r>
            <w:r>
              <w:rPr>
                <w:rFonts w:hint="eastAsia"/>
                <w:color w:val="auto"/>
                <w:kern w:val="0"/>
                <w:sz w:val="24"/>
                <w:lang w:val="en-US" w:eastAsia="zh-CN"/>
              </w:rPr>
              <w:t>根</w:t>
            </w:r>
            <w:r>
              <w:rPr>
                <w:rFonts w:hint="eastAsia"/>
                <w:color w:val="auto"/>
                <w:kern w:val="0"/>
                <w:sz w:val="24"/>
              </w:rPr>
              <w:t>据《</w:t>
            </w:r>
            <w:r>
              <w:rPr>
                <w:rFonts w:hint="default" w:ascii="Times New Roman" w:hAnsi="Times New Roman" w:eastAsia="宋体" w:cs="Times New Roman"/>
                <w:color w:val="auto"/>
                <w:sz w:val="24"/>
                <w:lang w:val="en-US" w:eastAsia="zh-CN"/>
              </w:rPr>
              <w:t>宿州市202</w:t>
            </w:r>
            <w:r>
              <w:rPr>
                <w:rFonts w:hint="eastAsia" w:cs="Times New Roman"/>
                <w:color w:val="auto"/>
                <w:sz w:val="24"/>
                <w:lang w:val="en-US" w:eastAsia="zh-CN"/>
              </w:rPr>
              <w:t>4</w:t>
            </w:r>
            <w:r>
              <w:rPr>
                <w:rFonts w:hint="default" w:ascii="Times New Roman" w:hAnsi="Times New Roman" w:eastAsia="宋体" w:cs="Times New Roman"/>
                <w:color w:val="auto"/>
                <w:sz w:val="24"/>
                <w:lang w:val="en-US" w:eastAsia="zh-CN"/>
              </w:rPr>
              <w:t>年环境质量报告</w:t>
            </w:r>
            <w:r>
              <w:rPr>
                <w:rFonts w:hint="eastAsia"/>
                <w:color w:val="auto"/>
                <w:kern w:val="0"/>
                <w:sz w:val="24"/>
              </w:rPr>
              <w:t>》，项</w:t>
            </w:r>
            <w:r>
              <w:rPr>
                <w:rFonts w:hint="eastAsia"/>
                <w:color w:val="auto"/>
                <w:kern w:val="0"/>
                <w:sz w:val="24"/>
                <w:lang w:eastAsia="zh-CN"/>
              </w:rPr>
              <w:t>目</w:t>
            </w:r>
            <w:r>
              <w:rPr>
                <w:rFonts w:hint="eastAsia"/>
                <w:color w:val="auto"/>
                <w:kern w:val="0"/>
                <w:sz w:val="24"/>
              </w:rPr>
              <w:t>所在地为大气环境空气质量不达标区。项目厂界外500米范围内环境空气保护目标主要为</w:t>
            </w:r>
            <w:r>
              <w:rPr>
                <w:rFonts w:hint="eastAsia"/>
                <w:color w:val="auto"/>
                <w:kern w:val="0"/>
                <w:sz w:val="24"/>
                <w:lang w:eastAsia="zh-CN"/>
              </w:rPr>
              <w:t>西北侧</w:t>
            </w:r>
            <w:r>
              <w:rPr>
                <w:rFonts w:hint="eastAsia"/>
                <w:color w:val="auto"/>
                <w:kern w:val="0"/>
                <w:sz w:val="24"/>
                <w:lang w:val="en-US" w:eastAsia="zh-CN"/>
              </w:rPr>
              <w:t>8米八里曾家。</w:t>
            </w:r>
          </w:p>
          <w:p w14:paraId="2F70AC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snapToGrid/>
                <w:color w:val="auto"/>
                <w:spacing w:val="0"/>
                <w:kern w:val="0"/>
                <w:position w:val="0"/>
                <w:sz w:val="24"/>
                <w:szCs w:val="24"/>
                <w:lang w:val="en-US" w:eastAsia="zh-CN"/>
              </w:rPr>
            </w:pPr>
            <w:r>
              <w:rPr>
                <w:rFonts w:hint="eastAsia" w:ascii="Times New Roman" w:hAnsi="Times New Roman" w:eastAsia="宋体" w:cs="Times New Roman"/>
                <w:color w:val="auto"/>
                <w:kern w:val="2"/>
                <w:sz w:val="24"/>
                <w:szCs w:val="24"/>
                <w:lang w:val="en-US" w:eastAsia="zh-CN" w:bidi="ar-SA"/>
              </w:rPr>
              <w:t>本</w:t>
            </w:r>
            <w:r>
              <w:rPr>
                <w:rFonts w:hint="default" w:ascii="Times New Roman" w:hAnsi="Times New Roman" w:eastAsia="宋体" w:cs="Times New Roman"/>
                <w:color w:val="auto"/>
                <w:kern w:val="2"/>
                <w:sz w:val="24"/>
                <w:szCs w:val="24"/>
                <w:lang w:val="en-US" w:eastAsia="zh-CN" w:bidi="ar-SA"/>
              </w:rPr>
              <w:t>环评要求混料、牵引切割、精确切割、砂光打磨废气经</w:t>
            </w:r>
            <w:r>
              <w:rPr>
                <w:rFonts w:hint="eastAsia" w:cs="Times New Roman"/>
                <w:color w:val="auto"/>
                <w:kern w:val="2"/>
                <w:sz w:val="24"/>
                <w:szCs w:val="24"/>
                <w:lang w:val="en-US" w:eastAsia="zh-CN" w:bidi="ar-SA"/>
              </w:rPr>
              <w:t>收集后采用</w:t>
            </w:r>
            <w:r>
              <w:rPr>
                <w:rFonts w:hint="eastAsia" w:ascii="Times New Roman" w:hAnsi="Times New Roman" w:eastAsia="宋体" w:cs="Times New Roman"/>
                <w:color w:val="auto"/>
                <w:kern w:val="2"/>
                <w:sz w:val="24"/>
                <w:szCs w:val="24"/>
                <w:lang w:val="en-US" w:eastAsia="zh-CN" w:bidi="ar-SA"/>
              </w:rPr>
              <w:t>布袋除尘器</w:t>
            </w:r>
            <w:r>
              <w:rPr>
                <w:rFonts w:hint="default" w:ascii="Times New Roman" w:hAnsi="Times New Roman" w:eastAsia="宋体" w:cs="Times New Roman"/>
                <w:color w:val="auto"/>
                <w:kern w:val="2"/>
                <w:sz w:val="24"/>
                <w:szCs w:val="24"/>
                <w:lang w:val="en-US" w:eastAsia="zh-CN" w:bidi="ar-SA"/>
              </w:rPr>
              <w:t>处理后尾气通过</w:t>
            </w:r>
            <w:r>
              <w:rPr>
                <w:rFonts w:hint="eastAsia" w:ascii="Times New Roman" w:hAnsi="Times New Roman" w:eastAsia="宋体" w:cs="Times New Roman"/>
                <w:color w:val="auto"/>
                <w:kern w:val="2"/>
                <w:sz w:val="24"/>
                <w:szCs w:val="24"/>
                <w:lang w:val="en-US" w:eastAsia="zh-CN" w:bidi="ar-SA"/>
              </w:rPr>
              <w:t>1</w:t>
            </w:r>
            <w:r>
              <w:rPr>
                <w:rFonts w:hint="default" w:ascii="Times New Roman" w:hAnsi="Times New Roman" w:eastAsia="宋体" w:cs="Times New Roman"/>
                <w:color w:val="auto"/>
                <w:kern w:val="2"/>
                <w:sz w:val="24"/>
                <w:szCs w:val="24"/>
                <w:lang w:val="en-US" w:eastAsia="zh-CN" w:bidi="ar-SA"/>
              </w:rPr>
              <w:t>5m高排气筒</w:t>
            </w:r>
            <w:r>
              <w:rPr>
                <w:rFonts w:hint="eastAsia"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DA00</w:t>
            </w:r>
            <w:r>
              <w:rPr>
                <w:rFonts w:hint="eastAsia" w:cs="Times New Roman"/>
                <w:color w:val="auto"/>
                <w:kern w:val="2"/>
                <w:sz w:val="24"/>
                <w:szCs w:val="24"/>
                <w:lang w:val="en-US" w:eastAsia="zh-CN" w:bidi="ar-SA"/>
              </w:rPr>
              <w:t>6）</w:t>
            </w:r>
            <w:r>
              <w:rPr>
                <w:rFonts w:hint="default" w:ascii="Times New Roman" w:hAnsi="Times New Roman" w:eastAsia="宋体" w:cs="Times New Roman"/>
                <w:color w:val="auto"/>
                <w:kern w:val="2"/>
                <w:sz w:val="24"/>
                <w:szCs w:val="24"/>
                <w:lang w:val="en-US" w:eastAsia="zh-CN" w:bidi="ar-SA"/>
              </w:rPr>
              <w:t>排放</w:t>
            </w:r>
            <w:r>
              <w:rPr>
                <w:rFonts w:hint="eastAsia" w:cs="Times New Roman"/>
                <w:color w:val="auto"/>
                <w:kern w:val="2"/>
                <w:sz w:val="24"/>
                <w:szCs w:val="24"/>
                <w:lang w:val="en-US" w:eastAsia="zh-CN" w:bidi="ar-SA"/>
              </w:rPr>
              <w:t>；熔</w:t>
            </w:r>
            <w:r>
              <w:rPr>
                <w:rFonts w:hint="eastAsia" w:cs="Times New Roman"/>
                <w:color w:val="000000" w:themeColor="text1"/>
                <w:kern w:val="2"/>
                <w:sz w:val="24"/>
                <w:szCs w:val="24"/>
                <w:lang w:val="en-US" w:eastAsia="zh-CN" w:bidi="ar-SA"/>
                <w14:textFill>
                  <w14:solidFill>
                    <w14:schemeClr w14:val="tx1"/>
                  </w14:solidFill>
                </w14:textFill>
              </w:rPr>
              <w:t>融挤出废气采用集气罩收集后经碱液喷淋+除雾器+活性炭+CO催化燃烧装置处理</w:t>
            </w: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w:t>
            </w:r>
            <w:r>
              <w:rPr>
                <w:rFonts w:hint="eastAsia" w:cs="Times New Roman"/>
                <w:color w:val="000000" w:themeColor="text1"/>
                <w:kern w:val="2"/>
                <w:sz w:val="24"/>
                <w:szCs w:val="24"/>
                <w:lang w:val="en-US" w:eastAsia="zh-CN" w:bidi="ar-SA"/>
                <w14:textFill>
                  <w14:solidFill>
                    <w14:schemeClr w14:val="tx1"/>
                  </w14:solidFill>
                </w14:textFill>
              </w:rPr>
              <w:t>通过15m高排气筒（DA007）排放；</w:t>
            </w:r>
            <w:r>
              <w:rPr>
                <w:rFonts w:hint="eastAsia"/>
                <w:color w:val="auto"/>
                <w:sz w:val="24"/>
                <w:lang w:eastAsia="zh-CN"/>
              </w:rPr>
              <w:t>混料、</w:t>
            </w:r>
            <w:r>
              <w:rPr>
                <w:rFonts w:hint="eastAsia" w:cs="Times New Roman"/>
                <w:color w:val="000000" w:themeColor="text1"/>
                <w:kern w:val="2"/>
                <w:sz w:val="24"/>
                <w:szCs w:val="24"/>
                <w:lang w:val="en-US" w:eastAsia="zh-CN" w:bidi="ar-SA"/>
                <w14:textFill>
                  <w14:solidFill>
                    <w14:schemeClr w14:val="tx1"/>
                  </w14:solidFill>
                </w14:textFill>
              </w:rPr>
              <w:t>牵引切割、精确切割</w:t>
            </w:r>
            <w:r>
              <w:rPr>
                <w:rFonts w:hint="eastAsia"/>
                <w:color w:val="auto"/>
                <w:sz w:val="24"/>
                <w:lang w:eastAsia="zh-CN"/>
              </w:rPr>
              <w:t>、砂光打磨废气</w:t>
            </w:r>
            <w:r>
              <w:rPr>
                <w:rFonts w:hint="eastAsia" w:cs="Times New Roman"/>
                <w:b w:val="0"/>
                <w:bCs w:val="0"/>
                <w:color w:val="auto"/>
                <w:sz w:val="24"/>
                <w:szCs w:val="24"/>
                <w:lang w:val="en-US" w:eastAsia="zh-CN"/>
              </w:rPr>
              <w:t>所产生的</w:t>
            </w:r>
            <w:r>
              <w:rPr>
                <w:rFonts w:hint="eastAsia"/>
                <w:b/>
                <w:bCs/>
                <w:color w:val="auto"/>
                <w:sz w:val="24"/>
                <w:lang w:eastAsia="zh-CN"/>
              </w:rPr>
              <w:t>颗粒物</w:t>
            </w:r>
            <w:r>
              <w:rPr>
                <w:rFonts w:hint="eastAsia"/>
                <w:color w:val="auto"/>
                <w:sz w:val="24"/>
                <w:lang w:eastAsia="zh-CN"/>
              </w:rPr>
              <w:t>排放满足</w:t>
            </w:r>
            <w:r>
              <w:rPr>
                <w:rFonts w:hint="default" w:ascii="Times New Roman" w:hAnsi="Times New Roman" w:eastAsia="宋体" w:cs="Times New Roman"/>
                <w:snapToGrid/>
                <w:color w:val="auto"/>
                <w:spacing w:val="0"/>
                <w:kern w:val="0"/>
                <w:position w:val="0"/>
                <w:sz w:val="24"/>
                <w:szCs w:val="24"/>
                <w:lang w:val="en-US" w:eastAsia="zh-CN"/>
              </w:rPr>
              <w:t>《合成树脂工业污染物排放标准》（GB</w:t>
            </w:r>
            <w:r>
              <w:rPr>
                <w:rFonts w:hint="eastAsia" w:ascii="Times New Roman" w:hAnsi="Times New Roman" w:eastAsia="宋体" w:cs="Times New Roman"/>
                <w:snapToGrid/>
                <w:color w:val="auto"/>
                <w:spacing w:val="0"/>
                <w:kern w:val="0"/>
                <w:position w:val="0"/>
                <w:sz w:val="24"/>
                <w:szCs w:val="24"/>
                <w:lang w:val="en-US" w:eastAsia="zh-CN"/>
              </w:rPr>
              <w:t>31572</w:t>
            </w:r>
            <w:r>
              <w:rPr>
                <w:rFonts w:hint="default" w:ascii="Times New Roman" w:hAnsi="Times New Roman" w:eastAsia="宋体" w:cs="Times New Roman"/>
                <w:snapToGrid/>
                <w:color w:val="auto"/>
                <w:spacing w:val="0"/>
                <w:kern w:val="0"/>
                <w:position w:val="0"/>
                <w:sz w:val="24"/>
                <w:szCs w:val="24"/>
                <w:lang w:val="en-US" w:eastAsia="zh-CN"/>
              </w:rPr>
              <w:t>-</w:t>
            </w:r>
            <w:r>
              <w:rPr>
                <w:rFonts w:hint="eastAsia" w:ascii="Times New Roman" w:hAnsi="Times New Roman" w:eastAsia="宋体" w:cs="Times New Roman"/>
                <w:snapToGrid/>
                <w:color w:val="auto"/>
                <w:spacing w:val="0"/>
                <w:kern w:val="0"/>
                <w:position w:val="0"/>
                <w:sz w:val="24"/>
                <w:szCs w:val="24"/>
                <w:lang w:val="en-US" w:eastAsia="zh-CN"/>
              </w:rPr>
              <w:t>2015</w:t>
            </w:r>
            <w:r>
              <w:rPr>
                <w:rFonts w:hint="default" w:ascii="Times New Roman" w:hAnsi="Times New Roman" w:eastAsia="宋体" w:cs="Times New Roman"/>
                <w:snapToGrid/>
                <w:color w:val="auto"/>
                <w:spacing w:val="0"/>
                <w:kern w:val="0"/>
                <w:position w:val="0"/>
                <w:sz w:val="24"/>
                <w:szCs w:val="24"/>
                <w:lang w:val="en-US" w:eastAsia="zh-CN"/>
              </w:rPr>
              <w:t>）</w:t>
            </w:r>
            <w:r>
              <w:rPr>
                <w:rFonts w:hint="eastAsia" w:ascii="Times New Roman" w:hAnsi="Times New Roman" w:eastAsia="宋体" w:cs="Times New Roman"/>
                <w:snapToGrid/>
                <w:color w:val="auto"/>
                <w:spacing w:val="0"/>
                <w:kern w:val="0"/>
                <w:position w:val="0"/>
                <w:sz w:val="24"/>
                <w:szCs w:val="24"/>
                <w:lang w:val="en-US" w:eastAsia="zh-CN"/>
              </w:rPr>
              <w:t>表4</w:t>
            </w:r>
            <w:r>
              <w:rPr>
                <w:rFonts w:hint="eastAsia" w:ascii="Times New Roman" w:hAnsi="Times New Roman"/>
                <w:color w:val="auto"/>
                <w:sz w:val="24"/>
              </w:rPr>
              <w:t>中</w:t>
            </w:r>
            <w:r>
              <w:rPr>
                <w:rFonts w:hint="eastAsia"/>
                <w:color w:val="auto"/>
                <w:sz w:val="24"/>
                <w:lang w:eastAsia="zh-CN"/>
              </w:rPr>
              <w:t>排放</w:t>
            </w:r>
            <w:r>
              <w:rPr>
                <w:rFonts w:hint="eastAsia" w:ascii="Times New Roman" w:hAnsi="Times New Roman"/>
                <w:color w:val="auto"/>
                <w:sz w:val="24"/>
              </w:rPr>
              <w:t>限值要求</w:t>
            </w:r>
            <w:r>
              <w:rPr>
                <w:rFonts w:hint="eastAsia"/>
                <w:color w:val="auto"/>
                <w:sz w:val="24"/>
                <w:lang w:eastAsia="zh-CN"/>
              </w:rPr>
              <w:t>；</w:t>
            </w:r>
            <w:r>
              <w:rPr>
                <w:rFonts w:hint="eastAsia" w:cs="Times New Roman"/>
                <w:b w:val="0"/>
                <w:bCs w:val="0"/>
                <w:color w:val="auto"/>
                <w:sz w:val="24"/>
                <w:szCs w:val="24"/>
                <w:lang w:val="en-US" w:eastAsia="zh-CN"/>
              </w:rPr>
              <w:t>融熔挤出废气所产生的</w:t>
            </w:r>
            <w:r>
              <w:rPr>
                <w:rFonts w:hint="eastAsia" w:cs="Times New Roman"/>
                <w:b/>
                <w:bCs/>
                <w:color w:val="auto"/>
                <w:sz w:val="24"/>
                <w:szCs w:val="24"/>
                <w:lang w:val="en-US" w:eastAsia="zh-CN"/>
              </w:rPr>
              <w:t>非甲烷总烃</w:t>
            </w:r>
            <w:r>
              <w:rPr>
                <w:rFonts w:hint="eastAsia"/>
                <w:color w:val="auto"/>
                <w:sz w:val="24"/>
                <w:lang w:eastAsia="zh-CN"/>
              </w:rPr>
              <w:t>排放满足《固定源挥发性有机物综合排放标准第6部分：其他行业》（DB34/4812.6-2024）表</w:t>
            </w:r>
            <w:r>
              <w:rPr>
                <w:rFonts w:hint="eastAsia"/>
                <w:color w:val="auto"/>
                <w:sz w:val="24"/>
                <w:lang w:val="en-US" w:eastAsia="zh-CN"/>
              </w:rPr>
              <w:t>1中塑料制品工业污染物排放限值；</w:t>
            </w:r>
            <w:r>
              <w:rPr>
                <w:rFonts w:hint="eastAsia" w:cs="Times New Roman"/>
                <w:b w:val="0"/>
                <w:bCs w:val="0"/>
                <w:color w:val="auto"/>
                <w:sz w:val="24"/>
                <w:szCs w:val="24"/>
                <w:lang w:val="en-US" w:eastAsia="zh-CN"/>
              </w:rPr>
              <w:t>融熔挤出废气所产生的</w:t>
            </w:r>
            <w:r>
              <w:rPr>
                <w:rFonts w:hint="eastAsia" w:cs="Times New Roman"/>
                <w:b/>
                <w:bCs/>
                <w:color w:val="auto"/>
                <w:kern w:val="2"/>
                <w:sz w:val="24"/>
                <w:szCs w:val="24"/>
                <w:lang w:val="en-US" w:eastAsia="zh-CN" w:bidi="ar-SA"/>
              </w:rPr>
              <w:t>氯化氢</w:t>
            </w:r>
            <w:r>
              <w:rPr>
                <w:rFonts w:hint="eastAsia"/>
                <w:color w:val="auto"/>
                <w:sz w:val="24"/>
                <w:lang w:eastAsia="zh-CN"/>
              </w:rPr>
              <w:t>排放满足</w:t>
            </w:r>
            <w:r>
              <w:rPr>
                <w:rFonts w:hint="default" w:ascii="Times New Roman" w:hAnsi="Times New Roman" w:eastAsia="宋体" w:cs="Times New Roman"/>
                <w:snapToGrid/>
                <w:color w:val="auto"/>
                <w:spacing w:val="0"/>
                <w:kern w:val="0"/>
                <w:position w:val="0"/>
                <w:sz w:val="24"/>
                <w:szCs w:val="24"/>
                <w:lang w:val="en-US" w:eastAsia="zh-CN"/>
              </w:rPr>
              <w:t>《合成树脂工业污染物排放标准》（GB</w:t>
            </w:r>
            <w:r>
              <w:rPr>
                <w:rFonts w:hint="eastAsia" w:ascii="Times New Roman" w:hAnsi="Times New Roman" w:eastAsia="宋体" w:cs="Times New Roman"/>
                <w:snapToGrid/>
                <w:color w:val="auto"/>
                <w:spacing w:val="0"/>
                <w:kern w:val="0"/>
                <w:position w:val="0"/>
                <w:sz w:val="24"/>
                <w:szCs w:val="24"/>
                <w:lang w:val="en-US" w:eastAsia="zh-CN"/>
              </w:rPr>
              <w:t>31572</w:t>
            </w:r>
            <w:r>
              <w:rPr>
                <w:rFonts w:hint="default" w:ascii="Times New Roman" w:hAnsi="Times New Roman" w:eastAsia="宋体" w:cs="Times New Roman"/>
                <w:snapToGrid/>
                <w:color w:val="auto"/>
                <w:spacing w:val="0"/>
                <w:kern w:val="0"/>
                <w:position w:val="0"/>
                <w:sz w:val="24"/>
                <w:szCs w:val="24"/>
                <w:lang w:val="en-US" w:eastAsia="zh-CN"/>
              </w:rPr>
              <w:t>-</w:t>
            </w:r>
            <w:r>
              <w:rPr>
                <w:rFonts w:hint="eastAsia" w:ascii="Times New Roman" w:hAnsi="Times New Roman" w:eastAsia="宋体" w:cs="Times New Roman"/>
                <w:snapToGrid/>
                <w:color w:val="auto"/>
                <w:spacing w:val="0"/>
                <w:kern w:val="0"/>
                <w:position w:val="0"/>
                <w:sz w:val="24"/>
                <w:szCs w:val="24"/>
                <w:lang w:val="en-US" w:eastAsia="zh-CN"/>
              </w:rPr>
              <w:t>2015</w:t>
            </w:r>
            <w:r>
              <w:rPr>
                <w:rFonts w:hint="default" w:ascii="Times New Roman" w:hAnsi="Times New Roman" w:eastAsia="宋体" w:cs="Times New Roman"/>
                <w:snapToGrid/>
                <w:color w:val="auto"/>
                <w:spacing w:val="0"/>
                <w:kern w:val="0"/>
                <w:position w:val="0"/>
                <w:sz w:val="24"/>
                <w:szCs w:val="24"/>
                <w:lang w:val="en-US" w:eastAsia="zh-CN"/>
              </w:rPr>
              <w:t>）</w:t>
            </w:r>
            <w:r>
              <w:rPr>
                <w:rFonts w:hint="eastAsia" w:ascii="Times New Roman" w:hAnsi="Times New Roman" w:eastAsia="宋体" w:cs="Times New Roman"/>
                <w:snapToGrid/>
                <w:color w:val="auto"/>
                <w:spacing w:val="0"/>
                <w:kern w:val="0"/>
                <w:position w:val="0"/>
                <w:sz w:val="24"/>
                <w:szCs w:val="24"/>
                <w:lang w:val="en-US" w:eastAsia="zh-CN"/>
              </w:rPr>
              <w:t>表4中污染物排放限值；</w:t>
            </w:r>
            <w:r>
              <w:rPr>
                <w:rFonts w:hint="eastAsia" w:cs="Times New Roman"/>
                <w:b w:val="0"/>
                <w:bCs w:val="0"/>
                <w:color w:val="auto"/>
                <w:sz w:val="24"/>
                <w:szCs w:val="24"/>
                <w:lang w:val="en-US" w:eastAsia="zh-CN"/>
              </w:rPr>
              <w:t>融熔挤出废气所产生的</w:t>
            </w:r>
            <w:r>
              <w:rPr>
                <w:rFonts w:hint="eastAsia" w:cs="Times New Roman"/>
                <w:b/>
                <w:bCs/>
                <w:color w:val="auto"/>
                <w:kern w:val="2"/>
                <w:sz w:val="24"/>
                <w:szCs w:val="24"/>
                <w:lang w:val="en-US" w:eastAsia="zh-CN" w:bidi="ar-SA"/>
              </w:rPr>
              <w:t>氯乙烯</w:t>
            </w:r>
            <w:r>
              <w:rPr>
                <w:rFonts w:hint="eastAsia"/>
                <w:color w:val="auto"/>
                <w:sz w:val="24"/>
                <w:lang w:eastAsia="zh-CN"/>
              </w:rPr>
              <w:t>排放满足《固定源挥发性有机物综合排放标准第6部分：其他行业》（DB34/4812.6-2024）表</w:t>
            </w:r>
            <w:r>
              <w:rPr>
                <w:rFonts w:hint="eastAsia"/>
                <w:color w:val="auto"/>
                <w:sz w:val="24"/>
                <w:lang w:val="en-US" w:eastAsia="zh-CN"/>
              </w:rPr>
              <w:t>2中污染物排放限值</w:t>
            </w:r>
            <w:r>
              <w:rPr>
                <w:rFonts w:hint="eastAsia" w:ascii="Times New Roman" w:hAnsi="Times New Roman" w:eastAsia="宋体" w:cs="Times New Roman"/>
                <w:snapToGrid/>
                <w:color w:val="auto"/>
                <w:spacing w:val="0"/>
                <w:kern w:val="0"/>
                <w:position w:val="0"/>
                <w:sz w:val="24"/>
                <w:szCs w:val="24"/>
                <w:lang w:val="en-US" w:eastAsia="zh-CN"/>
              </w:rPr>
              <w:t>。</w:t>
            </w:r>
          </w:p>
          <w:p w14:paraId="54AD3B8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Times New Roman" w:hAnsi="Times New Roman" w:eastAsia="宋体" w:cs="Times New Roman"/>
                <w:snapToGrid/>
                <w:color w:val="auto"/>
                <w:spacing w:val="0"/>
                <w:kern w:val="0"/>
                <w:position w:val="0"/>
                <w:sz w:val="24"/>
                <w:szCs w:val="24"/>
                <w:lang w:val="en-US" w:eastAsia="zh-CN"/>
              </w:rPr>
            </w:pPr>
            <w:r>
              <w:rPr>
                <w:rFonts w:hint="eastAsia" w:ascii="Times New Roman" w:hAnsi="Times New Roman" w:eastAsia="宋体" w:cs="Times New Roman"/>
                <w:b/>
                <w:bCs/>
                <w:snapToGrid/>
                <w:color w:val="auto"/>
                <w:spacing w:val="0"/>
                <w:kern w:val="0"/>
                <w:position w:val="0"/>
                <w:sz w:val="24"/>
                <w:szCs w:val="24"/>
                <w:lang w:val="en-US" w:eastAsia="zh-CN"/>
              </w:rPr>
              <w:t>颗粒物</w:t>
            </w:r>
            <w:r>
              <w:rPr>
                <w:rFonts w:hint="eastAsia" w:ascii="Times New Roman" w:hAnsi="Times New Roman" w:eastAsia="宋体" w:cs="Times New Roman"/>
                <w:snapToGrid/>
                <w:color w:val="auto"/>
                <w:spacing w:val="0"/>
                <w:kern w:val="0"/>
                <w:position w:val="0"/>
                <w:sz w:val="24"/>
                <w:szCs w:val="24"/>
                <w:lang w:val="en-US" w:eastAsia="zh-CN"/>
              </w:rPr>
              <w:t>无组织排放执行《合成树脂工业污染物排放标准》（GB31572-2015）表9中污染物排放限值；</w:t>
            </w:r>
            <w:r>
              <w:rPr>
                <w:rFonts w:hint="eastAsia" w:ascii="Times New Roman" w:hAnsi="Times New Roman" w:eastAsia="宋体" w:cs="Times New Roman"/>
                <w:b/>
                <w:bCs/>
                <w:snapToGrid/>
                <w:color w:val="auto"/>
                <w:spacing w:val="0"/>
                <w:kern w:val="0"/>
                <w:position w:val="0"/>
                <w:sz w:val="24"/>
                <w:szCs w:val="24"/>
                <w:lang w:val="en-US" w:eastAsia="zh-CN"/>
              </w:rPr>
              <w:t>非甲烷总烃</w:t>
            </w:r>
            <w:r>
              <w:rPr>
                <w:rFonts w:hint="eastAsia" w:ascii="Times New Roman" w:hAnsi="Times New Roman" w:eastAsia="宋体" w:cs="Times New Roman"/>
                <w:snapToGrid/>
                <w:color w:val="auto"/>
                <w:spacing w:val="0"/>
                <w:kern w:val="0"/>
                <w:position w:val="0"/>
                <w:sz w:val="24"/>
                <w:szCs w:val="24"/>
                <w:lang w:val="en-US" w:eastAsia="zh-CN"/>
              </w:rPr>
              <w:t>无组织排放执行《大气污染物综合排放标准》（GB16297-1996）中无组织排放限值；</w:t>
            </w:r>
            <w:r>
              <w:rPr>
                <w:rFonts w:hint="eastAsia" w:ascii="Times New Roman" w:hAnsi="Times New Roman" w:eastAsia="宋体" w:cs="Times New Roman"/>
                <w:b/>
                <w:bCs/>
                <w:color w:val="auto"/>
                <w:sz w:val="24"/>
                <w:szCs w:val="24"/>
                <w:lang w:val="en-US" w:eastAsia="zh-CN"/>
              </w:rPr>
              <w:t>氯乙烯</w:t>
            </w:r>
            <w:r>
              <w:rPr>
                <w:rFonts w:hint="eastAsia" w:ascii="Times New Roman" w:hAnsi="Times New Roman" w:eastAsia="宋体" w:cs="Times New Roman"/>
                <w:snapToGrid/>
                <w:color w:val="auto"/>
                <w:spacing w:val="0"/>
                <w:kern w:val="0"/>
                <w:position w:val="0"/>
                <w:sz w:val="24"/>
                <w:szCs w:val="24"/>
                <w:lang w:val="en-US" w:eastAsia="zh-CN"/>
              </w:rPr>
              <w:t>无组织排放执行《固定源挥发性有机物综合排放标准第6部分：其他行业》（DB34/4812.6-2024）表5中的标准限值；</w:t>
            </w:r>
            <w:r>
              <w:rPr>
                <w:rFonts w:hint="eastAsia" w:ascii="Times New Roman" w:hAnsi="Times New Roman" w:eastAsia="宋体" w:cs="Times New Roman"/>
                <w:b/>
                <w:bCs/>
                <w:color w:val="auto"/>
                <w:sz w:val="24"/>
                <w:szCs w:val="24"/>
                <w:lang w:val="en-US" w:eastAsia="zh-CN"/>
              </w:rPr>
              <w:t>氯化氢</w:t>
            </w:r>
            <w:r>
              <w:rPr>
                <w:rFonts w:hint="eastAsia" w:ascii="Times New Roman" w:hAnsi="Times New Roman" w:eastAsia="宋体" w:cs="Times New Roman"/>
                <w:snapToGrid/>
                <w:color w:val="auto"/>
                <w:spacing w:val="0"/>
                <w:kern w:val="0"/>
                <w:position w:val="0"/>
                <w:sz w:val="24"/>
                <w:szCs w:val="24"/>
                <w:lang w:val="en-US" w:eastAsia="zh-CN"/>
              </w:rPr>
              <w:t>无组织排放执行《合成树脂工业污染物排放标准》（GB31572-2015）表9中污染物排放限值；</w:t>
            </w:r>
            <w:r>
              <w:rPr>
                <w:rFonts w:hint="eastAsia" w:ascii="Times New Roman" w:hAnsi="Times New Roman" w:eastAsia="宋体" w:cs="Times New Roman"/>
                <w:b/>
                <w:bCs/>
                <w:snapToGrid/>
                <w:color w:val="auto"/>
                <w:spacing w:val="0"/>
                <w:kern w:val="0"/>
                <w:position w:val="0"/>
                <w:sz w:val="24"/>
                <w:szCs w:val="24"/>
                <w:lang w:val="en-US" w:eastAsia="zh-CN"/>
              </w:rPr>
              <w:t>非甲烷总烃</w:t>
            </w:r>
            <w:r>
              <w:rPr>
                <w:rFonts w:hint="eastAsia" w:ascii="Times New Roman" w:hAnsi="Times New Roman" w:eastAsia="宋体" w:cs="Times New Roman"/>
                <w:snapToGrid/>
                <w:color w:val="auto"/>
                <w:spacing w:val="0"/>
                <w:kern w:val="0"/>
                <w:position w:val="0"/>
                <w:sz w:val="24"/>
                <w:szCs w:val="24"/>
                <w:lang w:val="en-US" w:eastAsia="zh-CN"/>
              </w:rPr>
              <w:t>厂区内无组织排放执行《固定源挥发性有机物综合排放标准第6部分：其他行业》（DB34/4812.6-2024）表4中污染物排放限值；</w:t>
            </w:r>
            <w:r>
              <w:rPr>
                <w:rFonts w:hint="eastAsia" w:ascii="Times New Roman" w:hAnsi="Times New Roman" w:eastAsia="宋体" w:cs="Times New Roman"/>
                <w:b/>
                <w:bCs/>
                <w:snapToGrid/>
                <w:color w:val="auto"/>
                <w:spacing w:val="0"/>
                <w:kern w:val="0"/>
                <w:position w:val="0"/>
                <w:sz w:val="24"/>
                <w:szCs w:val="24"/>
                <w:lang w:val="en-US" w:eastAsia="zh-CN"/>
              </w:rPr>
              <w:t>臭气浓度</w:t>
            </w:r>
            <w:r>
              <w:rPr>
                <w:rFonts w:hint="eastAsia" w:ascii="Times New Roman" w:hAnsi="Times New Roman" w:eastAsia="宋体" w:cs="Times New Roman"/>
                <w:snapToGrid/>
                <w:color w:val="auto"/>
                <w:spacing w:val="0"/>
                <w:kern w:val="0"/>
                <w:position w:val="0"/>
                <w:sz w:val="24"/>
                <w:szCs w:val="24"/>
                <w:lang w:val="en-US" w:eastAsia="zh-CN"/>
              </w:rPr>
              <w:t>无组织排放执行</w:t>
            </w:r>
            <w:r>
              <w:rPr>
                <w:rFonts w:hint="default" w:ascii="Times New Roman" w:hAnsi="Times New Roman" w:eastAsia="宋体" w:cs="Times New Roman"/>
                <w:b w:val="0"/>
                <w:bCs/>
                <w:color w:val="auto"/>
                <w:sz w:val="24"/>
                <w:szCs w:val="24"/>
                <w:highlight w:val="none"/>
                <w:lang w:eastAsia="zh-CN"/>
              </w:rPr>
              <w:t>《恶臭污染物排放标准》（ GB14554-93）</w:t>
            </w:r>
            <w:r>
              <w:rPr>
                <w:rFonts w:hint="eastAsia" w:ascii="Times New Roman" w:hAnsi="Times New Roman" w:eastAsia="宋体" w:cs="Times New Roman"/>
                <w:b w:val="0"/>
                <w:bCs/>
                <w:color w:val="auto"/>
                <w:sz w:val="24"/>
                <w:szCs w:val="24"/>
                <w:highlight w:val="none"/>
                <w:lang w:eastAsia="zh-CN"/>
              </w:rPr>
              <w:t>表</w:t>
            </w:r>
            <w:r>
              <w:rPr>
                <w:rFonts w:hint="eastAsia" w:ascii="Times New Roman" w:hAnsi="Times New Roman" w:eastAsia="宋体" w:cs="Times New Roman"/>
                <w:b w:val="0"/>
                <w:bCs/>
                <w:color w:val="auto"/>
                <w:sz w:val="24"/>
                <w:szCs w:val="24"/>
                <w:highlight w:val="none"/>
                <w:lang w:val="en-US" w:eastAsia="zh-CN"/>
              </w:rPr>
              <w:t>1中的标准限值</w:t>
            </w:r>
            <w:r>
              <w:rPr>
                <w:rFonts w:hint="eastAsia" w:ascii="Times New Roman" w:hAnsi="Times New Roman" w:eastAsia="宋体" w:cs="Times New Roman"/>
                <w:snapToGrid/>
                <w:color w:val="auto"/>
                <w:spacing w:val="0"/>
                <w:kern w:val="0"/>
                <w:position w:val="0"/>
                <w:sz w:val="24"/>
                <w:szCs w:val="24"/>
                <w:lang w:val="en-US" w:eastAsia="zh-CN"/>
              </w:rPr>
              <w:t>。</w:t>
            </w:r>
          </w:p>
          <w:p w14:paraId="7106524D">
            <w:pPr>
              <w:pStyle w:val="14"/>
              <w:snapToGrid w:val="0"/>
              <w:spacing w:after="0" w:line="360" w:lineRule="auto"/>
              <w:ind w:left="0" w:leftChars="0" w:firstLine="480"/>
              <w:rPr>
                <w:rFonts w:hint="eastAsia"/>
                <w:b/>
                <w:color w:val="auto"/>
                <w:spacing w:val="-10"/>
                <w:sz w:val="24"/>
                <w:szCs w:val="24"/>
                <w:lang w:val="en-US" w:eastAsia="zh-CN"/>
              </w:rPr>
            </w:pPr>
            <w:r>
              <w:rPr>
                <w:color w:val="auto"/>
                <w:sz w:val="24"/>
                <w:szCs w:val="24"/>
                <w:lang w:val="en-US" w:eastAsia="zh-CN"/>
              </w:rPr>
              <w:t>综上，该项目产生的大气污染物在落实本次评价的废气防治措施后，对区域</w:t>
            </w:r>
            <w:r>
              <w:rPr>
                <w:rFonts w:hint="eastAsia"/>
                <w:color w:val="auto"/>
                <w:sz w:val="24"/>
                <w:szCs w:val="24"/>
                <w:lang w:val="en-US" w:eastAsia="zh-CN"/>
              </w:rPr>
              <w:t>及周边</w:t>
            </w:r>
            <w:r>
              <w:rPr>
                <w:rFonts w:hint="eastAsia"/>
                <w:color w:val="auto"/>
                <w:kern w:val="0"/>
                <w:sz w:val="24"/>
                <w:lang w:val="en-US" w:eastAsia="zh-CN"/>
              </w:rPr>
              <w:t>戚平庄、赵屯、孙庄、黄庄的</w:t>
            </w:r>
            <w:r>
              <w:rPr>
                <w:color w:val="auto"/>
                <w:sz w:val="24"/>
                <w:szCs w:val="24"/>
                <w:lang w:val="en-US" w:eastAsia="zh-CN"/>
              </w:rPr>
              <w:t>大气环境质量影响较小。</w:t>
            </w:r>
          </w:p>
          <w:p w14:paraId="0077DCA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val="0"/>
                <w:spacing w:val="-10"/>
                <w:sz w:val="24"/>
                <w:szCs w:val="24"/>
                <w:lang w:val="en-US" w:eastAsia="zh-CN"/>
              </w:rPr>
            </w:pPr>
            <w:r>
              <w:rPr>
                <w:rFonts w:hint="eastAsia" w:cs="Times New Roman"/>
                <w:b/>
                <w:bCs w:val="0"/>
                <w:spacing w:val="-10"/>
                <w:sz w:val="24"/>
                <w:szCs w:val="24"/>
                <w:lang w:val="en-US" w:eastAsia="zh-CN"/>
              </w:rPr>
              <w:t>2.</w:t>
            </w:r>
            <w:r>
              <w:rPr>
                <w:rFonts w:hint="eastAsia" w:ascii="Times New Roman" w:hAnsi="Times New Roman" w:eastAsia="宋体" w:cs="Times New Roman"/>
                <w:b/>
                <w:bCs w:val="0"/>
                <w:spacing w:val="-10"/>
                <w:sz w:val="24"/>
                <w:szCs w:val="24"/>
                <w:lang w:val="en-US" w:eastAsia="zh-CN"/>
              </w:rPr>
              <w:t>废水</w:t>
            </w:r>
          </w:p>
          <w:p w14:paraId="10FC11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cs="Times New Roman"/>
                <w:sz w:val="24"/>
                <w:szCs w:val="24"/>
                <w:lang w:val="en-US" w:eastAsia="zh-CN"/>
              </w:rPr>
            </w:pPr>
            <w:r>
              <w:rPr>
                <w:rFonts w:hint="default" w:ascii="Times New Roman" w:hAnsi="Times New Roman" w:eastAsia="宋体" w:cs="Times New Roman"/>
                <w:b w:val="0"/>
                <w:bCs w:val="0"/>
                <w:sz w:val="24"/>
                <w:szCs w:val="24"/>
                <w:lang w:eastAsia="zh-CN"/>
              </w:rPr>
              <w:t>本项目</w:t>
            </w:r>
            <w:r>
              <w:rPr>
                <w:rFonts w:hint="eastAsia" w:cs="Times New Roman"/>
                <w:b w:val="0"/>
                <w:bCs w:val="0"/>
                <w:sz w:val="24"/>
                <w:szCs w:val="24"/>
                <w:lang w:eastAsia="zh-CN"/>
              </w:rPr>
              <w:t>污水</w:t>
            </w:r>
            <w:r>
              <w:rPr>
                <w:rFonts w:hint="default" w:ascii="Times New Roman" w:hAnsi="Times New Roman" w:eastAsia="宋体" w:cs="Times New Roman"/>
                <w:b w:val="0"/>
                <w:bCs w:val="0"/>
                <w:sz w:val="24"/>
                <w:szCs w:val="24"/>
                <w:lang w:eastAsia="zh-CN"/>
              </w:rPr>
              <w:t>主要为生活</w:t>
            </w:r>
            <w:r>
              <w:rPr>
                <w:rFonts w:hint="eastAsia" w:cs="Times New Roman"/>
                <w:b w:val="0"/>
                <w:bCs w:val="0"/>
                <w:sz w:val="24"/>
                <w:szCs w:val="24"/>
                <w:lang w:eastAsia="zh-CN"/>
              </w:rPr>
              <w:t>污水</w:t>
            </w:r>
            <w:r>
              <w:rPr>
                <w:rFonts w:hint="default" w:ascii="Times New Roman" w:hAnsi="Times New Roman" w:eastAsia="宋体" w:cs="Times New Roman"/>
                <w:b w:val="0"/>
                <w:bCs w:val="0"/>
                <w:sz w:val="24"/>
                <w:szCs w:val="24"/>
                <w:lang w:eastAsia="zh-CN"/>
              </w:rPr>
              <w:t>、</w:t>
            </w:r>
            <w:r>
              <w:rPr>
                <w:rFonts w:hint="eastAsia" w:cs="Times New Roman"/>
                <w:b w:val="0"/>
                <w:bCs w:val="0"/>
                <w:sz w:val="24"/>
                <w:szCs w:val="24"/>
                <w:lang w:eastAsia="zh-CN"/>
              </w:rPr>
              <w:t>喷淋废水</w:t>
            </w:r>
            <w:r>
              <w:rPr>
                <w:rFonts w:hint="default"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val="0"/>
                <w:sz w:val="24"/>
                <w:szCs w:val="24"/>
                <w:lang w:val="en-US" w:eastAsia="zh-CN"/>
              </w:rPr>
              <w:t>项目生活污水经厂区新建化粪池处理</w:t>
            </w:r>
            <w:r>
              <w:rPr>
                <w:rFonts w:hint="eastAsia" w:cs="Times New Roman"/>
                <w:b w:val="0"/>
                <w:bCs w:val="0"/>
                <w:sz w:val="24"/>
                <w:szCs w:val="24"/>
                <w:lang w:val="en-US" w:eastAsia="zh-CN"/>
              </w:rPr>
              <w:t>；</w:t>
            </w:r>
            <w:r>
              <w:rPr>
                <w:rFonts w:hint="default" w:ascii="Times New Roman" w:hAnsi="Times New Roman" w:eastAsia="宋体" w:cs="Times New Roman"/>
                <w:b w:val="0"/>
                <w:bCs w:val="0"/>
                <w:sz w:val="24"/>
                <w:szCs w:val="24"/>
                <w:lang w:eastAsia="zh-CN"/>
              </w:rPr>
              <w:t>地面冲洗水</w:t>
            </w:r>
            <w:r>
              <w:rPr>
                <w:rFonts w:hint="eastAsia" w:cs="Times New Roman"/>
                <w:b w:val="0"/>
                <w:bCs w:val="0"/>
                <w:sz w:val="24"/>
                <w:szCs w:val="24"/>
                <w:lang w:eastAsia="zh-CN"/>
              </w:rPr>
              <w:t>废水</w:t>
            </w:r>
            <w:r>
              <w:rPr>
                <w:rFonts w:hint="eastAsia" w:cs="Times New Roman"/>
                <w:b w:val="0"/>
                <w:bCs w:val="0"/>
                <w:sz w:val="24"/>
                <w:szCs w:val="24"/>
                <w:lang w:val="en-US" w:eastAsia="zh-CN"/>
              </w:rPr>
              <w:t>与生活污水汇合</w:t>
            </w:r>
            <w:r>
              <w:rPr>
                <w:rFonts w:hint="eastAsia"/>
                <w:color w:val="000000" w:themeColor="text1"/>
                <w:sz w:val="24"/>
                <w:szCs w:val="24"/>
                <w:highlight w:val="none"/>
                <w:shd w:val="clear" w:color="auto" w:fill="auto"/>
                <w:lang w:val="en-US" w:eastAsia="zh-CN"/>
                <w14:textFill>
                  <w14:solidFill>
                    <w14:schemeClr w14:val="tx1"/>
                  </w14:solidFill>
                </w14:textFill>
              </w:rPr>
              <w:t>达到《污水综合排放标准》（GB8978-1996）三级标准及</w:t>
            </w:r>
            <w:r>
              <w:rPr>
                <w:rFonts w:hint="eastAsia"/>
                <w:sz w:val="24"/>
                <w:lang w:eastAsia="zh-CN"/>
              </w:rPr>
              <w:t>城东污水处理厂</w:t>
            </w:r>
            <w:r>
              <w:rPr>
                <w:rFonts w:hint="eastAsia"/>
                <w:color w:val="000000" w:themeColor="text1"/>
                <w:sz w:val="24"/>
                <w:szCs w:val="24"/>
                <w:highlight w:val="none"/>
                <w:shd w:val="clear" w:color="auto" w:fill="auto"/>
                <w:lang w:val="en-US" w:eastAsia="zh-CN"/>
                <w14:textFill>
                  <w14:solidFill>
                    <w14:schemeClr w14:val="tx1"/>
                  </w14:solidFill>
                </w14:textFill>
              </w:rPr>
              <w:t>接管限值后</w:t>
            </w:r>
            <w:r>
              <w:rPr>
                <w:rFonts w:hint="eastAsia" w:cs="Times New Roman"/>
                <w:color w:val="000000" w:themeColor="text1"/>
                <w:sz w:val="24"/>
                <w:szCs w:val="24"/>
                <w:highlight w:val="none"/>
                <w:shd w:val="clear" w:color="auto" w:fill="auto"/>
                <w:vertAlign w:val="baseline"/>
                <w:lang w:val="en-US" w:eastAsia="zh-CN"/>
                <w14:textFill>
                  <w14:solidFill>
                    <w14:schemeClr w14:val="tx1"/>
                  </w14:solidFill>
                </w14:textFill>
              </w:rPr>
              <w:t>经市政污水管网</w:t>
            </w:r>
            <w:r>
              <w:rPr>
                <w:rFonts w:hint="eastAsia"/>
                <w:color w:val="000000" w:themeColor="text1"/>
                <w:sz w:val="24"/>
                <w:szCs w:val="24"/>
                <w:highlight w:val="none"/>
                <w:shd w:val="clear" w:color="auto" w:fill="auto"/>
                <w:lang w:val="en-US" w:eastAsia="zh-CN"/>
                <w14:textFill>
                  <w14:solidFill>
                    <w14:schemeClr w14:val="tx1"/>
                  </w14:solidFill>
                </w14:textFill>
              </w:rPr>
              <w:t>排入</w:t>
            </w:r>
            <w:r>
              <w:rPr>
                <w:rFonts w:hint="eastAsia"/>
                <w:sz w:val="24"/>
                <w:lang w:eastAsia="zh-CN"/>
              </w:rPr>
              <w:t>城东污水处理厂</w:t>
            </w:r>
            <w:r>
              <w:rPr>
                <w:rFonts w:hint="eastAsia"/>
                <w:color w:val="000000" w:themeColor="text1"/>
                <w:sz w:val="24"/>
                <w:szCs w:val="24"/>
                <w:highlight w:val="none"/>
                <w:shd w:val="clear" w:color="auto" w:fill="auto"/>
                <w:lang w:val="en-US" w:eastAsia="zh-CN"/>
                <w14:textFill>
                  <w14:solidFill>
                    <w14:schemeClr w14:val="tx1"/>
                  </w14:solidFill>
                </w14:textFill>
              </w:rPr>
              <w:t>进行处理。</w:t>
            </w:r>
          </w:p>
          <w:p w14:paraId="7785471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imes New Roman" w:hAnsi="Times New Roman" w:eastAsia="宋体" w:cs="Times New Roman"/>
                <w:sz w:val="24"/>
                <w:szCs w:val="24"/>
                <w:lang w:val="en-US" w:eastAsia="zh-CN"/>
              </w:rPr>
            </w:pPr>
          </w:p>
          <w:p w14:paraId="24D5E83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31DBA86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0ADA5EB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7222D44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586FE67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cs="Times New Roman"/>
                <w:bCs/>
                <w:spacing w:val="-10"/>
                <w:sz w:val="24"/>
                <w:szCs w:val="24"/>
                <w:lang w:val="en-US" w:eastAsia="zh-CN"/>
              </w:rPr>
            </w:pPr>
          </w:p>
          <w:p w14:paraId="7CB8112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Cs/>
                <w:spacing w:val="-10"/>
                <w:sz w:val="24"/>
                <w:szCs w:val="24"/>
                <w:lang w:val="en-US" w:eastAsia="zh-CN"/>
              </w:rPr>
            </w:pPr>
          </w:p>
        </w:tc>
      </w:tr>
    </w:tbl>
    <w:p w14:paraId="06624252">
      <w:pPr>
        <w:rPr>
          <w:rFonts w:hint="eastAsia"/>
        </w:r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97"/>
        <w:gridCol w:w="13055"/>
      </w:tblGrid>
      <w:tr w14:paraId="5212D0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32" w:hRule="atLeast"/>
          <w:jc w:val="center"/>
        </w:trPr>
        <w:tc>
          <w:tcPr>
            <w:tcW w:w="497" w:type="dxa"/>
            <w:tcBorders>
              <w:tl2br w:val="nil"/>
              <w:tr2bl w:val="nil"/>
            </w:tcBorders>
            <w:noWrap w:val="0"/>
            <w:vAlign w:val="center"/>
          </w:tcPr>
          <w:p w14:paraId="48ABE80A">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运营</w:t>
            </w:r>
          </w:p>
          <w:p w14:paraId="55DB5B50">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期环</w:t>
            </w:r>
          </w:p>
          <w:p w14:paraId="742A2DB7">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境影</w:t>
            </w:r>
          </w:p>
          <w:p w14:paraId="3FC7C6D7">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响和</w:t>
            </w:r>
          </w:p>
          <w:p w14:paraId="00DC0FFD">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保护</w:t>
            </w:r>
          </w:p>
          <w:p w14:paraId="36E71156">
            <w:pPr>
              <w:pStyle w:val="31"/>
              <w:spacing w:line="240" w:lineRule="auto"/>
              <w:ind w:left="0" w:leftChars="0" w:firstLine="0" w:firstLineChars="0"/>
              <w:jc w:val="both"/>
              <w:rPr>
                <w:rFonts w:hint="default" w:ascii="Times New Roman" w:hAnsi="Times New Roman" w:eastAsia="宋体" w:cs="Times New Roman"/>
                <w:snapToGrid/>
                <w:color w:val="000000" w:themeColor="text1"/>
                <w:spacing w:val="0"/>
                <w:kern w:val="0"/>
                <w:position w:val="0"/>
                <w:vertAlign w:val="baseline"/>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措施</w:t>
            </w:r>
          </w:p>
        </w:tc>
        <w:tc>
          <w:tcPr>
            <w:tcW w:w="13055" w:type="dxa"/>
            <w:tcBorders>
              <w:tl2br w:val="nil"/>
              <w:tr2bl w:val="nil"/>
            </w:tcBorders>
            <w:noWrap w:val="0"/>
            <w:vAlign w:val="top"/>
          </w:tcPr>
          <w:p w14:paraId="116550CC">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center"/>
              <w:textAlignment w:val="auto"/>
              <w:rPr>
                <w:rFonts w:hint="default" w:ascii="Times New Roman" w:hAnsi="Times New Roman" w:eastAsia="宋体" w:cs="Times New Roman"/>
                <w:snapToGrid/>
                <w:color w:val="000000" w:themeColor="text1"/>
                <w:spacing w:val="0"/>
                <w:kern w:val="0"/>
                <w:position w:val="0"/>
                <w:sz w:val="24"/>
                <w:szCs w:val="24"/>
                <w:lang w:val="en-US" w:eastAsia="zh-CN"/>
                <w14:textFill>
                  <w14:solidFill>
                    <w14:schemeClr w14:val="tx1"/>
                  </w14:solidFill>
                </w14:textFill>
              </w:rPr>
            </w:pPr>
            <w:r>
              <w:rPr>
                <w:rFonts w:hint="default" w:ascii="Times New Roman" w:hAnsi="Times New Roman" w:eastAsia="宋体" w:cs="Times New Roman"/>
                <w:b/>
                <w:bCs/>
                <w:snapToGrid/>
                <w:color w:val="000000" w:themeColor="text1"/>
                <w:spacing w:val="0"/>
                <w:kern w:val="0"/>
                <w:position w:val="0"/>
                <w:sz w:val="24"/>
                <w:szCs w:val="24"/>
                <w14:textFill>
                  <w14:solidFill>
                    <w14:schemeClr w14:val="tx1"/>
                  </w14:solidFill>
                </w14:textFill>
              </w:rPr>
              <w:t>表</w:t>
            </w:r>
            <w:r>
              <w:rPr>
                <w:rFonts w:hint="default"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t>4.</w:t>
            </w:r>
            <w:r>
              <w:rPr>
                <w:rFonts w:hint="eastAsia" w:cs="Times New Roman"/>
                <w:b/>
                <w:bCs/>
                <w:snapToGrid/>
                <w:color w:val="000000" w:themeColor="text1"/>
                <w:spacing w:val="0"/>
                <w:kern w:val="0"/>
                <w:position w:val="0"/>
                <w:sz w:val="24"/>
                <w:szCs w:val="24"/>
                <w:lang w:val="en-US" w:eastAsia="zh-CN"/>
                <w14:textFill>
                  <w14:solidFill>
                    <w14:schemeClr w14:val="tx1"/>
                  </w14:solidFill>
                </w14:textFill>
              </w:rPr>
              <w:t>6</w:t>
            </w:r>
            <w:r>
              <w:rPr>
                <w:rFonts w:hint="eastAsia"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t xml:space="preserve"> </w:t>
            </w:r>
            <w:r>
              <w:rPr>
                <w:rFonts w:hint="default"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t xml:space="preserve"> </w:t>
            </w:r>
            <w:r>
              <w:rPr>
                <w:rFonts w:hint="eastAsia"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t>项目</w:t>
            </w:r>
            <w:r>
              <w:rPr>
                <w:rFonts w:hint="default"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t>废水</w:t>
            </w:r>
            <w:r>
              <w:rPr>
                <w:rFonts w:hint="eastAsia"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t>产排生</w:t>
            </w:r>
            <w:r>
              <w:rPr>
                <w:rFonts w:hint="default"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t>情况一览表</w:t>
            </w:r>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892"/>
              <w:gridCol w:w="909"/>
              <w:gridCol w:w="911"/>
              <w:gridCol w:w="908"/>
              <w:gridCol w:w="1021"/>
              <w:gridCol w:w="988"/>
              <w:gridCol w:w="858"/>
              <w:gridCol w:w="913"/>
              <w:gridCol w:w="901"/>
              <w:gridCol w:w="911"/>
              <w:gridCol w:w="915"/>
              <w:gridCol w:w="897"/>
              <w:gridCol w:w="909"/>
            </w:tblGrid>
            <w:tr w14:paraId="4138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0" w:type="dxa"/>
                  <w:vMerge w:val="restart"/>
                  <w:noWrap w:val="0"/>
                  <w:vAlign w:val="center"/>
                </w:tcPr>
                <w:p w14:paraId="365CD65A">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lang w:val="en-US" w:eastAsia="zh-CN"/>
                    </w:rPr>
                    <w:t>产排污环节</w:t>
                  </w:r>
                </w:p>
              </w:tc>
              <w:tc>
                <w:tcPr>
                  <w:tcW w:w="892" w:type="dxa"/>
                  <w:vMerge w:val="restart"/>
                  <w:noWrap w:val="0"/>
                  <w:vAlign w:val="center"/>
                </w:tcPr>
                <w:p w14:paraId="70A5F98B">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废水</w:t>
                  </w:r>
                </w:p>
                <w:p w14:paraId="07BFEE97">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lang w:val="en-US" w:eastAsia="zh-CN"/>
                    </w:rPr>
                    <w:t>类别</w:t>
                  </w:r>
                </w:p>
              </w:tc>
              <w:tc>
                <w:tcPr>
                  <w:tcW w:w="909" w:type="dxa"/>
                  <w:vMerge w:val="restart"/>
                  <w:noWrap w:val="0"/>
                  <w:vAlign w:val="center"/>
                </w:tcPr>
                <w:p w14:paraId="4BB23145">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vertAlign w:val="baseline"/>
                      <w:lang w:val="en-US" w:eastAsia="zh-CN"/>
                    </w:rPr>
                  </w:pPr>
                  <w:r>
                    <w:rPr>
                      <w:rFonts w:hint="default" w:ascii="Times New Roman" w:hAnsi="Times New Roman" w:eastAsia="宋体" w:cs="Times New Roman"/>
                      <w:b w:val="0"/>
                      <w:bCs w:val="0"/>
                      <w:snapToGrid/>
                      <w:color w:val="auto"/>
                      <w:spacing w:val="0"/>
                      <w:kern w:val="0"/>
                      <w:position w:val="0"/>
                      <w:sz w:val="21"/>
                      <w:szCs w:val="21"/>
                      <w:highlight w:val="none"/>
                      <w:vertAlign w:val="baseline"/>
                      <w:lang w:val="en-US" w:eastAsia="zh-CN"/>
                    </w:rPr>
                    <w:t>排放量</w:t>
                  </w:r>
                </w:p>
                <w:p w14:paraId="14DCB929">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b w:val="0"/>
                      <w:bCs w:val="0"/>
                      <w:snapToGrid/>
                      <w:color w:val="auto"/>
                      <w:spacing w:val="0"/>
                      <w:kern w:val="0"/>
                      <w:position w:val="0"/>
                      <w:sz w:val="21"/>
                      <w:szCs w:val="21"/>
                      <w:highlight w:val="none"/>
                      <w:vertAlign w:val="baseline"/>
                      <w:lang w:val="en-US" w:eastAsia="zh-CN"/>
                    </w:rPr>
                    <w:t>(</w:t>
                  </w:r>
                  <w:r>
                    <w:rPr>
                      <w:rFonts w:hint="default" w:ascii="Times New Roman" w:hAnsi="Times New Roman" w:eastAsia="宋体" w:cs="Times New Roman"/>
                      <w:b w:val="0"/>
                      <w:bCs w:val="0"/>
                      <w:snapToGrid/>
                      <w:color w:val="auto"/>
                      <w:spacing w:val="0"/>
                      <w:kern w:val="0"/>
                      <w:position w:val="0"/>
                      <w:sz w:val="21"/>
                      <w:szCs w:val="21"/>
                      <w:highlight w:val="none"/>
                      <w:vertAlign w:val="baseline"/>
                      <w:lang w:val="en-US" w:eastAsia="zh-CN"/>
                    </w:rPr>
                    <w:t>t/</w:t>
                  </w:r>
                  <w:r>
                    <w:rPr>
                      <w:rFonts w:hint="eastAsia" w:cs="Times New Roman"/>
                      <w:b w:val="0"/>
                      <w:bCs w:val="0"/>
                      <w:snapToGrid/>
                      <w:color w:val="auto"/>
                      <w:spacing w:val="0"/>
                      <w:kern w:val="0"/>
                      <w:position w:val="0"/>
                      <w:sz w:val="21"/>
                      <w:szCs w:val="21"/>
                      <w:highlight w:val="none"/>
                      <w:vertAlign w:val="baseline"/>
                      <w:lang w:val="en-US" w:eastAsia="zh-CN"/>
                    </w:rPr>
                    <w:t>a)</w:t>
                  </w:r>
                </w:p>
              </w:tc>
              <w:tc>
                <w:tcPr>
                  <w:tcW w:w="911" w:type="dxa"/>
                  <w:vMerge w:val="restart"/>
                  <w:noWrap w:val="0"/>
                  <w:vAlign w:val="center"/>
                </w:tcPr>
                <w:p w14:paraId="48397657">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lang w:val="en-US" w:eastAsia="zh-CN"/>
                    </w:rPr>
                    <w:t>污染物种类</w:t>
                  </w:r>
                </w:p>
              </w:tc>
              <w:tc>
                <w:tcPr>
                  <w:tcW w:w="1929" w:type="dxa"/>
                  <w:gridSpan w:val="2"/>
                  <w:noWrap w:val="0"/>
                  <w:vAlign w:val="center"/>
                </w:tcPr>
                <w:p w14:paraId="7010C0A3">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lang w:val="en-US" w:eastAsia="zh-CN"/>
                    </w:rPr>
                    <w:t>污染物产生情况</w:t>
                  </w:r>
                </w:p>
              </w:tc>
              <w:tc>
                <w:tcPr>
                  <w:tcW w:w="3660" w:type="dxa"/>
                  <w:gridSpan w:val="4"/>
                  <w:noWrap w:val="0"/>
                  <w:vAlign w:val="center"/>
                </w:tcPr>
                <w:p w14:paraId="5A5CB0F3">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治理设施</w:t>
                  </w:r>
                </w:p>
              </w:tc>
              <w:tc>
                <w:tcPr>
                  <w:tcW w:w="1826" w:type="dxa"/>
                  <w:gridSpan w:val="2"/>
                  <w:noWrap w:val="0"/>
                  <w:vAlign w:val="center"/>
                </w:tcPr>
                <w:p w14:paraId="56687B7C">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污染物排放情况</w:t>
                  </w:r>
                </w:p>
              </w:tc>
              <w:tc>
                <w:tcPr>
                  <w:tcW w:w="897" w:type="dxa"/>
                  <w:vMerge w:val="restart"/>
                  <w:noWrap w:val="0"/>
                  <w:vAlign w:val="center"/>
                </w:tcPr>
                <w:p w14:paraId="65BE9640">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排放方式</w:t>
                  </w:r>
                </w:p>
              </w:tc>
              <w:tc>
                <w:tcPr>
                  <w:tcW w:w="909" w:type="dxa"/>
                  <w:vMerge w:val="restart"/>
                  <w:noWrap w:val="0"/>
                  <w:vAlign w:val="center"/>
                </w:tcPr>
                <w:p w14:paraId="5A72164F">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ascii="Times New Roman" w:hAnsi="Times New Roman" w:eastAsia="宋体" w:cs="Times New Roman"/>
                      <w:snapToGrid/>
                      <w:color w:val="auto"/>
                      <w:spacing w:val="0"/>
                      <w:kern w:val="0"/>
                      <w:position w:val="0"/>
                      <w:lang w:val="en-US" w:eastAsia="zh-CN"/>
                    </w:rPr>
                    <w:t>执行标准</w:t>
                  </w:r>
                </w:p>
              </w:tc>
            </w:tr>
            <w:tr w14:paraId="17305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0" w:type="dxa"/>
                  <w:vMerge w:val="continue"/>
                  <w:noWrap w:val="0"/>
                  <w:vAlign w:val="center"/>
                </w:tcPr>
                <w:p w14:paraId="0BC619AD">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892" w:type="dxa"/>
                  <w:vMerge w:val="continue"/>
                  <w:noWrap w:val="0"/>
                  <w:vAlign w:val="center"/>
                </w:tcPr>
                <w:p w14:paraId="37F9AE5D">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09" w:type="dxa"/>
                  <w:vMerge w:val="continue"/>
                  <w:noWrap w:val="0"/>
                  <w:vAlign w:val="center"/>
                </w:tcPr>
                <w:p w14:paraId="3E21E37F">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1" w:type="dxa"/>
                  <w:vMerge w:val="continue"/>
                  <w:noWrap w:val="0"/>
                  <w:vAlign w:val="center"/>
                </w:tcPr>
                <w:p w14:paraId="540964A4">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08" w:type="dxa"/>
                  <w:noWrap w:val="0"/>
                  <w:vAlign w:val="center"/>
                </w:tcPr>
                <w:p w14:paraId="1466C904">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lang w:val="en-US" w:eastAsia="zh-CN"/>
                    </w:rPr>
                    <w:t>产生量</w:t>
                  </w:r>
                  <w:r>
                    <w:rPr>
                      <w:rFonts w:hint="default" w:ascii="Times New Roman" w:hAnsi="Times New Roman" w:eastAsia="宋体" w:cs="Times New Roman"/>
                      <w:snapToGrid/>
                      <w:color w:val="auto"/>
                      <w:spacing w:val="0"/>
                      <w:kern w:val="0"/>
                      <w:position w:val="0"/>
                      <w:lang w:eastAsia="zh-CN"/>
                    </w:rPr>
                    <w:t>t/a</w:t>
                  </w:r>
                </w:p>
              </w:tc>
              <w:tc>
                <w:tcPr>
                  <w:tcW w:w="1021" w:type="dxa"/>
                  <w:noWrap w:val="0"/>
                  <w:vAlign w:val="center"/>
                </w:tcPr>
                <w:p w14:paraId="126BD846">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sz w:val="21"/>
                      <w:szCs w:val="21"/>
                      <w:lang w:val="en-US" w:eastAsia="zh-CN"/>
                    </w:rPr>
                    <w:t>浓度</w:t>
                  </w:r>
                  <w:r>
                    <w:rPr>
                      <w:rFonts w:hint="default" w:ascii="Times New Roman" w:hAnsi="Times New Roman" w:eastAsia="宋体" w:cs="Times New Roman"/>
                      <w:snapToGrid/>
                      <w:color w:val="auto"/>
                      <w:spacing w:val="0"/>
                      <w:kern w:val="0"/>
                      <w:position w:val="0"/>
                      <w:lang w:val="en-US" w:eastAsia="zh-CN"/>
                    </w:rPr>
                    <w:t>mg/L</w:t>
                  </w:r>
                </w:p>
              </w:tc>
              <w:tc>
                <w:tcPr>
                  <w:tcW w:w="988" w:type="dxa"/>
                  <w:noWrap w:val="0"/>
                  <w:vAlign w:val="center"/>
                </w:tcPr>
                <w:p w14:paraId="4E3A832C">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工艺</w:t>
                  </w:r>
                </w:p>
              </w:tc>
              <w:tc>
                <w:tcPr>
                  <w:tcW w:w="858" w:type="dxa"/>
                  <w:noWrap w:val="0"/>
                  <w:vAlign w:val="center"/>
                </w:tcPr>
                <w:p w14:paraId="12CB0D8A">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处理能力</w:t>
                  </w:r>
                </w:p>
              </w:tc>
              <w:tc>
                <w:tcPr>
                  <w:tcW w:w="913" w:type="dxa"/>
                  <w:noWrap w:val="0"/>
                  <w:vAlign w:val="center"/>
                </w:tcPr>
                <w:p w14:paraId="2BFC65C8">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治理效率</w:t>
                  </w:r>
                </w:p>
              </w:tc>
              <w:tc>
                <w:tcPr>
                  <w:tcW w:w="901" w:type="dxa"/>
                  <w:noWrap w:val="0"/>
                  <w:vAlign w:val="center"/>
                </w:tcPr>
                <w:p w14:paraId="50BF34E7">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是否为可行技术</w:t>
                  </w:r>
                </w:p>
              </w:tc>
              <w:tc>
                <w:tcPr>
                  <w:tcW w:w="911" w:type="dxa"/>
                  <w:noWrap w:val="0"/>
                  <w:vAlign w:val="center"/>
                </w:tcPr>
                <w:p w14:paraId="4120DD43">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排放量</w:t>
                  </w:r>
                  <w:r>
                    <w:rPr>
                      <w:rFonts w:hint="default" w:ascii="Times New Roman" w:hAnsi="Times New Roman" w:eastAsia="宋体" w:cs="Times New Roman"/>
                      <w:snapToGrid/>
                      <w:color w:val="auto"/>
                      <w:spacing w:val="0"/>
                      <w:kern w:val="0"/>
                      <w:position w:val="0"/>
                      <w:lang w:eastAsia="zh-CN"/>
                    </w:rPr>
                    <w:t>t/a</w:t>
                  </w:r>
                </w:p>
              </w:tc>
              <w:tc>
                <w:tcPr>
                  <w:tcW w:w="915" w:type="dxa"/>
                  <w:noWrap w:val="0"/>
                  <w:vAlign w:val="center"/>
                </w:tcPr>
                <w:p w14:paraId="4969D6BE">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排放浓度mg/L</w:t>
                  </w:r>
                </w:p>
              </w:tc>
              <w:tc>
                <w:tcPr>
                  <w:tcW w:w="897" w:type="dxa"/>
                  <w:vMerge w:val="continue"/>
                  <w:noWrap w:val="0"/>
                  <w:vAlign w:val="center"/>
                </w:tcPr>
                <w:p w14:paraId="14C8FA8A">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09" w:type="dxa"/>
                  <w:vMerge w:val="continue"/>
                  <w:noWrap w:val="0"/>
                  <w:vAlign w:val="center"/>
                </w:tcPr>
                <w:p w14:paraId="15303DFF">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r>
            <w:tr w14:paraId="46FCB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0" w:type="dxa"/>
                  <w:vMerge w:val="restart"/>
                  <w:noWrap w:val="0"/>
                  <w:vAlign w:val="center"/>
                </w:tcPr>
                <w:p w14:paraId="4AE97EEA">
                  <w:pPr>
                    <w:adjustRightInd w:val="0"/>
                    <w:snapToGrid w:val="0"/>
                    <w:jc w:val="center"/>
                    <w:rPr>
                      <w:rFonts w:hint="eastAsia" w:ascii="Times New Roman" w:hAnsi="Times New Roman" w:eastAsia="宋体" w:cs="Times New Roman"/>
                      <w:snapToGrid/>
                      <w:color w:val="auto"/>
                      <w:spacing w:val="0"/>
                      <w:kern w:val="0"/>
                      <w:position w:val="0"/>
                      <w:lang w:val="en-US" w:eastAsia="zh-CN"/>
                    </w:rPr>
                  </w:pPr>
                  <w:r>
                    <w:rPr>
                      <w:rFonts w:hint="eastAsia" w:ascii="Times New Roman" w:hAnsi="Times New Roman" w:eastAsia="宋体" w:cs="Times New Roman"/>
                      <w:snapToGrid/>
                      <w:color w:val="auto"/>
                      <w:spacing w:val="0"/>
                      <w:kern w:val="0"/>
                      <w:position w:val="0"/>
                      <w:lang w:val="en-US" w:eastAsia="zh-CN"/>
                    </w:rPr>
                    <w:t>职工</w:t>
                  </w:r>
                </w:p>
                <w:p w14:paraId="71D864B2">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ascii="Times New Roman" w:hAnsi="Times New Roman" w:eastAsia="宋体" w:cs="Times New Roman"/>
                      <w:snapToGrid/>
                      <w:color w:val="auto"/>
                      <w:spacing w:val="0"/>
                      <w:kern w:val="0"/>
                      <w:position w:val="0"/>
                      <w:lang w:val="en-US" w:eastAsia="zh-CN"/>
                    </w:rPr>
                    <w:t>生活</w:t>
                  </w:r>
                </w:p>
              </w:tc>
              <w:tc>
                <w:tcPr>
                  <w:tcW w:w="892" w:type="dxa"/>
                  <w:vMerge w:val="restart"/>
                  <w:noWrap w:val="0"/>
                  <w:vAlign w:val="center"/>
                </w:tcPr>
                <w:p w14:paraId="067C4606">
                  <w:pPr>
                    <w:adjustRightInd w:val="0"/>
                    <w:snapToGrid w:val="0"/>
                    <w:jc w:val="center"/>
                    <w:rPr>
                      <w:rFonts w:hint="eastAsia" w:ascii="Times New Roman" w:hAnsi="Times New Roman" w:eastAsia="宋体" w:cs="Times New Roman"/>
                      <w:snapToGrid/>
                      <w:color w:val="auto"/>
                      <w:spacing w:val="0"/>
                      <w:kern w:val="0"/>
                      <w:position w:val="0"/>
                      <w:lang w:val="en-US" w:eastAsia="zh-CN"/>
                    </w:rPr>
                  </w:pPr>
                  <w:r>
                    <w:rPr>
                      <w:rFonts w:hint="eastAsia" w:ascii="Times New Roman" w:hAnsi="Times New Roman" w:eastAsia="宋体" w:cs="Times New Roman"/>
                      <w:snapToGrid/>
                      <w:color w:val="auto"/>
                      <w:spacing w:val="0"/>
                      <w:kern w:val="0"/>
                      <w:position w:val="0"/>
                      <w:lang w:val="en-US" w:eastAsia="zh-CN"/>
                    </w:rPr>
                    <w:t>生活</w:t>
                  </w:r>
                </w:p>
                <w:p w14:paraId="5E105CD3">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ascii="Times New Roman" w:hAnsi="Times New Roman" w:eastAsia="宋体" w:cs="Times New Roman"/>
                      <w:snapToGrid/>
                      <w:color w:val="auto"/>
                      <w:spacing w:val="0"/>
                      <w:kern w:val="0"/>
                      <w:position w:val="0"/>
                      <w:lang w:val="en-US" w:eastAsia="zh-CN"/>
                    </w:rPr>
                    <w:t>污水</w:t>
                  </w:r>
                </w:p>
              </w:tc>
              <w:tc>
                <w:tcPr>
                  <w:tcW w:w="909" w:type="dxa"/>
                  <w:vMerge w:val="restart"/>
                  <w:noWrap w:val="0"/>
                  <w:vAlign w:val="center"/>
                </w:tcPr>
                <w:p w14:paraId="3C5E5C86">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336</w:t>
                  </w:r>
                </w:p>
              </w:tc>
              <w:tc>
                <w:tcPr>
                  <w:tcW w:w="911" w:type="dxa"/>
                  <w:noWrap w:val="0"/>
                  <w:vAlign w:val="center"/>
                </w:tcPr>
                <w:p w14:paraId="0FE6DBA4">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lang w:val="en-US" w:eastAsia="zh-CN"/>
                    </w:rPr>
                    <w:t>COD</w:t>
                  </w:r>
                </w:p>
              </w:tc>
              <w:tc>
                <w:tcPr>
                  <w:tcW w:w="908" w:type="dxa"/>
                  <w:noWrap w:val="0"/>
                  <w:vAlign w:val="center"/>
                </w:tcPr>
                <w:p w14:paraId="6336D5D5">
                  <w:pPr>
                    <w:adjustRightInd w:val="0"/>
                    <w:snapToGrid w:val="0"/>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cs="Times New Roman"/>
                      <w:bCs/>
                      <w:snapToGrid/>
                      <w:color w:val="auto"/>
                      <w:spacing w:val="0"/>
                      <w:kern w:val="0"/>
                      <w:position w:val="0"/>
                      <w:sz w:val="21"/>
                      <w:szCs w:val="21"/>
                      <w:lang w:val="en-US" w:eastAsia="zh-CN"/>
                    </w:rPr>
                    <w:t>0.101</w:t>
                  </w:r>
                </w:p>
              </w:tc>
              <w:tc>
                <w:tcPr>
                  <w:tcW w:w="1021" w:type="dxa"/>
                  <w:noWrap w:val="0"/>
                  <w:vAlign w:val="center"/>
                </w:tcPr>
                <w:p w14:paraId="409BC0EF">
                  <w:pPr>
                    <w:pStyle w:val="2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ascii="Times New Roman" w:hAnsi="Times New Roman" w:eastAsia="宋体" w:cs="Times New Roman"/>
                      <w:b w:val="0"/>
                      <w:bCs w:val="0"/>
                      <w:snapToGrid/>
                      <w:color w:val="auto"/>
                      <w:spacing w:val="0"/>
                      <w:kern w:val="0"/>
                      <w:position w:val="0"/>
                      <w:sz w:val="21"/>
                      <w:szCs w:val="21"/>
                      <w:vertAlign w:val="baseline"/>
                      <w:lang w:val="en-US" w:eastAsia="zh-CN" w:bidi="ar-SA"/>
                    </w:rPr>
                    <w:t>300</w:t>
                  </w:r>
                </w:p>
              </w:tc>
              <w:tc>
                <w:tcPr>
                  <w:tcW w:w="988" w:type="dxa"/>
                  <w:vMerge w:val="restart"/>
                  <w:noWrap w:val="0"/>
                  <w:vAlign w:val="center"/>
                </w:tcPr>
                <w:p w14:paraId="23512CE6">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cs="Times New Roman"/>
                      <w:b w:val="0"/>
                      <w:bCs w:val="0"/>
                      <w:snapToGrid/>
                      <w:color w:val="auto"/>
                      <w:spacing w:val="0"/>
                      <w:kern w:val="0"/>
                      <w:position w:val="0"/>
                      <w:sz w:val="21"/>
                      <w:szCs w:val="21"/>
                      <w:vertAlign w:val="baseline"/>
                      <w:lang w:val="en-US" w:eastAsia="zh-CN"/>
                    </w:rPr>
                    <w:t>化粪池</w:t>
                  </w:r>
                </w:p>
              </w:tc>
              <w:tc>
                <w:tcPr>
                  <w:tcW w:w="858" w:type="dxa"/>
                  <w:vMerge w:val="restart"/>
                  <w:noWrap w:val="0"/>
                  <w:vAlign w:val="center"/>
                </w:tcPr>
                <w:p w14:paraId="116F8E2E">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w:t>
                  </w:r>
                </w:p>
              </w:tc>
              <w:tc>
                <w:tcPr>
                  <w:tcW w:w="913" w:type="dxa"/>
                  <w:noWrap w:val="0"/>
                  <w:vAlign w:val="center"/>
                </w:tcPr>
                <w:p w14:paraId="7E81CF23">
                  <w:pPr>
                    <w:pStyle w:val="2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t>15%</w:t>
                  </w:r>
                </w:p>
              </w:tc>
              <w:tc>
                <w:tcPr>
                  <w:tcW w:w="901" w:type="dxa"/>
                  <w:vMerge w:val="restart"/>
                  <w:noWrap w:val="0"/>
                  <w:vAlign w:val="center"/>
                </w:tcPr>
                <w:p w14:paraId="173154CF">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是</w:t>
                  </w:r>
                </w:p>
              </w:tc>
              <w:tc>
                <w:tcPr>
                  <w:tcW w:w="911" w:type="dxa"/>
                  <w:noWrap w:val="0"/>
                  <w:vAlign w:val="center"/>
                </w:tcPr>
                <w:p w14:paraId="4C5178CA">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0.086</w:t>
                  </w:r>
                </w:p>
              </w:tc>
              <w:tc>
                <w:tcPr>
                  <w:tcW w:w="915" w:type="dxa"/>
                  <w:noWrap w:val="0"/>
                  <w:vAlign w:val="center"/>
                </w:tcPr>
                <w:p w14:paraId="0E9B37CE">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ascii="Times New Roman" w:hAnsi="Times New Roman" w:eastAsia="宋体" w:cs="Times New Roman"/>
                      <w:snapToGrid/>
                      <w:color w:val="auto"/>
                      <w:spacing w:val="0"/>
                      <w:kern w:val="0"/>
                      <w:position w:val="0"/>
                      <w:lang w:val="en-US" w:eastAsia="zh-CN"/>
                    </w:rPr>
                    <w:t>255</w:t>
                  </w:r>
                </w:p>
              </w:tc>
              <w:tc>
                <w:tcPr>
                  <w:tcW w:w="897" w:type="dxa"/>
                  <w:vMerge w:val="restart"/>
                  <w:noWrap w:val="0"/>
                  <w:vAlign w:val="center"/>
                </w:tcPr>
                <w:p w14:paraId="7D79EF8A">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default" w:ascii="Times New Roman" w:hAnsi="Times New Roman" w:eastAsia="宋体" w:cs="Times New Roman"/>
                      <w:snapToGrid/>
                      <w:color w:val="auto"/>
                      <w:spacing w:val="0"/>
                      <w:kern w:val="0"/>
                      <w:position w:val="0"/>
                      <w:lang w:val="en-US" w:eastAsia="zh-CN"/>
                    </w:rPr>
                    <w:t>间接排放</w:t>
                  </w:r>
                </w:p>
              </w:tc>
              <w:tc>
                <w:tcPr>
                  <w:tcW w:w="909" w:type="dxa"/>
                  <w:noWrap w:val="0"/>
                  <w:vAlign w:val="center"/>
                </w:tcPr>
                <w:p w14:paraId="3D64E8DC">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400</w:t>
                  </w:r>
                </w:p>
              </w:tc>
            </w:tr>
            <w:tr w14:paraId="59F80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0" w:type="dxa"/>
                  <w:vMerge w:val="continue"/>
                  <w:noWrap w:val="0"/>
                  <w:vAlign w:val="center"/>
                </w:tcPr>
                <w:p w14:paraId="16BB67A9">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892" w:type="dxa"/>
                  <w:vMerge w:val="continue"/>
                  <w:noWrap w:val="0"/>
                  <w:vAlign w:val="center"/>
                </w:tcPr>
                <w:p w14:paraId="397AA5C7">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09" w:type="dxa"/>
                  <w:vMerge w:val="continue"/>
                  <w:noWrap w:val="0"/>
                  <w:vAlign w:val="center"/>
                </w:tcPr>
                <w:p w14:paraId="4CB4F8DB">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1" w:type="dxa"/>
                  <w:noWrap w:val="0"/>
                  <w:vAlign w:val="center"/>
                </w:tcPr>
                <w:p w14:paraId="5BCB0F01">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lang w:val="en-US" w:eastAsia="zh-CN"/>
                    </w:rPr>
                    <w:t>SS</w:t>
                  </w:r>
                </w:p>
              </w:tc>
              <w:tc>
                <w:tcPr>
                  <w:tcW w:w="908" w:type="dxa"/>
                  <w:noWrap w:val="0"/>
                  <w:vAlign w:val="center"/>
                </w:tcPr>
                <w:p w14:paraId="71B8115E">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0.067</w:t>
                  </w:r>
                </w:p>
              </w:tc>
              <w:tc>
                <w:tcPr>
                  <w:tcW w:w="1021" w:type="dxa"/>
                  <w:noWrap w:val="0"/>
                  <w:vAlign w:val="center"/>
                </w:tcPr>
                <w:p w14:paraId="628E0A63">
                  <w:pPr>
                    <w:pStyle w:val="2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ascii="Times New Roman" w:hAnsi="Times New Roman" w:eastAsia="宋体" w:cs="Times New Roman"/>
                      <w:b w:val="0"/>
                      <w:bCs w:val="0"/>
                      <w:snapToGrid/>
                      <w:color w:val="auto"/>
                      <w:spacing w:val="0"/>
                      <w:kern w:val="0"/>
                      <w:position w:val="0"/>
                      <w:sz w:val="21"/>
                      <w:szCs w:val="21"/>
                      <w:vertAlign w:val="baseline"/>
                      <w:lang w:val="en-US" w:eastAsia="zh-CN" w:bidi="ar-SA"/>
                    </w:rPr>
                    <w:t>200</w:t>
                  </w:r>
                </w:p>
              </w:tc>
              <w:tc>
                <w:tcPr>
                  <w:tcW w:w="988" w:type="dxa"/>
                  <w:vMerge w:val="continue"/>
                  <w:noWrap w:val="0"/>
                  <w:vAlign w:val="center"/>
                </w:tcPr>
                <w:p w14:paraId="13E34F22">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858" w:type="dxa"/>
                  <w:vMerge w:val="continue"/>
                  <w:noWrap w:val="0"/>
                  <w:vAlign w:val="center"/>
                </w:tcPr>
                <w:p w14:paraId="7C02DD92">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3" w:type="dxa"/>
                  <w:noWrap w:val="0"/>
                  <w:vAlign w:val="center"/>
                </w:tcPr>
                <w:p w14:paraId="4854F5FC">
                  <w:pPr>
                    <w:pStyle w:val="2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t>30</w:t>
                  </w:r>
                  <w:r>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t>%</w:t>
                  </w:r>
                </w:p>
              </w:tc>
              <w:tc>
                <w:tcPr>
                  <w:tcW w:w="901" w:type="dxa"/>
                  <w:vMerge w:val="continue"/>
                  <w:noWrap w:val="0"/>
                  <w:vAlign w:val="center"/>
                </w:tcPr>
                <w:p w14:paraId="0B893746">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1" w:type="dxa"/>
                  <w:noWrap w:val="0"/>
                  <w:vAlign w:val="center"/>
                </w:tcPr>
                <w:p w14:paraId="0408F581">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0.047</w:t>
                  </w:r>
                </w:p>
              </w:tc>
              <w:tc>
                <w:tcPr>
                  <w:tcW w:w="915" w:type="dxa"/>
                  <w:noWrap w:val="0"/>
                  <w:vAlign w:val="center"/>
                </w:tcPr>
                <w:p w14:paraId="301567DE">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ascii="Times New Roman" w:hAnsi="Times New Roman" w:eastAsia="宋体" w:cs="Times New Roman"/>
                      <w:snapToGrid/>
                      <w:color w:val="auto"/>
                      <w:spacing w:val="0"/>
                      <w:kern w:val="0"/>
                      <w:position w:val="0"/>
                      <w:lang w:val="en-US" w:eastAsia="zh-CN"/>
                    </w:rPr>
                    <w:t>140</w:t>
                  </w:r>
                </w:p>
              </w:tc>
              <w:tc>
                <w:tcPr>
                  <w:tcW w:w="897" w:type="dxa"/>
                  <w:vMerge w:val="continue"/>
                  <w:noWrap w:val="0"/>
                  <w:vAlign w:val="center"/>
                </w:tcPr>
                <w:p w14:paraId="2DE7C769">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09" w:type="dxa"/>
                  <w:noWrap w:val="0"/>
                  <w:vAlign w:val="center"/>
                </w:tcPr>
                <w:p w14:paraId="4903EB97">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200</w:t>
                  </w:r>
                </w:p>
              </w:tc>
            </w:tr>
            <w:tr w14:paraId="6BD6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0" w:type="dxa"/>
                  <w:vMerge w:val="continue"/>
                  <w:noWrap w:val="0"/>
                  <w:vAlign w:val="center"/>
                </w:tcPr>
                <w:p w14:paraId="7944F8C2">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892" w:type="dxa"/>
                  <w:vMerge w:val="continue"/>
                  <w:noWrap w:val="0"/>
                  <w:vAlign w:val="center"/>
                </w:tcPr>
                <w:p w14:paraId="2DE34A73">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09" w:type="dxa"/>
                  <w:vMerge w:val="continue"/>
                  <w:noWrap w:val="0"/>
                  <w:vAlign w:val="center"/>
                </w:tcPr>
                <w:p w14:paraId="00C1AE82">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1" w:type="dxa"/>
                  <w:noWrap w:val="0"/>
                  <w:vAlign w:val="center"/>
                </w:tcPr>
                <w:p w14:paraId="1CF5D9EF">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宋体" w:cs="Times New Roman"/>
                      <w:snapToGrid/>
                      <w:color w:val="auto"/>
                      <w:spacing w:val="0"/>
                      <w:kern w:val="0"/>
                      <w:position w:val="0"/>
                      <w:lang w:val="en-US" w:eastAsia="zh-CN"/>
                    </w:rPr>
                    <w:t>BOD</w:t>
                  </w:r>
                  <w:r>
                    <w:rPr>
                      <w:rFonts w:hint="default" w:ascii="Times New Roman" w:hAnsi="Times New Roman" w:eastAsia="宋体" w:cs="Times New Roman"/>
                      <w:snapToGrid/>
                      <w:color w:val="auto"/>
                      <w:spacing w:val="0"/>
                      <w:kern w:val="0"/>
                      <w:position w:val="0"/>
                      <w:vertAlign w:val="subscript"/>
                      <w:lang w:val="en-US" w:eastAsia="zh-CN"/>
                    </w:rPr>
                    <w:t>5</w:t>
                  </w:r>
                </w:p>
              </w:tc>
              <w:tc>
                <w:tcPr>
                  <w:tcW w:w="908" w:type="dxa"/>
                  <w:noWrap w:val="0"/>
                  <w:vAlign w:val="center"/>
                </w:tcPr>
                <w:p w14:paraId="6CB5F381">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0.061</w:t>
                  </w:r>
                </w:p>
              </w:tc>
              <w:tc>
                <w:tcPr>
                  <w:tcW w:w="1021" w:type="dxa"/>
                  <w:noWrap w:val="0"/>
                  <w:vAlign w:val="center"/>
                </w:tcPr>
                <w:p w14:paraId="0CD5018C">
                  <w:pPr>
                    <w:pStyle w:val="2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cs="Times New Roman"/>
                      <w:b w:val="0"/>
                      <w:bCs w:val="0"/>
                      <w:snapToGrid/>
                      <w:color w:val="auto"/>
                      <w:spacing w:val="0"/>
                      <w:kern w:val="0"/>
                      <w:position w:val="0"/>
                      <w:sz w:val="21"/>
                      <w:szCs w:val="21"/>
                      <w:vertAlign w:val="baseline"/>
                      <w:lang w:val="en-US" w:eastAsia="zh-CN" w:bidi="ar-SA"/>
                    </w:rPr>
                    <w:t>180</w:t>
                  </w:r>
                </w:p>
              </w:tc>
              <w:tc>
                <w:tcPr>
                  <w:tcW w:w="988" w:type="dxa"/>
                  <w:vMerge w:val="continue"/>
                  <w:noWrap w:val="0"/>
                  <w:vAlign w:val="center"/>
                </w:tcPr>
                <w:p w14:paraId="60ADD253">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858" w:type="dxa"/>
                  <w:vMerge w:val="continue"/>
                  <w:noWrap w:val="0"/>
                  <w:vAlign w:val="center"/>
                </w:tcPr>
                <w:p w14:paraId="5B375130">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3" w:type="dxa"/>
                  <w:noWrap w:val="0"/>
                  <w:vAlign w:val="center"/>
                </w:tcPr>
                <w:p w14:paraId="503005CC">
                  <w:pPr>
                    <w:pStyle w:val="2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cs="Times New Roman"/>
                      <w:b w:val="0"/>
                      <w:bCs w:val="0"/>
                      <w:snapToGrid/>
                      <w:color w:val="auto"/>
                      <w:spacing w:val="0"/>
                      <w:kern w:val="0"/>
                      <w:position w:val="0"/>
                      <w:sz w:val="21"/>
                      <w:szCs w:val="21"/>
                      <w:vertAlign w:val="baseline"/>
                      <w:lang w:val="en-US" w:eastAsia="zh-CN"/>
                    </w:rPr>
                    <w:t>18</w:t>
                  </w:r>
                  <w:r>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t>%</w:t>
                  </w:r>
                </w:p>
              </w:tc>
              <w:tc>
                <w:tcPr>
                  <w:tcW w:w="901" w:type="dxa"/>
                  <w:vMerge w:val="continue"/>
                  <w:noWrap w:val="0"/>
                  <w:vAlign w:val="center"/>
                </w:tcPr>
                <w:p w14:paraId="6995AB0B">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1" w:type="dxa"/>
                  <w:noWrap w:val="0"/>
                  <w:vAlign w:val="center"/>
                </w:tcPr>
                <w:p w14:paraId="4D6D286F">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0.05</w:t>
                  </w:r>
                </w:p>
              </w:tc>
              <w:tc>
                <w:tcPr>
                  <w:tcW w:w="915" w:type="dxa"/>
                  <w:noWrap w:val="0"/>
                  <w:vAlign w:val="center"/>
                </w:tcPr>
                <w:p w14:paraId="7A4A7EC1">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147.6</w:t>
                  </w:r>
                </w:p>
              </w:tc>
              <w:tc>
                <w:tcPr>
                  <w:tcW w:w="897" w:type="dxa"/>
                  <w:vMerge w:val="continue"/>
                  <w:noWrap w:val="0"/>
                  <w:vAlign w:val="center"/>
                </w:tcPr>
                <w:p w14:paraId="52075AF2">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09" w:type="dxa"/>
                  <w:noWrap w:val="0"/>
                  <w:vAlign w:val="center"/>
                </w:tcPr>
                <w:p w14:paraId="12D0715C">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160</w:t>
                  </w:r>
                </w:p>
              </w:tc>
            </w:tr>
            <w:tr w14:paraId="13DF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90" w:type="dxa"/>
                  <w:vMerge w:val="continue"/>
                  <w:noWrap w:val="0"/>
                  <w:vAlign w:val="center"/>
                </w:tcPr>
                <w:p w14:paraId="74E87041">
                  <w:pPr>
                    <w:adjustRightInd w:val="0"/>
                    <w:snapToGrid w:val="0"/>
                    <w:jc w:val="center"/>
                    <w:rPr>
                      <w:rFonts w:hint="default" w:ascii="Times New Roman" w:hAnsi="Times New Roman" w:cs="Times New Roman"/>
                      <w:snapToGrid/>
                      <w:color w:val="auto"/>
                      <w:spacing w:val="0"/>
                      <w:kern w:val="0"/>
                      <w:position w:val="0"/>
                      <w:sz w:val="21"/>
                      <w:szCs w:val="21"/>
                    </w:rPr>
                  </w:pPr>
                </w:p>
              </w:tc>
              <w:tc>
                <w:tcPr>
                  <w:tcW w:w="892" w:type="dxa"/>
                  <w:vMerge w:val="continue"/>
                  <w:noWrap w:val="0"/>
                  <w:vAlign w:val="center"/>
                </w:tcPr>
                <w:p w14:paraId="6BD7541B">
                  <w:pPr>
                    <w:adjustRightInd w:val="0"/>
                    <w:snapToGrid w:val="0"/>
                    <w:jc w:val="center"/>
                    <w:rPr>
                      <w:rFonts w:hint="default" w:ascii="Times New Roman" w:hAnsi="Times New Roman" w:cs="Times New Roman"/>
                      <w:snapToGrid/>
                      <w:color w:val="auto"/>
                      <w:spacing w:val="0"/>
                      <w:kern w:val="0"/>
                      <w:position w:val="0"/>
                      <w:sz w:val="21"/>
                      <w:szCs w:val="21"/>
                    </w:rPr>
                  </w:pPr>
                </w:p>
              </w:tc>
              <w:tc>
                <w:tcPr>
                  <w:tcW w:w="909" w:type="dxa"/>
                  <w:vMerge w:val="continue"/>
                  <w:noWrap w:val="0"/>
                  <w:vAlign w:val="center"/>
                </w:tcPr>
                <w:p w14:paraId="3EC704BD">
                  <w:pPr>
                    <w:adjustRightInd w:val="0"/>
                    <w:snapToGrid w:val="0"/>
                    <w:jc w:val="center"/>
                    <w:rPr>
                      <w:rFonts w:hint="default" w:ascii="Times New Roman" w:hAnsi="Times New Roman" w:cs="Times New Roman"/>
                      <w:snapToGrid/>
                      <w:color w:val="auto"/>
                      <w:spacing w:val="0"/>
                      <w:kern w:val="0"/>
                      <w:position w:val="0"/>
                      <w:sz w:val="21"/>
                      <w:szCs w:val="21"/>
                    </w:rPr>
                  </w:pPr>
                </w:p>
              </w:tc>
              <w:tc>
                <w:tcPr>
                  <w:tcW w:w="911" w:type="dxa"/>
                  <w:noWrap w:val="0"/>
                  <w:vAlign w:val="center"/>
                </w:tcPr>
                <w:p w14:paraId="5946373B">
                  <w:pPr>
                    <w:adjustRightInd w:val="0"/>
                    <w:snapToGrid w:val="0"/>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cs="Times New Roman"/>
                      <w:snapToGrid/>
                      <w:color w:val="auto"/>
                      <w:spacing w:val="0"/>
                      <w:kern w:val="0"/>
                      <w:position w:val="0"/>
                      <w:sz w:val="21"/>
                      <w:szCs w:val="21"/>
                    </w:rPr>
                    <w:t>NH</w:t>
                  </w:r>
                  <w:r>
                    <w:rPr>
                      <w:rFonts w:hint="default" w:ascii="Times New Roman" w:hAnsi="Times New Roman" w:cs="Times New Roman"/>
                      <w:snapToGrid/>
                      <w:color w:val="auto"/>
                      <w:spacing w:val="0"/>
                      <w:kern w:val="0"/>
                      <w:position w:val="0"/>
                      <w:sz w:val="21"/>
                      <w:szCs w:val="21"/>
                      <w:vertAlign w:val="subscript"/>
                    </w:rPr>
                    <w:t>3</w:t>
                  </w:r>
                  <w:r>
                    <w:rPr>
                      <w:rFonts w:hint="default" w:ascii="Times New Roman" w:hAnsi="Times New Roman" w:cs="Times New Roman"/>
                      <w:snapToGrid/>
                      <w:color w:val="auto"/>
                      <w:spacing w:val="0"/>
                      <w:kern w:val="0"/>
                      <w:position w:val="0"/>
                      <w:sz w:val="21"/>
                      <w:szCs w:val="21"/>
                    </w:rPr>
                    <w:t>-N</w:t>
                  </w:r>
                </w:p>
              </w:tc>
              <w:tc>
                <w:tcPr>
                  <w:tcW w:w="908" w:type="dxa"/>
                  <w:noWrap w:val="0"/>
                  <w:vAlign w:val="center"/>
                </w:tcPr>
                <w:p w14:paraId="6A1D9C5E">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0.01</w:t>
                  </w:r>
                </w:p>
              </w:tc>
              <w:tc>
                <w:tcPr>
                  <w:tcW w:w="1021" w:type="dxa"/>
                  <w:noWrap w:val="0"/>
                  <w:vAlign w:val="center"/>
                </w:tcPr>
                <w:p w14:paraId="0824A898">
                  <w:pPr>
                    <w:pStyle w:val="2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ascii="Times New Roman" w:hAnsi="Times New Roman" w:eastAsia="宋体" w:cs="Times New Roman"/>
                      <w:b w:val="0"/>
                      <w:bCs w:val="0"/>
                      <w:snapToGrid/>
                      <w:color w:val="auto"/>
                      <w:spacing w:val="0"/>
                      <w:kern w:val="0"/>
                      <w:position w:val="0"/>
                      <w:sz w:val="21"/>
                      <w:szCs w:val="21"/>
                      <w:vertAlign w:val="baseline"/>
                      <w:lang w:val="en-US" w:eastAsia="zh-CN" w:bidi="ar-SA"/>
                    </w:rPr>
                    <w:t>30</w:t>
                  </w:r>
                </w:p>
              </w:tc>
              <w:tc>
                <w:tcPr>
                  <w:tcW w:w="988" w:type="dxa"/>
                  <w:vMerge w:val="continue"/>
                  <w:noWrap w:val="0"/>
                  <w:vAlign w:val="center"/>
                </w:tcPr>
                <w:p w14:paraId="1033F942">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858" w:type="dxa"/>
                  <w:vMerge w:val="continue"/>
                  <w:noWrap w:val="0"/>
                  <w:vAlign w:val="center"/>
                </w:tcPr>
                <w:p w14:paraId="621EE8E6">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3" w:type="dxa"/>
                  <w:noWrap w:val="0"/>
                  <w:vAlign w:val="center"/>
                </w:tcPr>
                <w:p w14:paraId="661229BF">
                  <w:pPr>
                    <w:pStyle w:val="2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default" w:ascii="Times New Roman" w:hAnsi="Times New Roman" w:cs="Times New Roman"/>
                      <w:b w:val="0"/>
                      <w:bCs w:val="0"/>
                      <w:snapToGrid/>
                      <w:color w:val="auto"/>
                      <w:spacing w:val="0"/>
                      <w:kern w:val="0"/>
                      <w:position w:val="0"/>
                      <w:sz w:val="21"/>
                      <w:szCs w:val="21"/>
                      <w:vertAlign w:val="baseline"/>
                      <w:lang w:val="en-US" w:eastAsia="zh-CN"/>
                    </w:rPr>
                    <w:t>3</w:t>
                  </w:r>
                  <w:r>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t>%</w:t>
                  </w:r>
                </w:p>
              </w:tc>
              <w:tc>
                <w:tcPr>
                  <w:tcW w:w="901" w:type="dxa"/>
                  <w:vMerge w:val="continue"/>
                  <w:noWrap w:val="0"/>
                  <w:vAlign w:val="center"/>
                </w:tcPr>
                <w:p w14:paraId="35593685">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11" w:type="dxa"/>
                  <w:noWrap w:val="0"/>
                  <w:vAlign w:val="center"/>
                </w:tcPr>
                <w:p w14:paraId="4983C604">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0.01</w:t>
                  </w:r>
                </w:p>
              </w:tc>
              <w:tc>
                <w:tcPr>
                  <w:tcW w:w="915" w:type="dxa"/>
                  <w:noWrap w:val="0"/>
                  <w:vAlign w:val="center"/>
                </w:tcPr>
                <w:p w14:paraId="0E010CB6">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ascii="Times New Roman" w:hAnsi="Times New Roman" w:eastAsia="宋体" w:cs="Times New Roman"/>
                      <w:snapToGrid/>
                      <w:color w:val="auto"/>
                      <w:spacing w:val="0"/>
                      <w:kern w:val="0"/>
                      <w:position w:val="0"/>
                      <w:lang w:val="en-US" w:eastAsia="zh-CN"/>
                    </w:rPr>
                    <w:t>29.1</w:t>
                  </w:r>
                </w:p>
              </w:tc>
              <w:tc>
                <w:tcPr>
                  <w:tcW w:w="897" w:type="dxa"/>
                  <w:vMerge w:val="continue"/>
                  <w:noWrap w:val="0"/>
                  <w:vAlign w:val="center"/>
                </w:tcPr>
                <w:p w14:paraId="4D237858">
                  <w:pPr>
                    <w:adjustRightInd w:val="0"/>
                    <w:snapToGrid w:val="0"/>
                    <w:jc w:val="center"/>
                    <w:rPr>
                      <w:rFonts w:hint="default" w:ascii="Times New Roman" w:hAnsi="Times New Roman" w:eastAsia="宋体" w:cs="Times New Roman"/>
                      <w:snapToGrid/>
                      <w:color w:val="auto"/>
                      <w:spacing w:val="0"/>
                      <w:kern w:val="0"/>
                      <w:position w:val="0"/>
                      <w:lang w:val="en-US" w:eastAsia="zh-CN"/>
                    </w:rPr>
                  </w:pPr>
                </w:p>
              </w:tc>
              <w:tc>
                <w:tcPr>
                  <w:tcW w:w="909" w:type="dxa"/>
                  <w:noWrap w:val="0"/>
                  <w:vAlign w:val="center"/>
                </w:tcPr>
                <w:p w14:paraId="4B98B1F4">
                  <w:pPr>
                    <w:adjustRightInd w:val="0"/>
                    <w:snapToGrid w:val="0"/>
                    <w:jc w:val="center"/>
                    <w:rPr>
                      <w:rFonts w:hint="default" w:ascii="Times New Roman" w:hAnsi="Times New Roman" w:eastAsia="宋体" w:cs="Times New Roman"/>
                      <w:snapToGrid/>
                      <w:color w:val="auto"/>
                      <w:spacing w:val="0"/>
                      <w:kern w:val="0"/>
                      <w:position w:val="0"/>
                      <w:lang w:val="en-US" w:eastAsia="zh-CN"/>
                    </w:rPr>
                  </w:pPr>
                  <w:r>
                    <w:rPr>
                      <w:rFonts w:hint="eastAsia" w:cs="Times New Roman"/>
                      <w:snapToGrid/>
                      <w:color w:val="auto"/>
                      <w:spacing w:val="0"/>
                      <w:kern w:val="0"/>
                      <w:position w:val="0"/>
                      <w:lang w:val="en-US" w:eastAsia="zh-CN"/>
                    </w:rPr>
                    <w:t>35</w:t>
                  </w:r>
                </w:p>
              </w:tc>
            </w:tr>
          </w:tbl>
          <w:p w14:paraId="4E25771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eastAsia="宋体"/>
                <w:snapToGrid/>
                <w:color w:val="000000" w:themeColor="text1"/>
                <w:spacing w:val="0"/>
                <w:kern w:val="0"/>
                <w:position w:val="0"/>
                <w:sz w:val="24"/>
                <w:szCs w:val="24"/>
                <w:lang w:val="en-US" w:eastAsia="zh-CN"/>
                <w14:textFill>
                  <w14:solidFill>
                    <w14:schemeClr w14:val="tx1"/>
                  </w14:solidFill>
                </w14:textFill>
              </w:rPr>
            </w:pPr>
          </w:p>
        </w:tc>
      </w:tr>
    </w:tbl>
    <w:p w14:paraId="7C6278B9">
      <w:pPr>
        <w:pStyle w:val="2"/>
        <w:rPr>
          <w:rFonts w:hint="eastAsia"/>
        </w:rPr>
        <w:sectPr>
          <w:pgSz w:w="16840" w:h="11907" w:orient="landscape"/>
          <w:pgMar w:top="1531" w:right="1701" w:bottom="1531" w:left="1803"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8573"/>
      </w:tblGrid>
      <w:tr w14:paraId="4A2D8C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32" w:hRule="atLeast"/>
          <w:jc w:val="center"/>
        </w:trPr>
        <w:tc>
          <w:tcPr>
            <w:tcW w:w="425" w:type="dxa"/>
            <w:tcBorders>
              <w:tl2br w:val="nil"/>
              <w:tr2bl w:val="nil"/>
            </w:tcBorders>
            <w:noWrap w:val="0"/>
            <w:vAlign w:val="center"/>
          </w:tcPr>
          <w:p w14:paraId="67961F64">
            <w:pPr>
              <w:adjustRightInd w:val="0"/>
              <w:snapToGrid w:val="0"/>
              <w:jc w:val="center"/>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运营</w:t>
            </w:r>
          </w:p>
          <w:p w14:paraId="412EB055">
            <w:pPr>
              <w:adjustRightInd w:val="0"/>
              <w:snapToGrid w:val="0"/>
              <w:jc w:val="center"/>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期环</w:t>
            </w:r>
          </w:p>
          <w:p w14:paraId="173E7A64">
            <w:pPr>
              <w:adjustRightInd w:val="0"/>
              <w:snapToGrid w:val="0"/>
              <w:jc w:val="center"/>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境影</w:t>
            </w:r>
          </w:p>
          <w:p w14:paraId="4655E4BD">
            <w:pPr>
              <w:adjustRightInd w:val="0"/>
              <w:snapToGrid w:val="0"/>
              <w:jc w:val="center"/>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响和</w:t>
            </w:r>
          </w:p>
          <w:p w14:paraId="22C060C6">
            <w:pPr>
              <w:adjustRightInd w:val="0"/>
              <w:snapToGrid w:val="0"/>
              <w:jc w:val="center"/>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保护</w:t>
            </w:r>
          </w:p>
          <w:p w14:paraId="76C40E5C">
            <w:pPr>
              <w:pStyle w:val="31"/>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textAlignment w:val="auto"/>
              <w:rPr>
                <w:rFonts w:hint="default" w:ascii="Times New Roman" w:hAnsi="Times New Roman" w:eastAsia="宋体" w:cs="Times New Roman"/>
                <w:color w:val="0000FF"/>
                <w:vertAlign w:val="baseline"/>
              </w:rPr>
            </w:pPr>
            <w:r>
              <w:rPr>
                <w:rFonts w:hint="default" w:ascii="Times New Roman" w:hAnsi="Times New Roman" w:eastAsia="宋体" w:cs="Times New Roman"/>
                <w:b w:val="0"/>
                <w:bCs w:val="0"/>
                <w:color w:val="000000" w:themeColor="text1"/>
                <w:sz w:val="24"/>
                <w:szCs w:val="24"/>
                <w14:textFill>
                  <w14:solidFill>
                    <w14:schemeClr w14:val="tx1"/>
                  </w14:solidFill>
                </w14:textFill>
              </w:rPr>
              <w:t>措施</w:t>
            </w:r>
          </w:p>
        </w:tc>
        <w:tc>
          <w:tcPr>
            <w:tcW w:w="8573" w:type="dxa"/>
            <w:tcBorders>
              <w:tl2br w:val="nil"/>
              <w:tr2bl w:val="nil"/>
            </w:tcBorders>
            <w:noWrap w:val="0"/>
            <w:vAlign w:val="top"/>
          </w:tcPr>
          <w:p w14:paraId="3DC96FA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val="0"/>
                <w:color w:val="auto"/>
                <w:sz w:val="24"/>
                <w:szCs w:val="24"/>
                <w:lang w:val="en-US" w:eastAsia="zh-CN"/>
              </w:rPr>
            </w:pPr>
            <w:r>
              <w:rPr>
                <w:rFonts w:hint="default" w:ascii="Times New Roman" w:hAnsi="Times New Roman" w:cs="Times New Roman"/>
                <w:b/>
                <w:bCs w:val="0"/>
                <w:color w:val="auto"/>
                <w:sz w:val="24"/>
                <w:szCs w:val="24"/>
                <w:lang w:val="en-US" w:eastAsia="zh-CN"/>
              </w:rPr>
              <w:t>表</w:t>
            </w:r>
            <w:r>
              <w:rPr>
                <w:rFonts w:hint="eastAsia" w:ascii="Times New Roman" w:hAnsi="Times New Roman" w:cs="Times New Roman"/>
                <w:b/>
                <w:bCs w:val="0"/>
                <w:color w:val="auto"/>
                <w:sz w:val="24"/>
                <w:szCs w:val="24"/>
                <w:lang w:val="en-US" w:eastAsia="zh-CN"/>
              </w:rPr>
              <w:t>4.</w:t>
            </w:r>
            <w:r>
              <w:rPr>
                <w:rFonts w:hint="eastAsia" w:cs="Times New Roman"/>
                <w:b/>
                <w:bCs w:val="0"/>
                <w:color w:val="auto"/>
                <w:sz w:val="24"/>
                <w:szCs w:val="24"/>
                <w:lang w:val="en-US" w:eastAsia="zh-CN"/>
              </w:rPr>
              <w:t>7</w:t>
            </w:r>
            <w:r>
              <w:rPr>
                <w:rFonts w:hint="default" w:ascii="Times New Roman" w:hAnsi="Times New Roman" w:cs="Times New Roman"/>
                <w:b/>
                <w:bCs w:val="0"/>
                <w:color w:val="auto"/>
                <w:sz w:val="24"/>
                <w:szCs w:val="24"/>
                <w:lang w:val="en-US" w:eastAsia="zh-CN"/>
              </w:rPr>
              <w:t xml:space="preserve">  废水间接排放口基本情况表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881"/>
              <w:gridCol w:w="709"/>
              <w:gridCol w:w="709"/>
              <w:gridCol w:w="858"/>
              <w:gridCol w:w="710"/>
              <w:gridCol w:w="710"/>
              <w:gridCol w:w="710"/>
              <w:gridCol w:w="830"/>
              <w:gridCol w:w="1523"/>
            </w:tblGrid>
            <w:tr w14:paraId="2C508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Merge w:val="restart"/>
                  <w:noWrap w:val="0"/>
                  <w:vAlign w:val="center"/>
                </w:tcPr>
                <w:p w14:paraId="48D3A0A3">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序号</w:t>
                  </w:r>
                </w:p>
              </w:tc>
              <w:tc>
                <w:tcPr>
                  <w:tcW w:w="837" w:type="dxa"/>
                  <w:vMerge w:val="restart"/>
                  <w:noWrap w:val="0"/>
                  <w:vAlign w:val="center"/>
                </w:tcPr>
                <w:p w14:paraId="71CB2614">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排放口编号</w:t>
                  </w:r>
                </w:p>
              </w:tc>
              <w:tc>
                <w:tcPr>
                  <w:tcW w:w="1674" w:type="dxa"/>
                  <w:gridSpan w:val="2"/>
                  <w:noWrap w:val="0"/>
                  <w:vAlign w:val="center"/>
                </w:tcPr>
                <w:p w14:paraId="3317FE5B">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排放口地理坐标</w:t>
                  </w:r>
                </w:p>
              </w:tc>
              <w:tc>
                <w:tcPr>
                  <w:tcW w:w="838" w:type="dxa"/>
                  <w:vMerge w:val="restart"/>
                  <w:noWrap w:val="0"/>
                  <w:vAlign w:val="center"/>
                </w:tcPr>
                <w:p w14:paraId="0FCDB01C">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排放量</w:t>
                  </w:r>
                </w:p>
                <w:p w14:paraId="1C42B179">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（t/d）</w:t>
                  </w:r>
                </w:p>
              </w:tc>
              <w:tc>
                <w:tcPr>
                  <w:tcW w:w="838" w:type="dxa"/>
                  <w:vMerge w:val="restart"/>
                  <w:noWrap w:val="0"/>
                  <w:vAlign w:val="center"/>
                </w:tcPr>
                <w:p w14:paraId="3AD5D575">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排放去向</w:t>
                  </w:r>
                </w:p>
              </w:tc>
              <w:tc>
                <w:tcPr>
                  <w:tcW w:w="838" w:type="dxa"/>
                  <w:vMerge w:val="restart"/>
                  <w:noWrap w:val="0"/>
                  <w:vAlign w:val="center"/>
                </w:tcPr>
                <w:p w14:paraId="1E12B1CC">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排放规律</w:t>
                  </w:r>
                </w:p>
              </w:tc>
              <w:tc>
                <w:tcPr>
                  <w:tcW w:w="2517" w:type="dxa"/>
                  <w:gridSpan w:val="3"/>
                  <w:noWrap w:val="0"/>
                  <w:vAlign w:val="center"/>
                </w:tcPr>
                <w:p w14:paraId="77226377">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受纳污水处理厂信息</w:t>
                  </w:r>
                </w:p>
              </w:tc>
            </w:tr>
            <w:tr w14:paraId="3621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Merge w:val="continue"/>
                  <w:noWrap w:val="0"/>
                  <w:vAlign w:val="center"/>
                </w:tcPr>
                <w:p w14:paraId="5C17C16A">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02BF11CA">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noWrap w:val="0"/>
                  <w:vAlign w:val="center"/>
                </w:tcPr>
                <w:p w14:paraId="166A72BB">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经度</w:t>
                  </w:r>
                </w:p>
              </w:tc>
              <w:tc>
                <w:tcPr>
                  <w:tcW w:w="837" w:type="dxa"/>
                  <w:noWrap w:val="0"/>
                  <w:vAlign w:val="center"/>
                </w:tcPr>
                <w:p w14:paraId="6F2A30F2">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纬度</w:t>
                  </w:r>
                </w:p>
              </w:tc>
              <w:tc>
                <w:tcPr>
                  <w:tcW w:w="838" w:type="dxa"/>
                  <w:vMerge w:val="continue"/>
                  <w:noWrap w:val="0"/>
                  <w:vAlign w:val="center"/>
                </w:tcPr>
                <w:p w14:paraId="0DBB7CD5">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6F32479B">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5A5E1DCD">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noWrap w:val="0"/>
                  <w:vAlign w:val="center"/>
                </w:tcPr>
                <w:p w14:paraId="7B4B21F3">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名称</w:t>
                  </w:r>
                </w:p>
              </w:tc>
              <w:tc>
                <w:tcPr>
                  <w:tcW w:w="839" w:type="dxa"/>
                  <w:noWrap w:val="0"/>
                  <w:vAlign w:val="center"/>
                </w:tcPr>
                <w:p w14:paraId="41BD6CCE">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污染物种类</w:t>
                  </w:r>
                </w:p>
              </w:tc>
              <w:tc>
                <w:tcPr>
                  <w:tcW w:w="839" w:type="dxa"/>
                  <w:noWrap w:val="0"/>
                  <w:vAlign w:val="center"/>
                </w:tcPr>
                <w:p w14:paraId="6F43C0F0">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GB18918-2002 一级A标准</w:t>
                  </w:r>
                </w:p>
              </w:tc>
            </w:tr>
            <w:tr w14:paraId="6CC3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Merge w:val="restart"/>
                  <w:noWrap w:val="0"/>
                  <w:vAlign w:val="center"/>
                </w:tcPr>
                <w:p w14:paraId="1BF46859">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1</w:t>
                  </w:r>
                </w:p>
              </w:tc>
              <w:tc>
                <w:tcPr>
                  <w:tcW w:w="837" w:type="dxa"/>
                  <w:vMerge w:val="restart"/>
                  <w:noWrap w:val="0"/>
                  <w:vAlign w:val="center"/>
                </w:tcPr>
                <w:p w14:paraId="4582513E">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DW001</w:t>
                  </w:r>
                </w:p>
              </w:tc>
              <w:tc>
                <w:tcPr>
                  <w:tcW w:w="837" w:type="dxa"/>
                  <w:vMerge w:val="restart"/>
                  <w:noWrap w:val="0"/>
                  <w:vAlign w:val="center"/>
                </w:tcPr>
                <w:p w14:paraId="35F1CB4B">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w:t>
                  </w:r>
                </w:p>
              </w:tc>
              <w:tc>
                <w:tcPr>
                  <w:tcW w:w="837" w:type="dxa"/>
                  <w:vMerge w:val="restart"/>
                  <w:noWrap w:val="0"/>
                  <w:vAlign w:val="center"/>
                </w:tcPr>
                <w:p w14:paraId="5CDF4E75">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default" w:ascii="Times New Roman" w:hAnsi="Times New Roman" w:cs="Times New Roman"/>
                      <w:b w:val="0"/>
                      <w:bCs/>
                      <w:color w:val="auto"/>
                      <w:sz w:val="21"/>
                      <w:szCs w:val="21"/>
                      <w:vertAlign w:val="baseline"/>
                      <w:lang w:val="en-US" w:eastAsia="zh-CN"/>
                    </w:rPr>
                    <w:t>/</w:t>
                  </w:r>
                </w:p>
              </w:tc>
              <w:tc>
                <w:tcPr>
                  <w:tcW w:w="838" w:type="dxa"/>
                  <w:vMerge w:val="restart"/>
                  <w:noWrap w:val="0"/>
                  <w:vAlign w:val="center"/>
                </w:tcPr>
                <w:p w14:paraId="43D5A934">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cs="Times New Roman"/>
                      <w:b w:val="0"/>
                      <w:bCs/>
                      <w:color w:val="auto"/>
                      <w:sz w:val="21"/>
                      <w:szCs w:val="21"/>
                      <w:vertAlign w:val="baseline"/>
                      <w:lang w:val="en-US" w:eastAsia="zh-CN"/>
                    </w:rPr>
                    <w:t>1.12</w:t>
                  </w:r>
                </w:p>
              </w:tc>
              <w:tc>
                <w:tcPr>
                  <w:tcW w:w="838" w:type="dxa"/>
                  <w:vMerge w:val="restart"/>
                  <w:noWrap w:val="0"/>
                  <w:vAlign w:val="center"/>
                </w:tcPr>
                <w:p w14:paraId="3A78EED8">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eastAsia" w:ascii="Times New Roman" w:hAnsi="Times New Roman" w:eastAsia="宋体" w:cs="Times New Roman"/>
                      <w:b w:val="0"/>
                      <w:bCs/>
                      <w:color w:val="auto"/>
                      <w:sz w:val="21"/>
                      <w:szCs w:val="21"/>
                      <w:vertAlign w:val="baseline"/>
                      <w:lang w:val="en-US" w:eastAsia="zh-CN"/>
                    </w:rPr>
                  </w:pPr>
                  <w:r>
                    <w:rPr>
                      <w:rFonts w:hint="eastAsia" w:cs="Times New Roman" w:eastAsiaTheme="minorEastAsia"/>
                      <w:color w:val="auto"/>
                      <w:sz w:val="21"/>
                      <w:szCs w:val="21"/>
                      <w:lang w:eastAsia="zh-CN"/>
                    </w:rPr>
                    <w:t>城东污水处理厂</w:t>
                  </w:r>
                </w:p>
              </w:tc>
              <w:tc>
                <w:tcPr>
                  <w:tcW w:w="838" w:type="dxa"/>
                  <w:vMerge w:val="restart"/>
                  <w:noWrap w:val="0"/>
                  <w:vAlign w:val="center"/>
                </w:tcPr>
                <w:p w14:paraId="7398F39F">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r>
                    <w:rPr>
                      <w:rFonts w:hint="eastAsia" w:ascii="Times New Roman" w:hAnsi="Times New Roman" w:cs="Times New Roman"/>
                      <w:b w:val="0"/>
                      <w:bCs/>
                      <w:color w:val="auto"/>
                      <w:sz w:val="21"/>
                      <w:szCs w:val="21"/>
                      <w:vertAlign w:val="baseline"/>
                      <w:lang w:val="en-US" w:eastAsia="zh-CN"/>
                    </w:rPr>
                    <w:t>间断</w:t>
                  </w:r>
                </w:p>
              </w:tc>
              <w:tc>
                <w:tcPr>
                  <w:tcW w:w="839" w:type="dxa"/>
                  <w:vMerge w:val="restart"/>
                  <w:noWrap w:val="0"/>
                  <w:vAlign w:val="center"/>
                </w:tcPr>
                <w:p w14:paraId="40D2B701">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eastAsia" w:ascii="Times New Roman" w:hAnsi="Times New Roman" w:eastAsia="宋体" w:cs="Times New Roman"/>
                      <w:b w:val="0"/>
                      <w:bCs/>
                      <w:color w:val="auto"/>
                      <w:sz w:val="21"/>
                      <w:szCs w:val="21"/>
                      <w:vertAlign w:val="baseline"/>
                      <w:lang w:val="en-US" w:eastAsia="zh-CN"/>
                    </w:rPr>
                  </w:pPr>
                  <w:r>
                    <w:rPr>
                      <w:rFonts w:hint="eastAsia" w:cs="Times New Roman" w:eastAsiaTheme="minorEastAsia"/>
                      <w:color w:val="auto"/>
                      <w:sz w:val="21"/>
                      <w:szCs w:val="21"/>
                      <w:lang w:eastAsia="zh-CN"/>
                    </w:rPr>
                    <w:t>城东污水处理厂</w:t>
                  </w:r>
                </w:p>
              </w:tc>
              <w:tc>
                <w:tcPr>
                  <w:tcW w:w="839" w:type="dxa"/>
                  <w:noWrap w:val="0"/>
                  <w:vAlign w:val="center"/>
                </w:tcPr>
                <w:p w14:paraId="038282C2">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pH</w:t>
                  </w:r>
                </w:p>
              </w:tc>
              <w:tc>
                <w:tcPr>
                  <w:tcW w:w="839" w:type="dxa"/>
                  <w:noWrap w:val="0"/>
                  <w:vAlign w:val="center"/>
                </w:tcPr>
                <w:p w14:paraId="3FA1A320">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6~9</w:t>
                  </w:r>
                </w:p>
              </w:tc>
            </w:tr>
            <w:tr w14:paraId="0303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Merge w:val="continue"/>
                  <w:noWrap w:val="0"/>
                  <w:vAlign w:val="center"/>
                </w:tcPr>
                <w:p w14:paraId="38EC3F05">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40DEC07D">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6867CF0D">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1F59E6D9">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2BF1BB45">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30B494F1">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24C67666">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vMerge w:val="continue"/>
                  <w:noWrap w:val="0"/>
                  <w:vAlign w:val="center"/>
                </w:tcPr>
                <w:p w14:paraId="65979C1A">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noWrap w:val="0"/>
                  <w:vAlign w:val="center"/>
                </w:tcPr>
                <w:p w14:paraId="32C171A4">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COD</w:t>
                  </w:r>
                </w:p>
              </w:tc>
              <w:tc>
                <w:tcPr>
                  <w:tcW w:w="839" w:type="dxa"/>
                  <w:noWrap w:val="0"/>
                  <w:vAlign w:val="center"/>
                </w:tcPr>
                <w:p w14:paraId="5761C1EE">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50</w:t>
                  </w:r>
                </w:p>
              </w:tc>
            </w:tr>
            <w:tr w14:paraId="33C5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Merge w:val="continue"/>
                  <w:noWrap w:val="0"/>
                  <w:vAlign w:val="center"/>
                </w:tcPr>
                <w:p w14:paraId="7A500BE7">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5A674D0D">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008BC03B">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7068B9F8">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3872EEAF">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0B2BA48B">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0DC73673">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vMerge w:val="continue"/>
                  <w:noWrap w:val="0"/>
                  <w:vAlign w:val="center"/>
                </w:tcPr>
                <w:p w14:paraId="2EEF27DA">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noWrap w:val="0"/>
                  <w:vAlign w:val="center"/>
                </w:tcPr>
                <w:p w14:paraId="2A7D099F">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BOD</w:t>
                  </w:r>
                  <w:r>
                    <w:rPr>
                      <w:rFonts w:hint="default" w:ascii="Times New Roman" w:hAnsi="Times New Roman" w:eastAsia="宋体" w:cs="Times New Roman"/>
                      <w:b w:val="0"/>
                      <w:bCs w:val="0"/>
                      <w:color w:val="auto"/>
                      <w:sz w:val="21"/>
                      <w:szCs w:val="21"/>
                      <w:highlight w:val="none"/>
                      <w:vertAlign w:val="subscript"/>
                      <w:lang w:val="en-US" w:eastAsia="zh-CN"/>
                    </w:rPr>
                    <w:t>5</w:t>
                  </w:r>
                </w:p>
              </w:tc>
              <w:tc>
                <w:tcPr>
                  <w:tcW w:w="839" w:type="dxa"/>
                  <w:noWrap w:val="0"/>
                  <w:vAlign w:val="center"/>
                </w:tcPr>
                <w:p w14:paraId="44BAC707">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10</w:t>
                  </w:r>
                </w:p>
              </w:tc>
            </w:tr>
            <w:tr w14:paraId="25D02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Merge w:val="continue"/>
                  <w:noWrap w:val="0"/>
                  <w:vAlign w:val="center"/>
                </w:tcPr>
                <w:p w14:paraId="646B469B">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33914193">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00AF37B0">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62E189BA">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06E43DCB">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412F0A0B">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451E27C7">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vMerge w:val="continue"/>
                  <w:noWrap w:val="0"/>
                  <w:vAlign w:val="center"/>
                </w:tcPr>
                <w:p w14:paraId="339F37E7">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noWrap w:val="0"/>
                  <w:vAlign w:val="center"/>
                </w:tcPr>
                <w:p w14:paraId="4BC02E7D">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SS</w:t>
                  </w:r>
                </w:p>
              </w:tc>
              <w:tc>
                <w:tcPr>
                  <w:tcW w:w="839" w:type="dxa"/>
                  <w:noWrap w:val="0"/>
                  <w:vAlign w:val="center"/>
                </w:tcPr>
                <w:p w14:paraId="1D383724">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10</w:t>
                  </w:r>
                </w:p>
              </w:tc>
            </w:tr>
            <w:tr w14:paraId="6909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6" w:type="dxa"/>
                  <w:vMerge w:val="continue"/>
                  <w:noWrap w:val="0"/>
                  <w:vAlign w:val="center"/>
                </w:tcPr>
                <w:p w14:paraId="5DC31428">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779FB4C7">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446BE3B2">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7" w:type="dxa"/>
                  <w:vMerge w:val="continue"/>
                  <w:noWrap w:val="0"/>
                  <w:vAlign w:val="center"/>
                </w:tcPr>
                <w:p w14:paraId="09EAB47F">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68AE0708">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5057E916">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8" w:type="dxa"/>
                  <w:vMerge w:val="continue"/>
                  <w:noWrap w:val="0"/>
                  <w:vAlign w:val="center"/>
                </w:tcPr>
                <w:p w14:paraId="22AA5800">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vMerge w:val="continue"/>
                  <w:noWrap w:val="0"/>
                  <w:vAlign w:val="center"/>
                </w:tcPr>
                <w:p w14:paraId="7D8C6CE2">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sz w:val="21"/>
                      <w:szCs w:val="21"/>
                      <w:vertAlign w:val="baseline"/>
                      <w:lang w:val="en-US" w:eastAsia="zh-CN"/>
                    </w:rPr>
                  </w:pPr>
                </w:p>
              </w:tc>
              <w:tc>
                <w:tcPr>
                  <w:tcW w:w="839" w:type="dxa"/>
                  <w:noWrap w:val="0"/>
                  <w:vAlign w:val="center"/>
                </w:tcPr>
                <w:p w14:paraId="7684FD61">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sz w:val="21"/>
                      <w:szCs w:val="21"/>
                      <w:highlight w:val="none"/>
                      <w:vertAlign w:val="baseli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-N</w:t>
                  </w:r>
                </w:p>
              </w:tc>
              <w:tc>
                <w:tcPr>
                  <w:tcW w:w="839" w:type="dxa"/>
                  <w:noWrap w:val="0"/>
                  <w:vAlign w:val="center"/>
                </w:tcPr>
                <w:p w14:paraId="472B83AB">
                  <w:pPr>
                    <w:pStyle w:val="6"/>
                    <w:keepNext w:val="0"/>
                    <w:keepLines/>
                    <w:pageBreakBefore w:val="0"/>
                    <w:widowControl w:val="0"/>
                    <w:kinsoku/>
                    <w:wordWrap/>
                    <w:overflowPunct/>
                    <w:topLinePunct w:val="0"/>
                    <w:autoSpaceDE/>
                    <w:autoSpaceDN/>
                    <w:bidi w:val="0"/>
                    <w:adjustRightInd w:val="0"/>
                    <w:snapToGrid w:val="0"/>
                    <w:spacing w:before="63" w:beforeLines="20" w:after="0" w:afterLines="0"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5</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eastAsia" w:ascii="Times New Roman" w:hAnsi="Times New Roman" w:cs="Times New Roman"/>
                      <w:b w:val="0"/>
                      <w:bCs w:val="0"/>
                      <w:color w:val="auto"/>
                      <w:sz w:val="21"/>
                      <w:szCs w:val="21"/>
                      <w:highlight w:val="none"/>
                      <w:vertAlign w:val="baseline"/>
                      <w:lang w:val="en-US" w:eastAsia="zh-CN"/>
                    </w:rPr>
                    <w:t>8</w:t>
                  </w:r>
                  <w:r>
                    <w:rPr>
                      <w:rFonts w:hint="default" w:ascii="Times New Roman" w:hAnsi="Times New Roman" w:eastAsia="宋体" w:cs="Times New Roman"/>
                      <w:b w:val="0"/>
                      <w:bCs w:val="0"/>
                      <w:color w:val="auto"/>
                      <w:sz w:val="21"/>
                      <w:szCs w:val="21"/>
                      <w:highlight w:val="none"/>
                      <w:vertAlign w:val="baseline"/>
                      <w:lang w:val="en-US" w:eastAsia="zh-CN"/>
                    </w:rPr>
                    <w:t>）</w:t>
                  </w:r>
                </w:p>
              </w:tc>
            </w:tr>
          </w:tbl>
          <w:p w14:paraId="50764123">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jc w:val="both"/>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监测计划</w:t>
            </w:r>
          </w:p>
          <w:p w14:paraId="3D675B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b w:val="0"/>
                <w:bCs w:val="0"/>
                <w:color w:val="auto"/>
                <w:sz w:val="24"/>
                <w:szCs w:val="24"/>
                <w:lang w:val="en-US" w:eastAsia="zh-CN"/>
              </w:rPr>
            </w:pPr>
            <w:r>
              <w:rPr>
                <w:rFonts w:hint="eastAsia"/>
                <w:b w:val="0"/>
                <w:bCs w:val="0"/>
                <w:color w:val="auto"/>
                <w:sz w:val="24"/>
                <w:szCs w:val="24"/>
                <w:lang w:val="en-US" w:eastAsia="zh-CN"/>
              </w:rPr>
              <w:t>根据《排污单位自行监测技术指南 橡胶和塑料制品》（HJ1207-2021），制定本项目废水监测计划：</w:t>
            </w:r>
          </w:p>
          <w:p w14:paraId="1B19392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b/>
                <w:bCs/>
                <w:color w:val="auto"/>
                <w:sz w:val="24"/>
                <w:szCs w:val="24"/>
                <w:lang w:val="en-US" w:eastAsia="zh-CN"/>
              </w:rPr>
            </w:pPr>
            <w:r>
              <w:rPr>
                <w:rFonts w:hint="default"/>
                <w:b/>
                <w:bCs/>
                <w:color w:val="auto"/>
                <w:sz w:val="24"/>
                <w:szCs w:val="24"/>
                <w:lang w:val="en-US" w:eastAsia="zh-CN"/>
              </w:rPr>
              <w:t>表4</w:t>
            </w:r>
            <w:r>
              <w:rPr>
                <w:rFonts w:hint="eastAsia"/>
                <w:b/>
                <w:bCs/>
                <w:color w:val="auto"/>
                <w:sz w:val="24"/>
                <w:szCs w:val="24"/>
                <w:lang w:val="en-US" w:eastAsia="zh-CN"/>
              </w:rPr>
              <w:t xml:space="preserve">.8 </w:t>
            </w:r>
            <w:r>
              <w:rPr>
                <w:rFonts w:hint="default"/>
                <w:b/>
                <w:bCs/>
                <w:color w:val="auto"/>
                <w:sz w:val="24"/>
                <w:szCs w:val="24"/>
                <w:lang w:val="en-US" w:eastAsia="zh-CN"/>
              </w:rPr>
              <w:t xml:space="preserve"> 废</w:t>
            </w:r>
            <w:r>
              <w:rPr>
                <w:rFonts w:hint="eastAsia"/>
                <w:b/>
                <w:bCs/>
                <w:color w:val="auto"/>
                <w:sz w:val="24"/>
                <w:szCs w:val="24"/>
                <w:lang w:val="en-US" w:eastAsia="zh-CN"/>
              </w:rPr>
              <w:t>水污染物监测计划</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9"/>
              <w:gridCol w:w="4500"/>
              <w:gridCol w:w="2358"/>
            </w:tblGrid>
            <w:tr w14:paraId="1349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92" w:type="pct"/>
                  <w:noWrap w:val="0"/>
                  <w:vAlign w:val="center"/>
                </w:tcPr>
                <w:p w14:paraId="7985235B">
                  <w:pPr>
                    <w:adjustRightInd w:val="0"/>
                    <w:snapToGrid w:val="0"/>
                    <w:jc w:val="center"/>
                    <w:rPr>
                      <w:rFonts w:hint="default"/>
                      <w:b w:val="0"/>
                      <w:bCs w:val="0"/>
                      <w:color w:val="auto"/>
                      <w:lang w:val="en-US" w:eastAsia="zh-CN"/>
                    </w:rPr>
                  </w:pPr>
                  <w:r>
                    <w:rPr>
                      <w:rFonts w:hint="eastAsia"/>
                      <w:b w:val="0"/>
                      <w:bCs w:val="0"/>
                      <w:color w:val="auto"/>
                      <w:lang w:val="en-US" w:eastAsia="zh-CN"/>
                    </w:rPr>
                    <w:t>监测点位</w:t>
                  </w:r>
                </w:p>
              </w:tc>
              <w:tc>
                <w:tcPr>
                  <w:tcW w:w="2695" w:type="pct"/>
                  <w:noWrap w:val="0"/>
                  <w:vAlign w:val="center"/>
                </w:tcPr>
                <w:p w14:paraId="36B2AA8D">
                  <w:pPr>
                    <w:adjustRightInd w:val="0"/>
                    <w:snapToGrid w:val="0"/>
                    <w:jc w:val="center"/>
                    <w:rPr>
                      <w:rFonts w:hint="default"/>
                      <w:b w:val="0"/>
                      <w:bCs w:val="0"/>
                      <w:color w:val="auto"/>
                      <w:lang w:val="en-US" w:eastAsia="zh-CN"/>
                    </w:rPr>
                  </w:pPr>
                  <w:r>
                    <w:rPr>
                      <w:rFonts w:hint="eastAsia"/>
                      <w:b w:val="0"/>
                      <w:bCs w:val="0"/>
                      <w:color w:val="auto"/>
                      <w:lang w:val="en-US" w:eastAsia="zh-CN"/>
                    </w:rPr>
                    <w:t>监测因子</w:t>
                  </w:r>
                </w:p>
              </w:tc>
              <w:tc>
                <w:tcPr>
                  <w:tcW w:w="1412" w:type="pct"/>
                  <w:noWrap w:val="0"/>
                  <w:vAlign w:val="center"/>
                </w:tcPr>
                <w:p w14:paraId="5B9823B5">
                  <w:pPr>
                    <w:adjustRightInd w:val="0"/>
                    <w:snapToGrid w:val="0"/>
                    <w:jc w:val="center"/>
                    <w:rPr>
                      <w:rFonts w:hint="default"/>
                      <w:b w:val="0"/>
                      <w:bCs w:val="0"/>
                      <w:color w:val="auto"/>
                      <w:lang w:val="en-US" w:eastAsia="zh-CN"/>
                    </w:rPr>
                  </w:pPr>
                  <w:r>
                    <w:rPr>
                      <w:rFonts w:hint="eastAsia"/>
                      <w:b w:val="0"/>
                      <w:bCs w:val="0"/>
                      <w:color w:val="auto"/>
                      <w:lang w:val="en-US" w:eastAsia="zh-CN"/>
                    </w:rPr>
                    <w:t>监测频次</w:t>
                  </w:r>
                </w:p>
              </w:tc>
            </w:tr>
            <w:tr w14:paraId="51E6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92" w:type="pct"/>
                  <w:noWrap w:val="0"/>
                  <w:vAlign w:val="center"/>
                </w:tcPr>
                <w:p w14:paraId="4C82C91C">
                  <w:pPr>
                    <w:adjustRightInd w:val="0"/>
                    <w:snapToGrid w:val="0"/>
                    <w:jc w:val="center"/>
                    <w:rPr>
                      <w:rFonts w:hint="default"/>
                      <w:b w:val="0"/>
                      <w:bCs w:val="0"/>
                      <w:color w:val="auto"/>
                      <w:kern w:val="2"/>
                      <w:sz w:val="21"/>
                      <w:szCs w:val="24"/>
                      <w:lang w:val="en-US" w:eastAsia="zh-CN" w:bidi="ar-SA"/>
                    </w:rPr>
                  </w:pPr>
                  <w:r>
                    <w:rPr>
                      <w:rFonts w:hint="default"/>
                      <w:b w:val="0"/>
                      <w:bCs w:val="0"/>
                      <w:color w:val="auto"/>
                      <w:kern w:val="2"/>
                      <w:sz w:val="21"/>
                      <w:szCs w:val="24"/>
                      <w:lang w:val="en-US" w:eastAsia="zh-CN" w:bidi="ar-SA"/>
                    </w:rPr>
                    <w:t>废水总</w:t>
                  </w:r>
                </w:p>
                <w:p w14:paraId="338C2CE5">
                  <w:pPr>
                    <w:adjustRightInd w:val="0"/>
                    <w:snapToGrid w:val="0"/>
                    <w:jc w:val="center"/>
                    <w:rPr>
                      <w:rFonts w:hint="default"/>
                      <w:b w:val="0"/>
                      <w:bCs w:val="0"/>
                      <w:color w:val="auto"/>
                      <w:kern w:val="2"/>
                      <w:sz w:val="21"/>
                      <w:szCs w:val="24"/>
                      <w:lang w:val="en-US" w:eastAsia="zh-CN" w:bidi="ar-SA"/>
                    </w:rPr>
                  </w:pPr>
                  <w:r>
                    <w:rPr>
                      <w:rFonts w:hint="default"/>
                      <w:b w:val="0"/>
                      <w:bCs w:val="0"/>
                      <w:color w:val="auto"/>
                      <w:kern w:val="2"/>
                      <w:sz w:val="21"/>
                      <w:szCs w:val="24"/>
                      <w:lang w:val="en-US" w:eastAsia="zh-CN" w:bidi="ar-SA"/>
                    </w:rPr>
                    <w:t>排放口</w:t>
                  </w:r>
                </w:p>
              </w:tc>
              <w:tc>
                <w:tcPr>
                  <w:tcW w:w="2695" w:type="pct"/>
                  <w:noWrap w:val="0"/>
                  <w:vAlign w:val="center"/>
                </w:tcPr>
                <w:p w14:paraId="384C72D1">
                  <w:pPr>
                    <w:adjustRightInd w:val="0"/>
                    <w:snapToGrid w:val="0"/>
                    <w:jc w:val="center"/>
                    <w:rPr>
                      <w:rFonts w:hint="eastAsia" w:eastAsia="宋体"/>
                      <w:b w:val="0"/>
                      <w:bCs w:val="0"/>
                      <w:color w:val="auto"/>
                      <w:kern w:val="2"/>
                      <w:sz w:val="21"/>
                      <w:szCs w:val="24"/>
                      <w:lang w:val="en-US" w:eastAsia="zh-CN" w:bidi="ar-SA"/>
                    </w:rPr>
                  </w:pPr>
                  <w:r>
                    <w:rPr>
                      <w:rFonts w:hint="default"/>
                      <w:b w:val="0"/>
                      <w:bCs w:val="0"/>
                      <w:color w:val="auto"/>
                      <w:kern w:val="2"/>
                      <w:sz w:val="21"/>
                      <w:szCs w:val="24"/>
                      <w:lang w:val="en-US" w:eastAsia="zh-CN" w:bidi="ar-SA"/>
                    </w:rPr>
                    <w:t>流量、pH 值、悬浮物、化学需氧量、五日生化需氧量、氨氮、</w:t>
                  </w:r>
                  <w:r>
                    <w:rPr>
                      <w:rFonts w:hint="default" w:ascii="Times New Roman" w:hAnsi="Times New Roman" w:cs="Times New Roman"/>
                      <w:snapToGrid/>
                      <w:color w:val="auto"/>
                      <w:spacing w:val="0"/>
                      <w:kern w:val="0"/>
                      <w:position w:val="0"/>
                      <w:sz w:val="21"/>
                      <w:szCs w:val="21"/>
                    </w:rPr>
                    <w:t>NH</w:t>
                  </w:r>
                  <w:r>
                    <w:rPr>
                      <w:rFonts w:hint="default" w:ascii="Times New Roman" w:hAnsi="Times New Roman" w:cs="Times New Roman"/>
                      <w:snapToGrid/>
                      <w:color w:val="auto"/>
                      <w:spacing w:val="0"/>
                      <w:kern w:val="0"/>
                      <w:position w:val="0"/>
                      <w:sz w:val="21"/>
                      <w:szCs w:val="21"/>
                      <w:vertAlign w:val="subscript"/>
                    </w:rPr>
                    <w:t>3</w:t>
                  </w:r>
                  <w:r>
                    <w:rPr>
                      <w:rFonts w:hint="default" w:ascii="Times New Roman" w:hAnsi="Times New Roman" w:cs="Times New Roman"/>
                      <w:snapToGrid/>
                      <w:color w:val="auto"/>
                      <w:spacing w:val="0"/>
                      <w:kern w:val="0"/>
                      <w:position w:val="0"/>
                      <w:sz w:val="21"/>
                      <w:szCs w:val="21"/>
                    </w:rPr>
                    <w:t>-N</w:t>
                  </w:r>
                  <w:r>
                    <w:rPr>
                      <w:rFonts w:hint="eastAsia"/>
                      <w:lang w:eastAsia="zh-CN"/>
                    </w:rPr>
                    <w:t>、石油类</w:t>
                  </w:r>
                </w:p>
              </w:tc>
              <w:tc>
                <w:tcPr>
                  <w:tcW w:w="1412" w:type="pct"/>
                  <w:noWrap w:val="0"/>
                  <w:vAlign w:val="center"/>
                </w:tcPr>
                <w:p w14:paraId="77606752">
                  <w:pPr>
                    <w:adjustRightInd w:val="0"/>
                    <w:snapToGrid w:val="0"/>
                    <w:jc w:val="center"/>
                    <w:rPr>
                      <w:rFonts w:hint="default"/>
                      <w:b w:val="0"/>
                      <w:bCs w:val="0"/>
                      <w:color w:val="auto"/>
                      <w:kern w:val="2"/>
                      <w:sz w:val="21"/>
                      <w:szCs w:val="24"/>
                      <w:lang w:val="en-US" w:eastAsia="zh-CN" w:bidi="ar-SA"/>
                    </w:rPr>
                  </w:pPr>
                  <w:r>
                    <w:rPr>
                      <w:rFonts w:hint="eastAsia"/>
                      <w:b w:val="0"/>
                      <w:bCs w:val="0"/>
                      <w:color w:val="auto"/>
                      <w:lang w:val="en-US" w:eastAsia="zh-CN"/>
                    </w:rPr>
                    <w:t>1次/年</w:t>
                  </w:r>
                </w:p>
              </w:tc>
            </w:tr>
          </w:tbl>
          <w:p w14:paraId="16587D16">
            <w:pPr>
              <w:pStyle w:val="31"/>
              <w:keepNext w:val="0"/>
              <w:keepLines w:val="0"/>
              <w:pageBreakBefore w:val="0"/>
              <w:widowControl w:val="0"/>
              <w:kinsoku/>
              <w:wordWrap/>
              <w:overflowPunct/>
              <w:topLinePunct w:val="0"/>
              <w:autoSpaceDE w:val="0"/>
              <w:autoSpaceDN w:val="0"/>
              <w:bidi w:val="0"/>
              <w:adjustRightInd w:val="0"/>
              <w:snapToGrid w:val="0"/>
              <w:spacing w:before="157" w:beforeLines="50" w:line="360" w:lineRule="auto"/>
              <w:ind w:firstLine="482" w:firstLineChars="200"/>
              <w:textAlignment w:val="auto"/>
              <w:rPr>
                <w:rFonts w:hint="default"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pPr>
            <w:r>
              <w:rPr>
                <w:rFonts w:hint="default" w:ascii="Times New Roman" w:hAnsi="Times New Roman" w:eastAsia="宋体" w:cs="Times New Roman"/>
                <w:b/>
                <w:bCs/>
                <w:snapToGrid/>
                <w:color w:val="000000" w:themeColor="text1"/>
                <w:spacing w:val="0"/>
                <w:kern w:val="0"/>
                <w:position w:val="0"/>
                <w:sz w:val="24"/>
                <w:szCs w:val="24"/>
                <w:lang w:val="en-US" w:eastAsia="zh-CN"/>
                <w14:textFill>
                  <w14:solidFill>
                    <w14:schemeClr w14:val="tx1"/>
                  </w14:solidFill>
                </w14:textFill>
              </w:rPr>
              <w:t>废水进入城东污水处理厂的可行性分析</w:t>
            </w:r>
          </w:p>
          <w:p w14:paraId="2EE72B67">
            <w:pPr>
              <w:pStyle w:val="31"/>
              <w:snapToGrid w:val="0"/>
              <w:spacing w:line="360" w:lineRule="auto"/>
              <w:ind w:firstLine="480" w:firstLineChars="20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（1）废水达标排放可行性</w:t>
            </w:r>
          </w:p>
          <w:p w14:paraId="04C0C5A0">
            <w:pPr>
              <w:pStyle w:val="21"/>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sz w:val="24"/>
                <w:szCs w:val="24"/>
                <w:lang w:val="en-US"/>
              </w:rPr>
            </w:pPr>
            <w:r>
              <w:rPr>
                <w:rFonts w:hint="default" w:ascii="Times New Roman" w:hAnsi="Times New Roman" w:eastAsia="宋体" w:cs="Times New Roman"/>
                <w:color w:val="auto"/>
                <w:sz w:val="24"/>
                <w:szCs w:val="24"/>
              </w:rPr>
              <w:t>根据工程分析，</w:t>
            </w:r>
            <w:r>
              <w:rPr>
                <w:rFonts w:hint="eastAsia" w:cs="Times New Roman"/>
                <w:color w:val="auto"/>
                <w:sz w:val="24"/>
                <w:szCs w:val="24"/>
                <w:lang w:eastAsia="zh-CN"/>
              </w:rPr>
              <w:t>全厂污水</w:t>
            </w:r>
            <w:r>
              <w:rPr>
                <w:rFonts w:hint="default" w:ascii="Times New Roman" w:hAnsi="Times New Roman" w:eastAsia="宋体" w:cs="Times New Roman"/>
                <w:color w:val="auto"/>
                <w:sz w:val="24"/>
                <w:szCs w:val="24"/>
                <w:lang w:val="en-US" w:eastAsia="zh-CN"/>
              </w:rPr>
              <w:t>的</w:t>
            </w:r>
            <w:r>
              <w:rPr>
                <w:rFonts w:hint="default" w:ascii="Times New Roman" w:hAnsi="Times New Roman" w:eastAsia="宋体" w:cs="Times New Roman"/>
                <w:color w:val="auto"/>
                <w:sz w:val="24"/>
                <w:szCs w:val="24"/>
              </w:rPr>
              <w:t>排放量为</w:t>
            </w:r>
            <w:r>
              <w:rPr>
                <w:rFonts w:hint="eastAsia" w:cs="Times New Roman"/>
                <w:color w:val="auto"/>
                <w:sz w:val="24"/>
                <w:szCs w:val="24"/>
                <w:lang w:val="en-US" w:eastAsia="zh-CN"/>
              </w:rPr>
              <w:t>1.12</w:t>
            </w:r>
            <w:r>
              <w:rPr>
                <w:rFonts w:hint="default" w:ascii="Times New Roman" w:hAnsi="Times New Roman" w:eastAsia="宋体" w:cs="Times New Roman"/>
                <w:color w:val="auto"/>
                <w:sz w:val="24"/>
                <w:szCs w:val="24"/>
              </w:rPr>
              <w:t>t/d（</w:t>
            </w:r>
            <w:r>
              <w:rPr>
                <w:rFonts w:hint="eastAsia" w:cs="Times New Roman"/>
                <w:color w:val="auto"/>
                <w:sz w:val="24"/>
                <w:szCs w:val="24"/>
                <w:lang w:val="en-US" w:eastAsia="zh-CN"/>
              </w:rPr>
              <w:t>336</w:t>
            </w:r>
            <w:r>
              <w:rPr>
                <w:rFonts w:hint="default" w:ascii="Times New Roman" w:hAnsi="Times New Roman" w:eastAsia="宋体" w:cs="Times New Roman"/>
                <w:color w:val="auto"/>
                <w:sz w:val="24"/>
                <w:szCs w:val="24"/>
                <w:lang w:val="en-US" w:eastAsia="zh-CN"/>
              </w:rPr>
              <w:t>t</w:t>
            </w:r>
            <w:r>
              <w:rPr>
                <w:rFonts w:hint="default" w:ascii="Times New Roman" w:hAnsi="Times New Roman" w:eastAsia="宋体" w:cs="Times New Roman"/>
                <w:color w:val="auto"/>
                <w:sz w:val="24"/>
                <w:szCs w:val="24"/>
              </w:rPr>
              <w:t>/a）</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主要污染物为COD、NH</w:t>
            </w:r>
            <w:r>
              <w:rPr>
                <w:rFonts w:hint="default" w:ascii="Times New Roman" w:hAnsi="Times New Roman" w:eastAsia="宋体" w:cs="Times New Roman"/>
                <w:color w:val="auto"/>
                <w:sz w:val="24"/>
                <w:szCs w:val="24"/>
                <w:vertAlign w:val="subscript"/>
              </w:rPr>
              <w:t>3</w:t>
            </w:r>
            <w:r>
              <w:rPr>
                <w:rFonts w:hint="default" w:ascii="Times New Roman" w:hAnsi="Times New Roman" w:eastAsia="宋体" w:cs="Times New Roman"/>
                <w:color w:val="auto"/>
                <w:sz w:val="24"/>
                <w:szCs w:val="24"/>
              </w:rPr>
              <w:t>-N、SS、BOD</w:t>
            </w:r>
            <w:r>
              <w:rPr>
                <w:rFonts w:hint="default" w:ascii="Times New Roman" w:hAnsi="Times New Roman" w:eastAsia="宋体" w:cs="Times New Roman"/>
                <w:color w:val="auto"/>
                <w:sz w:val="24"/>
                <w:szCs w:val="24"/>
                <w:vertAlign w:val="subscript"/>
              </w:rPr>
              <w:t>5</w:t>
            </w:r>
            <w:r>
              <w:rPr>
                <w:rFonts w:hint="eastAsia" w:eastAsia="宋体" w:cs="Times New Roman"/>
                <w:color w:val="auto"/>
                <w:sz w:val="24"/>
                <w:szCs w:val="24"/>
                <w:vertAlign w:val="baseline"/>
                <w:lang w:eastAsia="zh-CN"/>
              </w:rPr>
              <w:t>、</w:t>
            </w:r>
            <w:r>
              <w:rPr>
                <w:rFonts w:hint="eastAsia" w:cs="Times New Roman"/>
                <w:snapToGrid/>
                <w:color w:val="auto"/>
                <w:spacing w:val="0"/>
                <w:kern w:val="0"/>
                <w:position w:val="0"/>
                <w:sz w:val="24"/>
                <w:szCs w:val="24"/>
                <w:lang w:eastAsia="zh-CN"/>
              </w:rPr>
              <w:t>石油类</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生活污水经厂区化粪池预处理后</w:t>
            </w:r>
            <w:r>
              <w:rPr>
                <w:rFonts w:hint="eastAsia" w:cs="Times New Roman"/>
                <w:color w:val="auto"/>
                <w:sz w:val="24"/>
                <w:szCs w:val="24"/>
                <w:lang w:val="en-US" w:eastAsia="zh-CN"/>
              </w:rPr>
              <w:t>排入</w:t>
            </w:r>
            <w:r>
              <w:rPr>
                <w:rFonts w:hint="eastAsia"/>
                <w:color w:val="auto"/>
                <w:sz w:val="24"/>
                <w:lang w:eastAsia="zh-CN"/>
              </w:rPr>
              <w:t>城东污水处理厂</w:t>
            </w:r>
            <w:r>
              <w:rPr>
                <w:rFonts w:hint="default" w:ascii="Times New Roman" w:hAnsi="Times New Roman" w:eastAsia="宋体" w:cs="Times New Roman"/>
                <w:b w:val="0"/>
                <w:bCs w:val="0"/>
                <w:color w:val="auto"/>
                <w:sz w:val="24"/>
                <w:szCs w:val="24"/>
                <w:lang w:eastAsia="zh-CN"/>
              </w:rPr>
              <w:t>。</w:t>
            </w:r>
          </w:p>
          <w:p w14:paraId="59F91A70">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cs="Times New Roman"/>
                <w:color w:val="000000" w:themeColor="text1"/>
                <w:sz w:val="24"/>
                <w:szCs w:val="24"/>
                <w:lang w:eastAsia="zh-CN"/>
                <w14:textFill>
                  <w14:solidFill>
                    <w14:schemeClr w14:val="tx1"/>
                  </w14:solidFill>
                </w14:textFill>
              </w:rPr>
              <w:t>城东污水处理厂</w:t>
            </w:r>
            <w:r>
              <w:rPr>
                <w:rFonts w:hint="default" w:ascii="Times New Roman" w:hAnsi="Times New Roman" w:eastAsia="宋体" w:cs="Times New Roman"/>
                <w:color w:val="000000" w:themeColor="text1"/>
                <w:sz w:val="24"/>
                <w:szCs w:val="24"/>
                <w:lang w:eastAsia="zh-CN"/>
                <w14:textFill>
                  <w14:solidFill>
                    <w14:schemeClr w14:val="tx1"/>
                  </w14:solidFill>
                </w14:textFill>
              </w:rPr>
              <w:t>简介</w:t>
            </w:r>
          </w:p>
          <w:p w14:paraId="0281D1A8">
            <w:pPr>
              <w:autoSpaceDE w:val="0"/>
              <w:autoSpaceDN w:val="0"/>
              <w:spacing w:line="360" w:lineRule="auto"/>
              <w:ind w:firstLine="480" w:firstLineChars="200"/>
              <w:jc w:val="both"/>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城东污水处理厂</w:t>
            </w:r>
            <w:r>
              <w:rPr>
                <w:rFonts w:hint="default" w:ascii="Times New Roman" w:hAnsi="Times New Roman" w:eastAsia="宋体" w:cs="Times New Roman"/>
                <w:color w:val="000000" w:themeColor="text1"/>
                <w:kern w:val="21"/>
                <w:sz w:val="24"/>
                <w:szCs w:val="24"/>
                <w:highlight w:val="none"/>
                <w14:textFill>
                  <w14:solidFill>
                    <w14:schemeClr w14:val="tx1"/>
                  </w14:solidFill>
                </w14:textFill>
              </w:rPr>
              <w:t>工程一期工程，位于宿州循环经济示范园。总占地面积40000m</w:t>
            </w:r>
            <w:r>
              <w:rPr>
                <w:rFonts w:hint="default" w:ascii="Times New Roman" w:hAnsi="Times New Roman" w:eastAsia="宋体" w:cs="Times New Roman"/>
                <w:color w:val="000000" w:themeColor="text1"/>
                <w:kern w:val="21"/>
                <w:sz w:val="24"/>
                <w:szCs w:val="24"/>
                <w:highlight w:val="none"/>
                <w:vertAlign w:val="superscript"/>
                <w14:textFill>
                  <w14:solidFill>
                    <w14:schemeClr w14:val="tx1"/>
                  </w14:solidFill>
                </w14:textFill>
              </w:rPr>
              <w:t>2</w:t>
            </w:r>
            <w:r>
              <w:rPr>
                <w:rFonts w:hint="default" w:ascii="Times New Roman" w:hAnsi="Times New Roman" w:eastAsia="宋体" w:cs="Times New Roman"/>
                <w:color w:val="000000" w:themeColor="text1"/>
                <w:kern w:val="21"/>
                <w:sz w:val="24"/>
                <w:szCs w:val="24"/>
                <w:highlight w:val="none"/>
                <w14:textFill>
                  <w14:solidFill>
                    <w14:schemeClr w14:val="tx1"/>
                  </w14:solidFill>
                </w14:textFill>
              </w:rPr>
              <w:t>，合60亩，其中一期工程占地约46.2亩。总投资约7046.99万元。污水处理厂设计规模确定为：近期（2020年）为2万m</w:t>
            </w:r>
            <w:r>
              <w:rPr>
                <w:rFonts w:hint="default" w:ascii="Times New Roman" w:hAnsi="Times New Roman" w:eastAsia="宋体" w:cs="Times New Roman"/>
                <w:color w:val="000000" w:themeColor="text1"/>
                <w:kern w:val="21"/>
                <w:sz w:val="24"/>
                <w:szCs w:val="24"/>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21"/>
                <w:sz w:val="24"/>
                <w:szCs w:val="24"/>
                <w:highlight w:val="none"/>
                <w14:textFill>
                  <w14:solidFill>
                    <w14:schemeClr w14:val="tx1"/>
                  </w14:solidFill>
                </w14:textFill>
              </w:rPr>
              <w:t>/d，远期（2030年）为4万m</w:t>
            </w:r>
            <w:r>
              <w:rPr>
                <w:rFonts w:hint="default" w:ascii="Times New Roman" w:hAnsi="Times New Roman" w:eastAsia="宋体" w:cs="Times New Roman"/>
                <w:color w:val="000000" w:themeColor="text1"/>
                <w:kern w:val="21"/>
                <w:sz w:val="24"/>
                <w:szCs w:val="24"/>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21"/>
                <w:sz w:val="24"/>
                <w:szCs w:val="24"/>
                <w:highlight w:val="none"/>
                <w14:textFill>
                  <w14:solidFill>
                    <w14:schemeClr w14:val="tx1"/>
                  </w14:solidFill>
                </w14:textFill>
              </w:rPr>
              <w:t>/d。一期工程粗格栅进水泵房、细格栅沉砂池、CASS池、中间泵池、V型滤池、紫外消毒渠、鼓风机房、总变配电站、浓缩脱水机房、土建按40000m</w:t>
            </w:r>
            <w:r>
              <w:rPr>
                <w:rFonts w:hint="default" w:ascii="Times New Roman" w:hAnsi="Times New Roman" w:eastAsia="宋体" w:cs="Times New Roman"/>
                <w:color w:val="000000" w:themeColor="text1"/>
                <w:kern w:val="21"/>
                <w:sz w:val="24"/>
                <w:szCs w:val="24"/>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21"/>
                <w:sz w:val="24"/>
                <w:szCs w:val="24"/>
                <w:highlight w:val="none"/>
                <w14:textFill>
                  <w14:solidFill>
                    <w14:schemeClr w14:val="tx1"/>
                  </w14:solidFill>
                </w14:textFill>
              </w:rPr>
              <w:t>/d规模考虑，设备按20000m</w:t>
            </w:r>
            <w:r>
              <w:rPr>
                <w:rFonts w:hint="default" w:ascii="Times New Roman" w:hAnsi="Times New Roman" w:eastAsia="宋体" w:cs="Times New Roman"/>
                <w:color w:val="000000" w:themeColor="text1"/>
                <w:kern w:val="21"/>
                <w:sz w:val="24"/>
                <w:szCs w:val="24"/>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21"/>
                <w:sz w:val="24"/>
                <w:szCs w:val="24"/>
                <w:highlight w:val="none"/>
                <w14:textFill>
                  <w14:solidFill>
                    <w14:schemeClr w14:val="tx1"/>
                  </w14:solidFill>
                </w14:textFill>
              </w:rPr>
              <w:t>/d配置，其余构筑物按一期20000m</w:t>
            </w:r>
            <w:r>
              <w:rPr>
                <w:rFonts w:hint="default" w:ascii="Times New Roman" w:hAnsi="Times New Roman" w:eastAsia="宋体" w:cs="Times New Roman"/>
                <w:color w:val="000000" w:themeColor="text1"/>
                <w:kern w:val="21"/>
                <w:sz w:val="24"/>
                <w:szCs w:val="24"/>
                <w:highlight w:val="none"/>
                <w:vertAlign w:val="superscript"/>
                <w14:textFill>
                  <w14:solidFill>
                    <w14:schemeClr w14:val="tx1"/>
                  </w14:solidFill>
                </w14:textFill>
              </w:rPr>
              <w:t>3</w:t>
            </w:r>
            <w:r>
              <w:rPr>
                <w:rFonts w:hint="default" w:ascii="Times New Roman" w:hAnsi="Times New Roman" w:eastAsia="宋体" w:cs="Times New Roman"/>
                <w:color w:val="000000" w:themeColor="text1"/>
                <w:kern w:val="21"/>
                <w:sz w:val="24"/>
                <w:szCs w:val="24"/>
                <w:highlight w:val="none"/>
                <w14:textFill>
                  <w14:solidFill>
                    <w14:schemeClr w14:val="tx1"/>
                  </w14:solidFill>
                </w14:textFill>
              </w:rPr>
              <w:t>/d设计</w:t>
            </w:r>
            <w:r>
              <w:rPr>
                <w:rFonts w:hint="default" w:ascii="Times New Roman" w:hAnsi="Times New Roman" w:eastAsia="宋体" w:cs="Times New Roman"/>
                <w:color w:val="000000" w:themeColor="text1"/>
                <w:kern w:val="0"/>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zh-CN"/>
                <w14:textFill>
                  <w14:solidFill>
                    <w14:schemeClr w14:val="tx1"/>
                  </w14:solidFill>
                </w14:textFill>
              </w:rPr>
              <w:t>污水处理厂采取</w:t>
            </w:r>
            <w:r>
              <w:rPr>
                <w:rFonts w:hint="default" w:ascii="Times New Roman" w:hAnsi="Times New Roman" w:eastAsia="宋体" w:cs="Times New Roman"/>
                <w:color w:val="000000" w:themeColor="text1"/>
                <w:sz w:val="24"/>
                <w:szCs w:val="24"/>
                <w:highlight w:val="none"/>
                <w14:textFill>
                  <w14:solidFill>
                    <w14:schemeClr w14:val="tx1"/>
                  </w14:solidFill>
                </w14:textFill>
              </w:rPr>
              <w:t>沉淀+水解酸化+CASS工艺+深度处理+V型过滤工艺，处理后尾水满足排放水质满足国家《城镇污水处理厂污染物排放标准》（GB 18918-2002</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中一级A标准后，排入运粮河。</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收水服务区域为宿州市循环经济示范园区内企业、园区东侧大学城、沱河以北商住区及朱仙庄镇。</w:t>
            </w:r>
          </w:p>
          <w:p w14:paraId="10E4E617">
            <w:pPr>
              <w:adjustRightInd w:val="0"/>
              <w:snapToGrid w:val="0"/>
              <w:spacing w:line="360" w:lineRule="auto"/>
              <w:ind w:firstLine="480" w:firstLineChars="20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（3）纳管可行性分析</w:t>
            </w:r>
          </w:p>
          <w:p w14:paraId="1A6A3A2E">
            <w:pPr>
              <w:autoSpaceDE w:val="0"/>
              <w:autoSpaceDN w:val="0"/>
              <w:adjustRightInd w:val="0"/>
              <w:snapToGrid w:val="0"/>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① 水质可行性分析</w:t>
            </w:r>
          </w:p>
          <w:p w14:paraId="514AC653">
            <w:pPr>
              <w:autoSpaceDE w:val="0"/>
              <w:autoSpaceDN w:val="0"/>
              <w:adjustRightInd w:val="0"/>
              <w:snapToGrid w:val="0"/>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由工程分析可知，该项目废水主要污染物为</w:t>
            </w:r>
            <w:r>
              <w:rPr>
                <w:rFonts w:hint="default" w:ascii="Times New Roman" w:hAnsi="Times New Roman" w:eastAsia="宋体" w:cs="Times New Roman"/>
                <w:color w:val="auto"/>
                <w:sz w:val="24"/>
                <w:szCs w:val="24"/>
                <w:highlight w:val="none"/>
              </w:rPr>
              <w:t>COD、NH</w:t>
            </w:r>
            <w:r>
              <w:rPr>
                <w:rFonts w:hint="default" w:ascii="Times New Roman" w:hAnsi="Times New Roman" w:eastAsia="宋体" w:cs="Times New Roman"/>
                <w:color w:val="auto"/>
                <w:sz w:val="24"/>
                <w:szCs w:val="24"/>
                <w:highlight w:val="none"/>
                <w:vertAlign w:val="subscript"/>
              </w:rPr>
              <w:t>3</w:t>
            </w:r>
            <w:r>
              <w:rPr>
                <w:rFonts w:hint="default" w:ascii="Times New Roman" w:hAnsi="Times New Roman" w:eastAsia="宋体" w:cs="Times New Roman"/>
                <w:color w:val="auto"/>
                <w:sz w:val="24"/>
                <w:szCs w:val="24"/>
                <w:highlight w:val="none"/>
              </w:rPr>
              <w:t>-N、SS、BOD</w:t>
            </w:r>
            <w:r>
              <w:rPr>
                <w:rFonts w:hint="default" w:ascii="Times New Roman" w:hAnsi="Times New Roman" w:eastAsia="宋体" w:cs="Times New Roman"/>
                <w:color w:val="auto"/>
                <w:sz w:val="24"/>
                <w:szCs w:val="24"/>
                <w:highlight w:val="none"/>
                <w:vertAlign w:val="subscript"/>
              </w:rPr>
              <w:t>5</w:t>
            </w:r>
            <w:r>
              <w:rPr>
                <w:rFonts w:hint="eastAsia" w:eastAsia="宋体" w:cs="Times New Roman"/>
                <w:color w:val="auto"/>
                <w:sz w:val="24"/>
                <w:szCs w:val="24"/>
                <w:highlight w:val="none"/>
                <w:vertAlign w:val="baseline"/>
                <w:lang w:eastAsia="zh-CN"/>
              </w:rPr>
              <w:t>、</w:t>
            </w:r>
            <w:r>
              <w:rPr>
                <w:rFonts w:hint="eastAsia" w:cs="Times New Roman"/>
                <w:snapToGrid/>
                <w:color w:val="auto"/>
                <w:spacing w:val="0"/>
                <w:kern w:val="0"/>
                <w:position w:val="0"/>
                <w:sz w:val="24"/>
                <w:szCs w:val="24"/>
                <w:highlight w:val="none"/>
                <w:lang w:eastAsia="zh-CN"/>
              </w:rPr>
              <w:t>石油类</w:t>
            </w:r>
            <w:r>
              <w:rPr>
                <w:rFonts w:hint="default" w:ascii="Times New Roman" w:hAnsi="Times New Roman" w:eastAsia="宋体" w:cs="Times New Roman"/>
                <w:color w:val="000000" w:themeColor="text1"/>
                <w:sz w:val="24"/>
                <w:szCs w:val="24"/>
                <w:highlight w:val="none"/>
                <w14:textFill>
                  <w14:solidFill>
                    <w14:schemeClr w14:val="tx1"/>
                  </w14:solidFill>
                </w14:textFill>
              </w:rPr>
              <w:t>，水质简单，</w:t>
            </w:r>
            <w:r>
              <w:rPr>
                <w:rFonts w:hint="default" w:ascii="Times New Roman" w:hAnsi="Times New Roman" w:eastAsia="宋体" w:cs="Times New Roman"/>
                <w:color w:val="000000" w:themeColor="text1"/>
                <w:sz w:val="24"/>
                <w:szCs w:val="24"/>
                <w14:textFill>
                  <w14:solidFill>
                    <w14:schemeClr w14:val="tx1"/>
                  </w14:solidFill>
                </w14:textFill>
              </w:rPr>
              <w:t>水污染为常规因子，在总排口水质可以达到</w:t>
            </w:r>
            <w:r>
              <w:rPr>
                <w:rFonts w:hint="eastAsia" w:cs="Times New Roman"/>
                <w:snapToGrid/>
                <w:color w:val="000000" w:themeColor="text1"/>
                <w:spacing w:val="0"/>
                <w:kern w:val="0"/>
                <w:position w:val="0"/>
                <w:sz w:val="24"/>
                <w:szCs w:val="24"/>
                <w:lang w:val="en-US" w:eastAsia="zh-CN"/>
                <w14:textFill>
                  <w14:solidFill>
                    <w14:schemeClr w14:val="tx1"/>
                  </w14:solidFill>
                </w14:textFill>
              </w:rPr>
              <w:t>城东</w:t>
            </w:r>
            <w:r>
              <w:rPr>
                <w:rFonts w:hint="default" w:ascii="Times New Roman" w:hAnsi="Times New Roman" w:eastAsia="宋体" w:cs="Times New Roman"/>
                <w:color w:val="000000" w:themeColor="text1"/>
                <w:sz w:val="24"/>
                <w:szCs w:val="24"/>
                <w:lang w:eastAsia="zh-CN"/>
                <w14:textFill>
                  <w14:solidFill>
                    <w14:schemeClr w14:val="tx1"/>
                  </w14:solidFill>
                </w14:textFill>
              </w:rPr>
              <w:t>污水处理厂</w:t>
            </w:r>
            <w:r>
              <w:rPr>
                <w:rFonts w:hint="default" w:ascii="Times New Roman" w:hAnsi="Times New Roman" w:eastAsia="宋体" w:cs="Times New Roman"/>
                <w:color w:val="000000" w:themeColor="text1"/>
                <w:sz w:val="24"/>
                <w:szCs w:val="24"/>
                <w14:textFill>
                  <w14:solidFill>
                    <w14:schemeClr w14:val="tx1"/>
                  </w14:solidFill>
                </w14:textFill>
              </w:rPr>
              <w:t>接管要求，不会对区域地表水环境产生不利影响，项目废水水质不会对污水处理厂处理工艺造成冲击。</w:t>
            </w:r>
          </w:p>
          <w:p w14:paraId="090A671B">
            <w:pPr>
              <w:autoSpaceDE w:val="0"/>
              <w:autoSpaceDN w:val="0"/>
              <w:adjustRightInd w:val="0"/>
              <w:snapToGrid w:val="0"/>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② 水量可行性分析</w:t>
            </w:r>
          </w:p>
          <w:p w14:paraId="5E13B74D">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项目废水量</w:t>
            </w:r>
            <w:r>
              <w:rPr>
                <w:rFonts w:hint="eastAsia" w:cs="Times New Roman"/>
                <w:color w:val="auto"/>
                <w:sz w:val="24"/>
                <w:szCs w:val="24"/>
                <w:highlight w:val="none"/>
                <w:lang w:val="en-US" w:eastAsia="zh-CN" w:bidi="ar-SA"/>
              </w:rPr>
              <w:t>1.12</w:t>
            </w:r>
            <w:r>
              <w:rPr>
                <w:rFonts w:hint="default" w:ascii="Times New Roman" w:hAnsi="Times New Roman" w:eastAsia="宋体" w:cs="Times New Roman"/>
                <w:color w:val="auto"/>
                <w:sz w:val="24"/>
                <w:szCs w:val="24"/>
                <w:highlight w:val="none"/>
                <w:lang w:val="en-US" w:eastAsia="zh-CN" w:bidi="ar-SA"/>
              </w:rPr>
              <w:t>/d，占</w:t>
            </w:r>
            <w:r>
              <w:rPr>
                <w:rFonts w:hint="eastAsia" w:cs="Times New Roman"/>
                <w:color w:val="auto"/>
                <w:sz w:val="24"/>
                <w:szCs w:val="24"/>
                <w:highlight w:val="none"/>
                <w:lang w:eastAsia="zh-CN"/>
              </w:rPr>
              <w:t>城东污水处理厂</w:t>
            </w:r>
            <w:r>
              <w:rPr>
                <w:rFonts w:hint="default" w:ascii="Times New Roman" w:hAnsi="Times New Roman" w:eastAsia="宋体" w:cs="Times New Roman"/>
                <w:color w:val="auto"/>
                <w:sz w:val="24"/>
                <w:szCs w:val="24"/>
                <w:highlight w:val="none"/>
                <w:lang w:val="en-US" w:eastAsia="zh-CN" w:bidi="ar-SA"/>
              </w:rPr>
              <w:t>当前总处理规模的</w:t>
            </w:r>
            <w:r>
              <w:rPr>
                <w:rFonts w:hint="eastAsia" w:cs="Times New Roman"/>
                <w:color w:val="auto"/>
                <w:sz w:val="24"/>
                <w:szCs w:val="24"/>
                <w:highlight w:val="none"/>
                <w:lang w:val="en-US" w:eastAsia="zh-CN" w:bidi="ar-SA"/>
              </w:rPr>
              <w:t>0.056</w:t>
            </w:r>
            <w:r>
              <w:rPr>
                <w:rFonts w:hint="default" w:ascii="Times New Roman" w:hAnsi="Times New Roman" w:eastAsia="宋体" w:cs="Times New Roman"/>
                <w:color w:val="auto"/>
                <w:sz w:val="24"/>
                <w:szCs w:val="24"/>
                <w:highlight w:val="none"/>
                <w:lang w:val="en-US" w:eastAsia="zh-CN" w:bidi="ar-SA"/>
              </w:rPr>
              <w:t>%。项目建成后，</w:t>
            </w:r>
            <w:r>
              <w:rPr>
                <w:rFonts w:hint="eastAsia" w:cs="Times New Roman"/>
                <w:color w:val="auto"/>
                <w:sz w:val="24"/>
                <w:szCs w:val="24"/>
                <w:highlight w:val="none"/>
                <w:lang w:eastAsia="zh-CN"/>
              </w:rPr>
              <w:t>城东污水处理厂</w:t>
            </w:r>
            <w:r>
              <w:rPr>
                <w:rFonts w:hint="default" w:ascii="Times New Roman" w:hAnsi="Times New Roman" w:eastAsia="宋体" w:cs="Times New Roman"/>
                <w:color w:val="auto"/>
                <w:sz w:val="24"/>
                <w:szCs w:val="24"/>
                <w:highlight w:val="none"/>
                <w:lang w:val="en-US" w:eastAsia="zh-CN" w:bidi="ar-SA"/>
              </w:rPr>
              <w:t>完全有能力接收本项目废水，在水量上不会对污水处理厂造成冲击，可确保本项目接管处理的废水得到有效处理。</w:t>
            </w:r>
          </w:p>
          <w:p w14:paraId="7E5F61F4">
            <w:pPr>
              <w:autoSpaceDE w:val="0"/>
              <w:autoSpaceDN w:val="0"/>
              <w:adjustRightInd w:val="0"/>
              <w:snapToGrid w:val="0"/>
              <w:spacing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③ 管道范围可行性</w:t>
            </w:r>
          </w:p>
          <w:p w14:paraId="02329C80">
            <w:pPr>
              <w:adjustRightInd w:val="0"/>
              <w:snapToGrid w:val="0"/>
              <w:spacing w:line="360" w:lineRule="auto"/>
              <w:ind w:firstLine="480" w:firstLineChars="200"/>
              <w:jc w:val="left"/>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根据对项目厂区雨污水管网的建设调查和分析，目前雨污分流式污水主干管网的建设已基本实现了全覆盖。根据管网敷设范围，项目处于其</w:t>
            </w:r>
            <w:r>
              <w:rPr>
                <w:rFonts w:hint="eastAsia" w:cs="Times New Roman"/>
                <w:color w:val="000000" w:themeColor="text1"/>
                <w:sz w:val="24"/>
                <w:szCs w:val="24"/>
                <w:highlight w:val="none"/>
                <w:lang w:val="en-US" w:eastAsia="zh-CN"/>
                <w14:textFill>
                  <w14:solidFill>
                    <w14:schemeClr w14:val="tx1"/>
                  </w14:solidFill>
                </w14:textFill>
              </w:rPr>
              <w:t>受</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水范围内，目前已接通。</w:t>
            </w:r>
          </w:p>
          <w:p w14:paraId="1DB9F9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④ 处理工艺可行性</w:t>
            </w:r>
          </w:p>
          <w:p w14:paraId="1AAFBA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lang w:eastAsia="zh-CN"/>
                <w14:textFill>
                  <w14:solidFill>
                    <w14:schemeClr w14:val="tx1"/>
                  </w14:solidFill>
                </w14:textFill>
              </w:rPr>
              <w:t>城东污水处理厂</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目前总处理规模为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14:textFill>
                  <w14:solidFill>
                    <w14:schemeClr w14:val="tx1"/>
                  </w14:solidFill>
                </w14:textFill>
              </w:rPr>
              <w:t>万</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/d，主要去除COD、BOD</w:t>
            </w:r>
            <w:r>
              <w:rPr>
                <w:rFonts w:hint="default" w:ascii="Times New Roman" w:hAnsi="Times New Roman" w:eastAsia="宋体" w:cs="Times New Roman"/>
                <w:color w:val="000000" w:themeColor="text1"/>
                <w:sz w:val="24"/>
                <w:szCs w:val="24"/>
                <w:highlight w:val="none"/>
                <w:vertAlign w:val="subscript"/>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、氨氮和总磷。本项目废水量小、水质简单，项目区的废水预处理效果完全在</w:t>
            </w:r>
            <w:r>
              <w:rPr>
                <w:rFonts w:hint="eastAsia" w:cs="Times New Roman"/>
                <w:color w:val="000000" w:themeColor="text1"/>
                <w:sz w:val="24"/>
                <w:szCs w:val="24"/>
                <w:lang w:eastAsia="zh-CN"/>
                <w14:textFill>
                  <w14:solidFill>
                    <w14:schemeClr w14:val="tx1"/>
                  </w14:solidFill>
                </w14:textFill>
              </w:rPr>
              <w:t>城东污水处理厂</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的进水水质范围内，完全可采用污水处理厂的处理工艺进行处理，不会对其工艺造成冲击。因此，本项目废水经厂区预处理后进入</w:t>
            </w:r>
            <w:r>
              <w:rPr>
                <w:rFonts w:hint="eastAsia" w:cs="Times New Roman"/>
                <w:color w:val="000000" w:themeColor="text1"/>
                <w:sz w:val="24"/>
                <w:szCs w:val="24"/>
                <w:lang w:eastAsia="zh-CN"/>
                <w14:textFill>
                  <w14:solidFill>
                    <w14:schemeClr w14:val="tx1"/>
                  </w14:solidFill>
                </w14:textFill>
              </w:rPr>
              <w:t>城东污水处理厂</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进一步处理，达标排入运粮河，对周边环境影响较小。</w:t>
            </w:r>
          </w:p>
          <w:p w14:paraId="248699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综上，本项目外排废水水质、水量均满足</w:t>
            </w:r>
            <w:r>
              <w:rPr>
                <w:rFonts w:hint="eastAsia" w:cs="Times New Roman"/>
                <w:color w:val="000000" w:themeColor="text1"/>
                <w:sz w:val="24"/>
                <w:szCs w:val="24"/>
                <w:lang w:eastAsia="zh-CN"/>
                <w14:textFill>
                  <w14:solidFill>
                    <w14:schemeClr w14:val="tx1"/>
                  </w14:solidFill>
                </w14:textFill>
              </w:rPr>
              <w:t>城东污水处理厂</w:t>
            </w:r>
            <w:r>
              <w:rPr>
                <w:rFonts w:hint="default" w:ascii="Times New Roman" w:hAnsi="Times New Roman" w:eastAsia="宋体" w:cs="Times New Roman"/>
                <w:color w:val="000000" w:themeColor="text1"/>
                <w:sz w:val="24"/>
                <w:szCs w:val="24"/>
                <w14:textFill>
                  <w14:solidFill>
                    <w14:schemeClr w14:val="tx1"/>
                  </w14:solidFill>
                </w14:textFill>
              </w:rPr>
              <w:t>接管要求，不会对污水处理厂造成冲击负荷</w:t>
            </w:r>
            <w:r>
              <w:rPr>
                <w:rFonts w:hint="default" w:ascii="Times New Roman" w:hAnsi="Times New Roman" w:eastAsia="宋体" w:cs="Times New Roman"/>
                <w:snapToGrid/>
                <w:color w:val="000000" w:themeColor="text1"/>
                <w:spacing w:val="0"/>
                <w:kern w:val="0"/>
                <w:position w:val="0"/>
                <w:sz w:val="24"/>
                <w:szCs w:val="24"/>
                <w14:textFill>
                  <w14:solidFill>
                    <w14:schemeClr w14:val="tx1"/>
                  </w14:solidFill>
                </w14:textFill>
              </w:rPr>
              <w:t>，不会降低项目区现有水环境功能</w:t>
            </w:r>
            <w:r>
              <w:rPr>
                <w:rFonts w:hint="default" w:ascii="Times New Roman" w:hAnsi="Times New Roman" w:eastAsia="宋体" w:cs="Times New Roman"/>
                <w:color w:val="000000" w:themeColor="text1"/>
                <w:sz w:val="24"/>
                <w:szCs w:val="24"/>
                <w14:textFill>
                  <w14:solidFill>
                    <w14:schemeClr w14:val="tx1"/>
                  </w14:solidFill>
                </w14:textFill>
              </w:rPr>
              <w:t>。因此本项目污水进入</w:t>
            </w:r>
            <w:r>
              <w:rPr>
                <w:rFonts w:hint="eastAsia" w:cs="Times New Roman"/>
                <w:color w:val="000000" w:themeColor="text1"/>
                <w:sz w:val="24"/>
                <w:szCs w:val="24"/>
                <w:lang w:eastAsia="zh-CN"/>
                <w14:textFill>
                  <w14:solidFill>
                    <w14:schemeClr w14:val="tx1"/>
                  </w14:solidFill>
                </w14:textFill>
              </w:rPr>
              <w:t>城东污水处理厂</w:t>
            </w:r>
            <w:r>
              <w:rPr>
                <w:rFonts w:hint="default" w:ascii="Times New Roman" w:hAnsi="Times New Roman" w:eastAsia="宋体" w:cs="Times New Roman"/>
                <w:color w:val="000000" w:themeColor="text1"/>
                <w:sz w:val="24"/>
                <w:szCs w:val="24"/>
                <w14:textFill>
                  <w14:solidFill>
                    <w14:schemeClr w14:val="tx1"/>
                  </w14:solidFill>
                </w14:textFill>
              </w:rPr>
              <w:t>处理是可行的。</w:t>
            </w:r>
          </w:p>
          <w:p w14:paraId="4019BC2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b/>
                <w:bCs/>
                <w:color w:val="000000" w:themeColor="text1"/>
                <w:sz w:val="24"/>
                <w:szCs w:val="24"/>
                <w14:textFill>
                  <w14:solidFill>
                    <w14:schemeClr w14:val="tx1"/>
                  </w14:solidFill>
                </w14:textFill>
              </w:rPr>
              <w:t>噪声</w:t>
            </w:r>
          </w:p>
          <w:p w14:paraId="0E364C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eastAsia="宋体"/>
                <w:color w:val="0000FF"/>
                <w:sz w:val="24"/>
                <w:szCs w:val="24"/>
                <w:lang w:val="en-US" w:eastAsia="zh-CN"/>
              </w:rPr>
            </w:pPr>
            <w:r>
              <w:rPr>
                <w:rFonts w:hint="eastAsia"/>
                <w:b w:val="0"/>
                <w:bCs w:val="0"/>
                <w:color w:val="auto"/>
                <w:sz w:val="24"/>
                <w:szCs w:val="24"/>
                <w:lang w:val="en-US" w:eastAsia="zh-CN"/>
              </w:rPr>
              <w:t>本次拟建项目噪声源主要为切割锯、高低混料机、切割机、砂光打磨机、风机运行时产生的噪声</w:t>
            </w:r>
            <w:r>
              <w:rPr>
                <w:rFonts w:hint="eastAsia" w:ascii="Times New Roman" w:hAnsi="Times New Roman" w:cs="Times New Roman"/>
                <w:b w:val="0"/>
                <w:bCs w:val="0"/>
                <w:color w:val="auto"/>
                <w:sz w:val="24"/>
                <w:szCs w:val="24"/>
                <w:highlight w:val="none"/>
                <w:shd w:val="clear" w:color="auto" w:fill="auto"/>
                <w:lang w:val="en-US" w:eastAsia="zh-CN"/>
              </w:rPr>
              <w:t>，噪声</w:t>
            </w:r>
            <w:r>
              <w:rPr>
                <w:rFonts w:hint="default" w:ascii="Times New Roman" w:hAnsi="Times New Roman" w:eastAsia="宋体" w:cs="Times New Roman"/>
                <w:color w:val="auto"/>
                <w:sz w:val="24"/>
                <w:szCs w:val="24"/>
              </w:rPr>
              <w:t>级在</w:t>
            </w:r>
            <w:r>
              <w:rPr>
                <w:rFonts w:hint="eastAsia" w:cs="Times New Roman"/>
                <w:color w:val="auto"/>
                <w:sz w:val="24"/>
                <w:szCs w:val="24"/>
                <w:lang w:val="en-US" w:eastAsia="zh-CN"/>
              </w:rPr>
              <w:t>80</w:t>
            </w:r>
            <w:r>
              <w:rPr>
                <w:rFonts w:hint="eastAsia"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9</w:t>
            </w:r>
            <w:r>
              <w:rPr>
                <w:rFonts w:hint="eastAsia" w:ascii="Times New Roman" w:hAnsi="Times New Roman" w:eastAsia="宋体" w:cs="Times New Roman"/>
                <w:color w:val="auto"/>
                <w:sz w:val="24"/>
                <w:szCs w:val="24"/>
                <w:lang w:val="en-US" w:eastAsia="zh-CN"/>
              </w:rPr>
              <w:t>0dB（A）之间</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rPr>
              <w:t>项目的设备噪声强度见表</w:t>
            </w:r>
            <w:r>
              <w:rPr>
                <w:rFonts w:hint="eastAsia" w:ascii="Times New Roman" w:hAnsi="Times New Roman" w:eastAsia="宋体" w:cs="Times New Roman"/>
                <w:color w:val="auto"/>
                <w:sz w:val="24"/>
                <w:szCs w:val="24"/>
                <w:lang w:val="en-US" w:eastAsia="zh-CN"/>
              </w:rPr>
              <w:t>4.</w:t>
            </w:r>
            <w:r>
              <w:rPr>
                <w:rFonts w:hint="eastAsia" w:cs="Times New Roman"/>
                <w:color w:val="auto"/>
                <w:sz w:val="24"/>
                <w:szCs w:val="24"/>
                <w:lang w:val="en-US" w:eastAsia="zh-CN"/>
              </w:rPr>
              <w:t>9</w:t>
            </w:r>
            <w:r>
              <w:rPr>
                <w:rFonts w:hint="default" w:ascii="Times New Roman" w:hAnsi="Times New Roman" w:eastAsia="宋体" w:cs="Times New Roman"/>
                <w:color w:val="auto"/>
                <w:sz w:val="24"/>
                <w:szCs w:val="24"/>
              </w:rPr>
              <w:t>。</w:t>
            </w:r>
          </w:p>
        </w:tc>
      </w:tr>
    </w:tbl>
    <w:p w14:paraId="299EAB52">
      <w:pPr>
        <w:pStyle w:val="3"/>
        <w:rPr>
          <w:rFonts w:hint="eastAsia"/>
        </w:r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3044"/>
      </w:tblGrid>
      <w:tr w14:paraId="79C588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32" w:hRule="atLeast"/>
          <w:jc w:val="center"/>
        </w:trPr>
        <w:tc>
          <w:tcPr>
            <w:tcW w:w="508" w:type="dxa"/>
            <w:tcBorders>
              <w:tl2br w:val="nil"/>
              <w:tr2bl w:val="nil"/>
            </w:tcBorders>
            <w:noWrap w:val="0"/>
            <w:vAlign w:val="center"/>
          </w:tcPr>
          <w:p w14:paraId="2F77A858">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运</w:t>
            </w:r>
          </w:p>
          <w:p w14:paraId="1467A675">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营</w:t>
            </w:r>
          </w:p>
          <w:p w14:paraId="2768ACD2">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期</w:t>
            </w:r>
          </w:p>
          <w:p w14:paraId="290F8CBC">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环</w:t>
            </w:r>
          </w:p>
          <w:p w14:paraId="7F295126">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境</w:t>
            </w:r>
          </w:p>
          <w:p w14:paraId="419B5A8B">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影</w:t>
            </w:r>
          </w:p>
          <w:p w14:paraId="17638337">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响</w:t>
            </w:r>
          </w:p>
          <w:p w14:paraId="07C0524F">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和</w:t>
            </w:r>
          </w:p>
          <w:p w14:paraId="2485E956">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保</w:t>
            </w:r>
          </w:p>
          <w:p w14:paraId="5AD4D2C0">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护</w:t>
            </w:r>
          </w:p>
          <w:p w14:paraId="49ED5997">
            <w:pPr>
              <w:pStyle w:val="31"/>
              <w:spacing w:line="240" w:lineRule="auto"/>
              <w:ind w:left="0" w:leftChars="0" w:firstLine="0" w:firstLineChars="0"/>
              <w:jc w:val="center"/>
              <w:rPr>
                <w:rFonts w:hint="default" w:ascii="Times New Roman" w:hAnsi="Times New Roman" w:eastAsia="宋体" w:cs="Times New Roman"/>
                <w:snapToGrid/>
                <w:color w:val="FF0000"/>
                <w:spacing w:val="0"/>
                <w:kern w:val="0"/>
                <w:position w:val="0"/>
                <w:vertAlign w:val="baseline"/>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措施</w:t>
            </w:r>
          </w:p>
        </w:tc>
        <w:tc>
          <w:tcPr>
            <w:tcW w:w="13044" w:type="dxa"/>
            <w:tcBorders>
              <w:tl2br w:val="nil"/>
              <w:tr2bl w:val="nil"/>
            </w:tcBorders>
            <w:noWrap w:val="0"/>
            <w:vAlign w:val="top"/>
          </w:tcPr>
          <w:p w14:paraId="45F40DD1">
            <w:pPr>
              <w:pStyle w:val="37"/>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firstLine="0" w:firstLineChars="0"/>
              <w:jc w:val="center"/>
              <w:textAlignment w:val="auto"/>
              <w:rPr>
                <w:rFonts w:ascii="Times New Roman" w:hAnsi="Times New Roman" w:eastAsia="宋体" w:cs="Times New Roman"/>
                <w:b/>
                <w:bCs/>
                <w:snapToGrid/>
                <w:color w:val="000000" w:themeColor="text1"/>
                <w:spacing w:val="0"/>
                <w:kern w:val="0"/>
                <w:position w:val="0"/>
                <w:szCs w:val="24"/>
                <w14:textFill>
                  <w14:solidFill>
                    <w14:schemeClr w14:val="tx1"/>
                  </w14:solidFill>
                </w14:textFill>
              </w:rPr>
            </w:pPr>
            <w:r>
              <w:rPr>
                <w:rFonts w:hint="eastAsia" w:ascii="Times New Roman" w:hAnsi="Times New Roman" w:eastAsia="宋体" w:cs="Times New Roman"/>
                <w:b/>
                <w:bCs/>
                <w:snapToGrid/>
                <w:color w:val="000000" w:themeColor="text1"/>
                <w:spacing w:val="0"/>
                <w:kern w:val="0"/>
                <w:position w:val="0"/>
                <w:szCs w:val="24"/>
                <w:lang w:eastAsia="zh-CN"/>
                <w14:textFill>
                  <w14:solidFill>
                    <w14:schemeClr w14:val="tx1"/>
                  </w14:solidFill>
                </w14:textFill>
              </w:rPr>
              <w:t>表</w:t>
            </w:r>
            <w:r>
              <w:rPr>
                <w:rFonts w:hint="eastAsia" w:ascii="Times New Roman" w:hAnsi="Times New Roman" w:eastAsia="宋体" w:cs="Times New Roman"/>
                <w:b/>
                <w:bCs/>
                <w:snapToGrid/>
                <w:color w:val="000000" w:themeColor="text1"/>
                <w:spacing w:val="0"/>
                <w:kern w:val="0"/>
                <w:position w:val="0"/>
                <w:szCs w:val="24"/>
                <w:lang w:val="en-US" w:eastAsia="zh-CN"/>
                <w14:textFill>
                  <w14:solidFill>
                    <w14:schemeClr w14:val="tx1"/>
                  </w14:solidFill>
                </w14:textFill>
              </w:rPr>
              <w:t>4.9 项目生产车间噪声源强 单位：</w:t>
            </w:r>
            <w:r>
              <w:rPr>
                <w:rFonts w:ascii="Times New Roman" w:hAnsi="Times New Roman" w:eastAsia="宋体" w:cs="Times New Roman"/>
                <w:b/>
                <w:bCs/>
                <w:snapToGrid/>
                <w:color w:val="000000" w:themeColor="text1"/>
                <w:spacing w:val="0"/>
                <w:kern w:val="0"/>
                <w:position w:val="0"/>
                <w:szCs w:val="24"/>
                <w14:textFill>
                  <w14:solidFill>
                    <w14:schemeClr w14:val="tx1"/>
                  </w14:solidFill>
                </w14:textFill>
              </w:rPr>
              <w:t>dB（A）</w:t>
            </w:r>
          </w:p>
          <w:tbl>
            <w:tblPr>
              <w:tblStyle w:val="2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
              <w:gridCol w:w="533"/>
              <w:gridCol w:w="1000"/>
              <w:gridCol w:w="936"/>
              <w:gridCol w:w="949"/>
              <w:gridCol w:w="546"/>
              <w:gridCol w:w="564"/>
              <w:gridCol w:w="585"/>
              <w:gridCol w:w="1708"/>
              <w:gridCol w:w="1467"/>
              <w:gridCol w:w="1154"/>
              <w:gridCol w:w="990"/>
              <w:gridCol w:w="1226"/>
              <w:gridCol w:w="699"/>
            </w:tblGrid>
            <w:tr w14:paraId="77164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vMerge w:val="restart"/>
                  <w:tcBorders>
                    <w:tl2br w:val="nil"/>
                    <w:tr2bl w:val="nil"/>
                  </w:tcBorders>
                  <w:noWrap w:val="0"/>
                  <w:vAlign w:val="center"/>
                </w:tcPr>
                <w:p w14:paraId="5CFBA7F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序号</w:t>
                  </w:r>
                </w:p>
              </w:tc>
              <w:tc>
                <w:tcPr>
                  <w:tcW w:w="208" w:type="pct"/>
                  <w:vMerge w:val="restart"/>
                  <w:tcBorders>
                    <w:tl2br w:val="nil"/>
                    <w:tr2bl w:val="nil"/>
                  </w:tcBorders>
                  <w:noWrap w:val="0"/>
                  <w:vAlign w:val="center"/>
                </w:tcPr>
                <w:p w14:paraId="6AD3AAE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建筑物名称</w:t>
                  </w:r>
                </w:p>
              </w:tc>
              <w:tc>
                <w:tcPr>
                  <w:tcW w:w="390" w:type="pct"/>
                  <w:vMerge w:val="restart"/>
                  <w:tcBorders>
                    <w:tl2br w:val="nil"/>
                    <w:tr2bl w:val="nil"/>
                  </w:tcBorders>
                  <w:noWrap w:val="0"/>
                  <w:vAlign w:val="center"/>
                </w:tcPr>
                <w:p w14:paraId="096E34DB">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声源名称</w:t>
                  </w:r>
                </w:p>
              </w:tc>
              <w:tc>
                <w:tcPr>
                  <w:tcW w:w="365" w:type="pct"/>
                  <w:tcBorders>
                    <w:tl2br w:val="nil"/>
                    <w:tr2bl w:val="nil"/>
                  </w:tcBorders>
                  <w:noWrap w:val="0"/>
                  <w:vAlign w:val="center"/>
                </w:tcPr>
                <w:p w14:paraId="523EA3AE">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声源源强dB（A）</w:t>
                  </w:r>
                </w:p>
              </w:tc>
              <w:tc>
                <w:tcPr>
                  <w:tcW w:w="370" w:type="pct"/>
                  <w:vMerge w:val="restart"/>
                  <w:tcBorders>
                    <w:tl2br w:val="nil"/>
                    <w:tr2bl w:val="nil"/>
                  </w:tcBorders>
                  <w:noWrap w:val="0"/>
                  <w:vAlign w:val="center"/>
                </w:tcPr>
                <w:p w14:paraId="7215C985">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olor w:val="auto"/>
                      <w:lang w:val="en-US" w:eastAsia="zh-CN"/>
                    </w:rPr>
                  </w:pPr>
                  <w:r>
                    <w:rPr>
                      <w:rFonts w:hint="eastAsia"/>
                      <w:color w:val="auto"/>
                      <w:lang w:val="en-US" w:eastAsia="zh-CN"/>
                    </w:rPr>
                    <w:t>声源控制措施</w:t>
                  </w:r>
                </w:p>
              </w:tc>
              <w:tc>
                <w:tcPr>
                  <w:tcW w:w="661" w:type="pct"/>
                  <w:gridSpan w:val="3"/>
                  <w:tcBorders>
                    <w:tl2br w:val="nil"/>
                    <w:tr2bl w:val="nil"/>
                  </w:tcBorders>
                  <w:noWrap w:val="0"/>
                  <w:vAlign w:val="center"/>
                </w:tcPr>
                <w:p w14:paraId="1D2F7A3F">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空间相对位置m</w:t>
                  </w:r>
                </w:p>
              </w:tc>
              <w:tc>
                <w:tcPr>
                  <w:tcW w:w="666" w:type="pct"/>
                  <w:vMerge w:val="restart"/>
                  <w:tcBorders>
                    <w:tl2br w:val="nil"/>
                    <w:tr2bl w:val="nil"/>
                  </w:tcBorders>
                  <w:noWrap w:val="0"/>
                  <w:vAlign w:val="center"/>
                </w:tcPr>
                <w:p w14:paraId="7FAC4E2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FF0000"/>
                      <w:lang w:val="en-US" w:eastAsia="zh-CN"/>
                    </w:rPr>
                  </w:pPr>
                  <w:r>
                    <w:rPr>
                      <w:rFonts w:hint="eastAsia"/>
                      <w:color w:val="auto"/>
                      <w:lang w:val="en-US" w:eastAsia="zh-CN"/>
                    </w:rPr>
                    <w:t>距离室内边界距离m</w:t>
                  </w:r>
                </w:p>
              </w:tc>
              <w:tc>
                <w:tcPr>
                  <w:tcW w:w="572" w:type="pct"/>
                  <w:vMerge w:val="restart"/>
                  <w:tcBorders>
                    <w:tl2br w:val="nil"/>
                    <w:tr2bl w:val="nil"/>
                  </w:tcBorders>
                  <w:noWrap w:val="0"/>
                  <w:vAlign w:val="center"/>
                </w:tcPr>
                <w:p w14:paraId="77D4338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室内边界声级dB（A）</w:t>
                  </w:r>
                </w:p>
              </w:tc>
              <w:tc>
                <w:tcPr>
                  <w:tcW w:w="450" w:type="pct"/>
                  <w:vMerge w:val="restart"/>
                  <w:tcBorders>
                    <w:tl2br w:val="nil"/>
                    <w:tr2bl w:val="nil"/>
                  </w:tcBorders>
                  <w:noWrap w:val="0"/>
                  <w:vAlign w:val="center"/>
                </w:tcPr>
                <w:p w14:paraId="0BD29963">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运行时段</w:t>
                  </w:r>
                </w:p>
              </w:tc>
              <w:tc>
                <w:tcPr>
                  <w:tcW w:w="386" w:type="pct"/>
                  <w:vMerge w:val="restart"/>
                  <w:tcBorders>
                    <w:tl2br w:val="nil"/>
                    <w:tr2bl w:val="nil"/>
                  </w:tcBorders>
                  <w:noWrap w:val="0"/>
                  <w:vAlign w:val="center"/>
                </w:tcPr>
                <w:p w14:paraId="7821B8F4">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建筑物插入损失dB（A）</w:t>
                  </w:r>
                </w:p>
              </w:tc>
              <w:tc>
                <w:tcPr>
                  <w:tcW w:w="750" w:type="pct"/>
                  <w:gridSpan w:val="2"/>
                  <w:tcBorders>
                    <w:tl2br w:val="nil"/>
                    <w:tr2bl w:val="nil"/>
                  </w:tcBorders>
                  <w:noWrap w:val="0"/>
                  <w:vAlign w:val="center"/>
                </w:tcPr>
                <w:p w14:paraId="18BA4493">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建筑物外噪声</w:t>
                  </w:r>
                </w:p>
              </w:tc>
            </w:tr>
            <w:tr w14:paraId="31F3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vMerge w:val="continue"/>
                  <w:tcBorders>
                    <w:tl2br w:val="nil"/>
                    <w:tr2bl w:val="nil"/>
                  </w:tcBorders>
                  <w:noWrap w:val="0"/>
                  <w:vAlign w:val="center"/>
                </w:tcPr>
                <w:p w14:paraId="209FFC96">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08" w:type="pct"/>
                  <w:vMerge w:val="continue"/>
                  <w:tcBorders>
                    <w:tl2br w:val="nil"/>
                    <w:tr2bl w:val="nil"/>
                  </w:tcBorders>
                  <w:noWrap w:val="0"/>
                  <w:vAlign w:val="center"/>
                </w:tcPr>
                <w:p w14:paraId="07462708">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vMerge w:val="continue"/>
                  <w:tcBorders>
                    <w:tl2br w:val="nil"/>
                    <w:tr2bl w:val="nil"/>
                  </w:tcBorders>
                  <w:noWrap w:val="0"/>
                  <w:vAlign w:val="center"/>
                </w:tcPr>
                <w:p w14:paraId="08E084F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65" w:type="pct"/>
                  <w:tcBorders>
                    <w:tl2br w:val="nil"/>
                    <w:tr2bl w:val="nil"/>
                  </w:tcBorders>
                  <w:noWrap w:val="0"/>
                  <w:vAlign w:val="center"/>
                </w:tcPr>
                <w:p w14:paraId="580CF9B1">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声功率级</w:t>
                  </w:r>
                </w:p>
              </w:tc>
              <w:tc>
                <w:tcPr>
                  <w:tcW w:w="370" w:type="pct"/>
                  <w:vMerge w:val="continue"/>
                  <w:tcBorders>
                    <w:tl2br w:val="nil"/>
                    <w:tr2bl w:val="nil"/>
                  </w:tcBorders>
                  <w:noWrap w:val="0"/>
                  <w:vAlign w:val="center"/>
                </w:tcPr>
                <w:p w14:paraId="33B7358E">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164EFD55">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X</w:t>
                  </w:r>
                </w:p>
              </w:tc>
              <w:tc>
                <w:tcPr>
                  <w:tcW w:w="220" w:type="pct"/>
                  <w:tcBorders>
                    <w:tl2br w:val="nil"/>
                    <w:tr2bl w:val="nil"/>
                  </w:tcBorders>
                  <w:noWrap w:val="0"/>
                  <w:vAlign w:val="center"/>
                </w:tcPr>
                <w:p w14:paraId="0F67D12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Y</w:t>
                  </w:r>
                </w:p>
              </w:tc>
              <w:tc>
                <w:tcPr>
                  <w:tcW w:w="228" w:type="pct"/>
                  <w:tcBorders>
                    <w:tl2br w:val="nil"/>
                    <w:tr2bl w:val="nil"/>
                  </w:tcBorders>
                  <w:noWrap w:val="0"/>
                  <w:vAlign w:val="center"/>
                </w:tcPr>
                <w:p w14:paraId="7D2C9BA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Z</w:t>
                  </w:r>
                </w:p>
              </w:tc>
              <w:tc>
                <w:tcPr>
                  <w:tcW w:w="666" w:type="pct"/>
                  <w:vMerge w:val="continue"/>
                  <w:tcBorders>
                    <w:tl2br w:val="nil"/>
                    <w:tr2bl w:val="nil"/>
                  </w:tcBorders>
                  <w:noWrap w:val="0"/>
                  <w:vAlign w:val="center"/>
                </w:tcPr>
                <w:p w14:paraId="7F4454CE">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572" w:type="pct"/>
                  <w:vMerge w:val="continue"/>
                  <w:tcBorders>
                    <w:tl2br w:val="nil"/>
                    <w:tr2bl w:val="nil"/>
                  </w:tcBorders>
                  <w:noWrap w:val="0"/>
                  <w:vAlign w:val="center"/>
                </w:tcPr>
                <w:p w14:paraId="02621692">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ascii="Times New Roman" w:hAnsi="Times New Roman" w:eastAsia="宋体" w:cs="Times New Roman"/>
                      <w:b w:val="0"/>
                      <w:color w:val="auto"/>
                      <w:kern w:val="2"/>
                      <w:sz w:val="21"/>
                      <w:szCs w:val="20"/>
                      <w:lang w:val="en-US" w:eastAsia="zh-CN" w:bidi="ar-SA"/>
                    </w:rPr>
                  </w:pPr>
                </w:p>
              </w:tc>
              <w:tc>
                <w:tcPr>
                  <w:tcW w:w="450" w:type="pct"/>
                  <w:vMerge w:val="continue"/>
                  <w:tcBorders>
                    <w:tl2br w:val="nil"/>
                    <w:tr2bl w:val="nil"/>
                  </w:tcBorders>
                  <w:noWrap w:val="0"/>
                  <w:vAlign w:val="center"/>
                </w:tcPr>
                <w:p w14:paraId="4B692D6E">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86" w:type="pct"/>
                  <w:vMerge w:val="continue"/>
                  <w:tcBorders>
                    <w:tl2br w:val="nil"/>
                    <w:tr2bl w:val="nil"/>
                  </w:tcBorders>
                  <w:noWrap w:val="0"/>
                  <w:vAlign w:val="center"/>
                </w:tcPr>
                <w:p w14:paraId="395EE232">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478" w:type="pct"/>
                  <w:tcBorders>
                    <w:tl2br w:val="nil"/>
                    <w:tr2bl w:val="nil"/>
                  </w:tcBorders>
                  <w:noWrap w:val="0"/>
                  <w:vAlign w:val="center"/>
                </w:tcPr>
                <w:p w14:paraId="0DA78ABB">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声压级dB（A）</w:t>
                  </w:r>
                </w:p>
              </w:tc>
              <w:tc>
                <w:tcPr>
                  <w:tcW w:w="272" w:type="pct"/>
                  <w:tcBorders>
                    <w:tl2br w:val="nil"/>
                    <w:tr2bl w:val="nil"/>
                  </w:tcBorders>
                  <w:noWrap w:val="0"/>
                  <w:vAlign w:val="center"/>
                </w:tcPr>
                <w:p w14:paraId="41B5A1C3">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建筑物外距离</w:t>
                  </w:r>
                </w:p>
              </w:tc>
            </w:tr>
            <w:tr w14:paraId="71F04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181C603D">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w:t>
                  </w:r>
                </w:p>
              </w:tc>
              <w:tc>
                <w:tcPr>
                  <w:tcW w:w="208" w:type="pct"/>
                  <w:vMerge w:val="restart"/>
                  <w:tcBorders>
                    <w:tl2br w:val="nil"/>
                    <w:tr2bl w:val="nil"/>
                  </w:tcBorders>
                  <w:noWrap w:val="0"/>
                  <w:vAlign w:val="center"/>
                </w:tcPr>
                <w:p w14:paraId="40455AA4">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eastAsia="宋体"/>
                      <w:color w:val="auto"/>
                      <w:lang w:val="en-US" w:eastAsia="zh-CN"/>
                    </w:rPr>
                  </w:pPr>
                  <w:r>
                    <w:rPr>
                      <w:rFonts w:hint="eastAsia"/>
                      <w:color w:val="auto"/>
                      <w:lang w:eastAsia="zh-CN"/>
                    </w:rPr>
                    <w:t>生产车间</w:t>
                  </w:r>
                </w:p>
              </w:tc>
              <w:tc>
                <w:tcPr>
                  <w:tcW w:w="390" w:type="pct"/>
                  <w:tcBorders>
                    <w:tl2br w:val="nil"/>
                    <w:tr2bl w:val="nil"/>
                  </w:tcBorders>
                  <w:noWrap w:val="0"/>
                  <w:vAlign w:val="center"/>
                </w:tcPr>
                <w:p w14:paraId="30F34E9F">
                  <w:pPr>
                    <w:jc w:val="center"/>
                    <w:rPr>
                      <w:rFonts w:hint="default" w:ascii="Times New Roman" w:hAnsi="Times New Roman" w:eastAsia="宋体" w:cs="Times New Roman"/>
                      <w:snapToGrid/>
                      <w:color w:val="auto"/>
                      <w:spacing w:val="0"/>
                      <w:kern w:val="0"/>
                      <w:position w:val="0"/>
                      <w:sz w:val="21"/>
                      <w:szCs w:val="24"/>
                      <w:lang w:val="en-US" w:eastAsia="zh-CN" w:bidi="ar-SA"/>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1</w:t>
                  </w:r>
                </w:p>
              </w:tc>
              <w:tc>
                <w:tcPr>
                  <w:tcW w:w="365" w:type="pct"/>
                  <w:tcBorders>
                    <w:tl2br w:val="nil"/>
                    <w:tr2bl w:val="nil"/>
                  </w:tcBorders>
                  <w:noWrap w:val="0"/>
                  <w:vAlign w:val="center"/>
                </w:tcPr>
                <w:p w14:paraId="7E126F28">
                  <w:pPr>
                    <w:widowControl/>
                    <w:jc w:val="center"/>
                    <w:rPr>
                      <w:rFonts w:hint="default" w:ascii="Times New Roman" w:hAnsi="Times New Roman" w:eastAsia="宋体"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restart"/>
                  <w:tcBorders>
                    <w:tl2br w:val="nil"/>
                    <w:tr2bl w:val="nil"/>
                  </w:tcBorders>
                  <w:noWrap w:val="0"/>
                  <w:vAlign w:val="center"/>
                </w:tcPr>
                <w:p w14:paraId="508405A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default" w:ascii="Times New Roman" w:hAnsi="Times New Roman" w:eastAsia="宋体" w:cs="Times New Roman"/>
                      <w:color w:val="auto"/>
                      <w:sz w:val="21"/>
                    </w:rPr>
                    <w:t>选用低噪声设备、加设减振基础、厂房隔声、距离衰减</w:t>
                  </w:r>
                </w:p>
              </w:tc>
              <w:tc>
                <w:tcPr>
                  <w:tcW w:w="213" w:type="pct"/>
                  <w:tcBorders>
                    <w:tl2br w:val="nil"/>
                    <w:tr2bl w:val="nil"/>
                  </w:tcBorders>
                  <w:noWrap w:val="0"/>
                  <w:vAlign w:val="center"/>
                </w:tcPr>
                <w:p w14:paraId="42309B3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41F32E6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-16</w:t>
                  </w:r>
                </w:p>
              </w:tc>
              <w:tc>
                <w:tcPr>
                  <w:tcW w:w="228" w:type="pct"/>
                  <w:tcBorders>
                    <w:tl2br w:val="nil"/>
                    <w:tr2bl w:val="nil"/>
                  </w:tcBorders>
                  <w:noWrap w:val="0"/>
                  <w:vAlign w:val="center"/>
                </w:tcPr>
                <w:p w14:paraId="10F821A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5A91754D">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ascii="Times New Roman" w:hAnsi="Times New Roman" w:eastAsia="宋体"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E:51、S:57、W:75、N:80</w:t>
                  </w:r>
                </w:p>
              </w:tc>
              <w:tc>
                <w:tcPr>
                  <w:tcW w:w="572" w:type="pct"/>
                  <w:tcBorders>
                    <w:tl2br w:val="nil"/>
                    <w:tr2bl w:val="nil"/>
                  </w:tcBorders>
                  <w:noWrap w:val="0"/>
                  <w:vAlign w:val="center"/>
                </w:tcPr>
                <w:p w14:paraId="4A73E55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E:50、S:49、W:47、N:47</w:t>
                  </w:r>
                </w:p>
              </w:tc>
              <w:tc>
                <w:tcPr>
                  <w:tcW w:w="450" w:type="pct"/>
                  <w:tcBorders>
                    <w:tl2br w:val="nil"/>
                    <w:tr2bl w:val="nil"/>
                  </w:tcBorders>
                  <w:noWrap w:val="0"/>
                  <w:vAlign w:val="center"/>
                </w:tcPr>
                <w:p w14:paraId="1C9A015A">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color w:val="auto"/>
                      <w:lang w:val="en-US" w:eastAsia="zh-CN"/>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1840335E">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04F92024">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E:40、S:39、W:37、N:37</w:t>
                  </w:r>
                </w:p>
              </w:tc>
              <w:tc>
                <w:tcPr>
                  <w:tcW w:w="272" w:type="pct"/>
                  <w:tcBorders>
                    <w:tl2br w:val="nil"/>
                    <w:tr2bl w:val="nil"/>
                  </w:tcBorders>
                  <w:noWrap w:val="0"/>
                  <w:vAlign w:val="center"/>
                </w:tcPr>
                <w:p w14:paraId="700B9F7F">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1m</w:t>
                  </w:r>
                </w:p>
              </w:tc>
            </w:tr>
            <w:tr w14:paraId="46918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02F11B9B">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2</w:t>
                  </w:r>
                </w:p>
              </w:tc>
              <w:tc>
                <w:tcPr>
                  <w:tcW w:w="208" w:type="pct"/>
                  <w:vMerge w:val="continue"/>
                  <w:tcBorders>
                    <w:tl2br w:val="nil"/>
                    <w:tr2bl w:val="nil"/>
                  </w:tcBorders>
                  <w:noWrap w:val="0"/>
                  <w:vAlign w:val="center"/>
                </w:tcPr>
                <w:p w14:paraId="12D41440">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60D8B6CF">
                  <w:pPr>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2</w:t>
                  </w:r>
                </w:p>
              </w:tc>
              <w:tc>
                <w:tcPr>
                  <w:tcW w:w="365" w:type="pct"/>
                  <w:tcBorders>
                    <w:tl2br w:val="nil"/>
                    <w:tr2bl w:val="nil"/>
                  </w:tcBorders>
                  <w:noWrap w:val="0"/>
                  <w:vAlign w:val="center"/>
                </w:tcPr>
                <w:p w14:paraId="4AF4A2D4">
                  <w:pPr>
                    <w:widowControl/>
                    <w:jc w:val="center"/>
                    <w:rPr>
                      <w:rFonts w:hint="default" w:ascii="Times New Roman" w:hAnsi="Times New Roman" w:eastAsia="宋体"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1B1CE92D">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6AB1B02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303D756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8" w:type="pct"/>
                  <w:tcBorders>
                    <w:tl2br w:val="nil"/>
                    <w:tr2bl w:val="nil"/>
                  </w:tcBorders>
                  <w:noWrap w:val="0"/>
                  <w:vAlign w:val="center"/>
                </w:tcPr>
                <w:p w14:paraId="435957D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753A7F4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ascii="Times New Roman" w:hAnsi="Times New Roman" w:eastAsia="宋体"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E:50、S:55、W:75、N:82</w:t>
                  </w:r>
                </w:p>
              </w:tc>
              <w:tc>
                <w:tcPr>
                  <w:tcW w:w="572" w:type="pct"/>
                  <w:tcBorders>
                    <w:tl2br w:val="nil"/>
                    <w:tr2bl w:val="nil"/>
                  </w:tcBorders>
                  <w:noWrap w:val="0"/>
                  <w:vAlign w:val="center"/>
                </w:tcPr>
                <w:p w14:paraId="5BDEDF3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E:51、S:50、W:47、N:47</w:t>
                  </w:r>
                </w:p>
              </w:tc>
              <w:tc>
                <w:tcPr>
                  <w:tcW w:w="450" w:type="pct"/>
                  <w:tcBorders>
                    <w:tl2br w:val="nil"/>
                    <w:tr2bl w:val="nil"/>
                  </w:tcBorders>
                  <w:noWrap w:val="0"/>
                  <w:vAlign w:val="center"/>
                </w:tcPr>
                <w:p w14:paraId="5A6BC985">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color w:val="auto"/>
                      <w:lang w:val="en-US" w:eastAsia="zh-CN"/>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43932631">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72B294ED">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olor w:val="auto"/>
                      <w:sz w:val="21"/>
                      <w:szCs w:val="20"/>
                      <w:lang w:val="en-US" w:eastAsia="zh-CN"/>
                    </w:rPr>
                  </w:pPr>
                  <w:r>
                    <w:rPr>
                      <w:rFonts w:hint="eastAsia" w:cs="宋体"/>
                      <w:b w:val="0"/>
                      <w:color w:val="auto"/>
                      <w:spacing w:val="-2"/>
                      <w:kern w:val="2"/>
                      <w:sz w:val="21"/>
                      <w:szCs w:val="20"/>
                      <w:lang w:val="en-US" w:eastAsia="zh-CN" w:bidi="ar-SA"/>
                    </w:rPr>
                    <w:t>E:41、S:40、W:37、N:37</w:t>
                  </w:r>
                </w:p>
              </w:tc>
              <w:tc>
                <w:tcPr>
                  <w:tcW w:w="272" w:type="pct"/>
                  <w:tcBorders>
                    <w:tl2br w:val="nil"/>
                    <w:tr2bl w:val="nil"/>
                  </w:tcBorders>
                  <w:noWrap w:val="0"/>
                  <w:vAlign w:val="center"/>
                </w:tcPr>
                <w:p w14:paraId="44E600BE">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1m</w:t>
                  </w:r>
                </w:p>
              </w:tc>
            </w:tr>
            <w:tr w14:paraId="6892C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44B5875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3</w:t>
                  </w:r>
                </w:p>
              </w:tc>
              <w:tc>
                <w:tcPr>
                  <w:tcW w:w="208" w:type="pct"/>
                  <w:vMerge w:val="continue"/>
                  <w:tcBorders>
                    <w:tl2br w:val="nil"/>
                    <w:tr2bl w:val="nil"/>
                  </w:tcBorders>
                  <w:noWrap w:val="0"/>
                  <w:vAlign w:val="center"/>
                </w:tcPr>
                <w:p w14:paraId="348D4E9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559675EF">
                  <w:pPr>
                    <w:jc w:val="center"/>
                    <w:rPr>
                      <w:rFonts w:hint="eastAsia" w:eastAsia="宋体"/>
                      <w:bCs/>
                      <w:color w:val="auto"/>
                      <w:szCs w:val="21"/>
                      <w:lang w:eastAsia="zh-CN"/>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3</w:t>
                  </w:r>
                </w:p>
              </w:tc>
              <w:tc>
                <w:tcPr>
                  <w:tcW w:w="365" w:type="pct"/>
                  <w:tcBorders>
                    <w:tl2br w:val="nil"/>
                    <w:tr2bl w:val="nil"/>
                  </w:tcBorders>
                  <w:noWrap w:val="0"/>
                  <w:vAlign w:val="center"/>
                </w:tcPr>
                <w:p w14:paraId="1AD9EBCE">
                  <w:pPr>
                    <w:widowControl/>
                    <w:jc w:val="center"/>
                    <w:rPr>
                      <w:rFonts w:hint="default"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01AEF38C">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73800B1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6467356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-20</w:t>
                  </w:r>
                </w:p>
              </w:tc>
              <w:tc>
                <w:tcPr>
                  <w:tcW w:w="228" w:type="pct"/>
                  <w:tcBorders>
                    <w:tl2br w:val="nil"/>
                    <w:tr2bl w:val="nil"/>
                  </w:tcBorders>
                  <w:noWrap w:val="0"/>
                  <w:vAlign w:val="center"/>
                </w:tcPr>
                <w:p w14:paraId="6DDDDDE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3AC6C600">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E:49、S:53、W:75、N:84</w:t>
                  </w:r>
                </w:p>
              </w:tc>
              <w:tc>
                <w:tcPr>
                  <w:tcW w:w="572" w:type="pct"/>
                  <w:tcBorders>
                    <w:tl2br w:val="nil"/>
                    <w:tr2bl w:val="nil"/>
                  </w:tcBorders>
                  <w:noWrap w:val="0"/>
                  <w:vAlign w:val="center"/>
                </w:tcPr>
                <w:p w14:paraId="3BD50232">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E:51、S:50、W:47、N:47</w:t>
                  </w:r>
                </w:p>
              </w:tc>
              <w:tc>
                <w:tcPr>
                  <w:tcW w:w="450" w:type="pct"/>
                  <w:tcBorders>
                    <w:tl2br w:val="nil"/>
                    <w:tr2bl w:val="nil"/>
                  </w:tcBorders>
                  <w:noWrap w:val="0"/>
                  <w:vAlign w:val="center"/>
                </w:tcPr>
                <w:p w14:paraId="5BFE79A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snapToGrid/>
                      <w:color w:val="auto"/>
                      <w:spacing w:val="0"/>
                      <w:kern w:val="0"/>
                      <w:position w:val="0"/>
                      <w:sz w:val="21"/>
                      <w:szCs w:val="21"/>
                      <w:lang w:val="en-US" w:eastAsia="zh-CN"/>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0B64EBB4">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4F8AA1B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olor w:val="auto"/>
                      <w:sz w:val="21"/>
                      <w:szCs w:val="20"/>
                      <w:lang w:val="en-US" w:eastAsia="zh-CN"/>
                    </w:rPr>
                  </w:pPr>
                  <w:r>
                    <w:rPr>
                      <w:rFonts w:hint="eastAsia" w:cs="宋体"/>
                      <w:b w:val="0"/>
                      <w:color w:val="auto"/>
                      <w:spacing w:val="-2"/>
                      <w:kern w:val="2"/>
                      <w:sz w:val="21"/>
                      <w:szCs w:val="20"/>
                      <w:lang w:val="en-US" w:eastAsia="zh-CN" w:bidi="ar-SA"/>
                    </w:rPr>
                    <w:t>E:41、S:40、W:37、N:37</w:t>
                  </w:r>
                </w:p>
              </w:tc>
              <w:tc>
                <w:tcPr>
                  <w:tcW w:w="272" w:type="pct"/>
                  <w:tcBorders>
                    <w:tl2br w:val="nil"/>
                    <w:tr2bl w:val="nil"/>
                  </w:tcBorders>
                  <w:noWrap w:val="0"/>
                  <w:vAlign w:val="center"/>
                </w:tcPr>
                <w:p w14:paraId="369741EF">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3FFC8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3B566E16">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4</w:t>
                  </w:r>
                </w:p>
              </w:tc>
              <w:tc>
                <w:tcPr>
                  <w:tcW w:w="208" w:type="pct"/>
                  <w:vMerge w:val="continue"/>
                  <w:tcBorders>
                    <w:tl2br w:val="nil"/>
                    <w:tr2bl w:val="nil"/>
                  </w:tcBorders>
                  <w:noWrap w:val="0"/>
                  <w:vAlign w:val="center"/>
                </w:tcPr>
                <w:p w14:paraId="631272BD">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6514CAEC">
                  <w:pPr>
                    <w:jc w:val="center"/>
                    <w:rPr>
                      <w:rFonts w:hint="default" w:ascii="Times New Roman" w:hAnsi="Times New Roman" w:eastAsia="华文中宋" w:cs="Times New Roman"/>
                      <w:color w:val="auto"/>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4</w:t>
                  </w:r>
                </w:p>
              </w:tc>
              <w:tc>
                <w:tcPr>
                  <w:tcW w:w="365" w:type="pct"/>
                  <w:tcBorders>
                    <w:tl2br w:val="nil"/>
                    <w:tr2bl w:val="nil"/>
                  </w:tcBorders>
                  <w:noWrap w:val="0"/>
                  <w:vAlign w:val="center"/>
                </w:tcPr>
                <w:p w14:paraId="6E1A9486">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6D5059CD">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2184287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6F78880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-22</w:t>
                  </w:r>
                </w:p>
              </w:tc>
              <w:tc>
                <w:tcPr>
                  <w:tcW w:w="228" w:type="pct"/>
                  <w:tcBorders>
                    <w:tl2br w:val="nil"/>
                    <w:tr2bl w:val="nil"/>
                  </w:tcBorders>
                  <w:noWrap w:val="0"/>
                  <w:vAlign w:val="center"/>
                </w:tcPr>
                <w:p w14:paraId="2B00058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04BC0CD9">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E:49、S:51、W:76、N:86</w:t>
                  </w:r>
                </w:p>
              </w:tc>
              <w:tc>
                <w:tcPr>
                  <w:tcW w:w="572" w:type="pct"/>
                  <w:tcBorders>
                    <w:tl2br w:val="nil"/>
                    <w:tr2bl w:val="nil"/>
                  </w:tcBorders>
                  <w:noWrap w:val="0"/>
                  <w:vAlign w:val="center"/>
                </w:tcPr>
                <w:p w14:paraId="513B9C6E">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E:51、S:51、W:47、N:46</w:t>
                  </w:r>
                </w:p>
              </w:tc>
              <w:tc>
                <w:tcPr>
                  <w:tcW w:w="450" w:type="pct"/>
                  <w:tcBorders>
                    <w:tl2br w:val="nil"/>
                    <w:tr2bl w:val="nil"/>
                  </w:tcBorders>
                  <w:noWrap w:val="0"/>
                  <w:vAlign w:val="center"/>
                </w:tcPr>
                <w:p w14:paraId="4176D28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3E1E8EF9">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65C8BAB6">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E:41、S:41、W:37、N:36</w:t>
                  </w:r>
                </w:p>
              </w:tc>
              <w:tc>
                <w:tcPr>
                  <w:tcW w:w="272" w:type="pct"/>
                  <w:tcBorders>
                    <w:tl2br w:val="nil"/>
                    <w:tr2bl w:val="nil"/>
                  </w:tcBorders>
                  <w:noWrap w:val="0"/>
                  <w:vAlign w:val="center"/>
                </w:tcPr>
                <w:p w14:paraId="068B2D9E">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2FBC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07B377A3">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5</w:t>
                  </w:r>
                </w:p>
              </w:tc>
              <w:tc>
                <w:tcPr>
                  <w:tcW w:w="208" w:type="pct"/>
                  <w:vMerge w:val="continue"/>
                  <w:tcBorders>
                    <w:tl2br w:val="nil"/>
                    <w:tr2bl w:val="nil"/>
                  </w:tcBorders>
                  <w:noWrap w:val="0"/>
                  <w:vAlign w:val="center"/>
                </w:tcPr>
                <w:p w14:paraId="7BC34E85">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3A1E74C0">
                  <w:pPr>
                    <w:jc w:val="center"/>
                    <w:rPr>
                      <w:rFonts w:hint="default" w:ascii="Times New Roman" w:hAnsi="Times New Roman" w:eastAsia="华文中宋" w:cs="Times New Roman"/>
                      <w:color w:val="auto"/>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5</w:t>
                  </w:r>
                </w:p>
              </w:tc>
              <w:tc>
                <w:tcPr>
                  <w:tcW w:w="365" w:type="pct"/>
                  <w:tcBorders>
                    <w:tl2br w:val="nil"/>
                    <w:tr2bl w:val="nil"/>
                  </w:tcBorders>
                  <w:noWrap w:val="0"/>
                  <w:vAlign w:val="center"/>
                </w:tcPr>
                <w:p w14:paraId="63E19F84">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0EFA667C">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2585BE3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0088296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-24</w:t>
                  </w:r>
                </w:p>
              </w:tc>
              <w:tc>
                <w:tcPr>
                  <w:tcW w:w="228" w:type="pct"/>
                  <w:tcBorders>
                    <w:tl2br w:val="nil"/>
                    <w:tr2bl w:val="nil"/>
                  </w:tcBorders>
                  <w:noWrap w:val="0"/>
                  <w:vAlign w:val="center"/>
                </w:tcPr>
                <w:p w14:paraId="684D9E1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2EE9266F">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E:48、S:49、W:76、N:88</w:t>
                  </w:r>
                </w:p>
              </w:tc>
              <w:tc>
                <w:tcPr>
                  <w:tcW w:w="572" w:type="pct"/>
                  <w:tcBorders>
                    <w:tl2br w:val="nil"/>
                    <w:tr2bl w:val="nil"/>
                  </w:tcBorders>
                  <w:noWrap w:val="0"/>
                  <w:vAlign w:val="center"/>
                </w:tcPr>
                <w:p w14:paraId="12B46196">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E:51、S:51、W:47、N:46</w:t>
                  </w:r>
                </w:p>
              </w:tc>
              <w:tc>
                <w:tcPr>
                  <w:tcW w:w="450" w:type="pct"/>
                  <w:tcBorders>
                    <w:tl2br w:val="nil"/>
                    <w:tr2bl w:val="nil"/>
                  </w:tcBorders>
                  <w:noWrap w:val="0"/>
                  <w:vAlign w:val="center"/>
                </w:tcPr>
                <w:p w14:paraId="5819FAF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1AE86DAB">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34D35380">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E:41、S:41、W:37、N:36</w:t>
                  </w:r>
                </w:p>
              </w:tc>
              <w:tc>
                <w:tcPr>
                  <w:tcW w:w="272" w:type="pct"/>
                  <w:tcBorders>
                    <w:tl2br w:val="nil"/>
                    <w:tr2bl w:val="nil"/>
                  </w:tcBorders>
                  <w:noWrap w:val="0"/>
                  <w:vAlign w:val="center"/>
                </w:tcPr>
                <w:p w14:paraId="2F6E22EA">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7665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6737A62E">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6</w:t>
                  </w:r>
                </w:p>
              </w:tc>
              <w:tc>
                <w:tcPr>
                  <w:tcW w:w="208" w:type="pct"/>
                  <w:vMerge w:val="continue"/>
                  <w:tcBorders>
                    <w:tl2br w:val="nil"/>
                    <w:tr2bl w:val="nil"/>
                  </w:tcBorders>
                  <w:noWrap w:val="0"/>
                  <w:vAlign w:val="center"/>
                </w:tcPr>
                <w:p w14:paraId="66782958">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3F16D17E">
                  <w:pPr>
                    <w:jc w:val="center"/>
                    <w:rPr>
                      <w:rFonts w:hint="default" w:ascii="Times New Roman" w:hAnsi="Times New Roman" w:eastAsia="华文中宋" w:cs="Times New Roman"/>
                      <w:color w:val="auto"/>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6</w:t>
                  </w:r>
                </w:p>
              </w:tc>
              <w:tc>
                <w:tcPr>
                  <w:tcW w:w="365" w:type="pct"/>
                  <w:tcBorders>
                    <w:tl2br w:val="nil"/>
                    <w:tr2bl w:val="nil"/>
                  </w:tcBorders>
                  <w:noWrap w:val="0"/>
                  <w:vAlign w:val="center"/>
                </w:tcPr>
                <w:p w14:paraId="584D177B">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31B08638">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00F704A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60794A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-26</w:t>
                  </w:r>
                </w:p>
              </w:tc>
              <w:tc>
                <w:tcPr>
                  <w:tcW w:w="228" w:type="pct"/>
                  <w:tcBorders>
                    <w:tl2br w:val="nil"/>
                    <w:tr2bl w:val="nil"/>
                  </w:tcBorders>
                  <w:noWrap w:val="0"/>
                  <w:vAlign w:val="center"/>
                </w:tcPr>
                <w:p w14:paraId="6DC449D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0243EBC0">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E:48、S:47、W:76、N:90</w:t>
                  </w:r>
                </w:p>
              </w:tc>
              <w:tc>
                <w:tcPr>
                  <w:tcW w:w="572" w:type="pct"/>
                  <w:tcBorders>
                    <w:tl2br w:val="nil"/>
                    <w:tr2bl w:val="nil"/>
                  </w:tcBorders>
                  <w:noWrap w:val="0"/>
                  <w:vAlign w:val="center"/>
                </w:tcPr>
                <w:p w14:paraId="74C5AF65">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E:51、S:51、W:47、N:46</w:t>
                  </w:r>
                </w:p>
              </w:tc>
              <w:tc>
                <w:tcPr>
                  <w:tcW w:w="450" w:type="pct"/>
                  <w:tcBorders>
                    <w:tl2br w:val="nil"/>
                    <w:tr2bl w:val="nil"/>
                  </w:tcBorders>
                  <w:noWrap w:val="0"/>
                  <w:vAlign w:val="center"/>
                </w:tcPr>
                <w:p w14:paraId="52C6ED2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5A3EA1EC">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20E5739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E:41、S:41、W:37、N:36</w:t>
                  </w:r>
                </w:p>
              </w:tc>
              <w:tc>
                <w:tcPr>
                  <w:tcW w:w="272" w:type="pct"/>
                  <w:tcBorders>
                    <w:tl2br w:val="nil"/>
                    <w:tr2bl w:val="nil"/>
                  </w:tcBorders>
                  <w:noWrap w:val="0"/>
                  <w:vAlign w:val="center"/>
                </w:tcPr>
                <w:p w14:paraId="775665DE">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66E61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4BFA4E47">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7</w:t>
                  </w:r>
                </w:p>
              </w:tc>
              <w:tc>
                <w:tcPr>
                  <w:tcW w:w="208" w:type="pct"/>
                  <w:vMerge w:val="continue"/>
                  <w:tcBorders>
                    <w:tl2br w:val="nil"/>
                    <w:tr2bl w:val="nil"/>
                  </w:tcBorders>
                  <w:noWrap w:val="0"/>
                  <w:vAlign w:val="center"/>
                </w:tcPr>
                <w:p w14:paraId="4545F7F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5D6B1160">
                  <w:pPr>
                    <w:jc w:val="center"/>
                    <w:rPr>
                      <w:rFonts w:hint="default" w:ascii="Times New Roman" w:hAnsi="Times New Roman" w:eastAsia="华文中宋" w:cs="Times New Roman"/>
                      <w:color w:val="auto"/>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7</w:t>
                  </w:r>
                </w:p>
              </w:tc>
              <w:tc>
                <w:tcPr>
                  <w:tcW w:w="365" w:type="pct"/>
                  <w:tcBorders>
                    <w:tl2br w:val="nil"/>
                    <w:tr2bl w:val="nil"/>
                  </w:tcBorders>
                  <w:noWrap w:val="0"/>
                  <w:vAlign w:val="center"/>
                </w:tcPr>
                <w:p w14:paraId="2D7914C3">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687BD670">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6F23657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2FF7FB8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-28</w:t>
                  </w:r>
                </w:p>
              </w:tc>
              <w:tc>
                <w:tcPr>
                  <w:tcW w:w="228" w:type="pct"/>
                  <w:tcBorders>
                    <w:tl2br w:val="nil"/>
                    <w:tr2bl w:val="nil"/>
                  </w:tcBorders>
                  <w:noWrap w:val="0"/>
                  <w:vAlign w:val="center"/>
                </w:tcPr>
                <w:p w14:paraId="0C063E2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3CF79C5A">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E:47、S:45、W:77、N:92</w:t>
                  </w:r>
                </w:p>
              </w:tc>
              <w:tc>
                <w:tcPr>
                  <w:tcW w:w="572" w:type="pct"/>
                  <w:tcBorders>
                    <w:tl2br w:val="nil"/>
                    <w:tr2bl w:val="nil"/>
                  </w:tcBorders>
                  <w:noWrap w:val="0"/>
                  <w:vAlign w:val="center"/>
                </w:tcPr>
                <w:p w14:paraId="17D75406">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E:52、S:52、W:47、N:46</w:t>
                  </w:r>
                </w:p>
              </w:tc>
              <w:tc>
                <w:tcPr>
                  <w:tcW w:w="450" w:type="pct"/>
                  <w:tcBorders>
                    <w:tl2br w:val="nil"/>
                    <w:tr2bl w:val="nil"/>
                  </w:tcBorders>
                  <w:noWrap w:val="0"/>
                  <w:vAlign w:val="center"/>
                </w:tcPr>
                <w:p w14:paraId="159B674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5C06489A">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073BF38C">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E:42、S:42、W:37、N:36</w:t>
                  </w:r>
                </w:p>
              </w:tc>
              <w:tc>
                <w:tcPr>
                  <w:tcW w:w="272" w:type="pct"/>
                  <w:tcBorders>
                    <w:tl2br w:val="nil"/>
                    <w:tr2bl w:val="nil"/>
                  </w:tcBorders>
                  <w:noWrap w:val="0"/>
                  <w:vAlign w:val="center"/>
                </w:tcPr>
                <w:p w14:paraId="3204B78E">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5646A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5445B2FD">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8</w:t>
                  </w:r>
                </w:p>
              </w:tc>
              <w:tc>
                <w:tcPr>
                  <w:tcW w:w="208" w:type="pct"/>
                  <w:vMerge w:val="continue"/>
                  <w:tcBorders>
                    <w:tl2br w:val="nil"/>
                    <w:tr2bl w:val="nil"/>
                  </w:tcBorders>
                  <w:noWrap w:val="0"/>
                  <w:vAlign w:val="center"/>
                </w:tcPr>
                <w:p w14:paraId="7C016AFF">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317BA467">
                  <w:pPr>
                    <w:jc w:val="center"/>
                    <w:rPr>
                      <w:rFonts w:hint="default" w:ascii="Times New Roman" w:hAnsi="Times New Roman" w:eastAsia="华文中宋" w:cs="Times New Roman"/>
                      <w:color w:val="auto"/>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8</w:t>
                  </w:r>
                </w:p>
              </w:tc>
              <w:tc>
                <w:tcPr>
                  <w:tcW w:w="365" w:type="pct"/>
                  <w:tcBorders>
                    <w:tl2br w:val="nil"/>
                    <w:tr2bl w:val="nil"/>
                  </w:tcBorders>
                  <w:noWrap w:val="0"/>
                  <w:vAlign w:val="center"/>
                </w:tcPr>
                <w:p w14:paraId="2C854C04">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21CC83E0">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45FD4A5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2960663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-30</w:t>
                  </w:r>
                </w:p>
              </w:tc>
              <w:tc>
                <w:tcPr>
                  <w:tcW w:w="228" w:type="pct"/>
                  <w:tcBorders>
                    <w:tl2br w:val="nil"/>
                    <w:tr2bl w:val="nil"/>
                  </w:tcBorders>
                  <w:noWrap w:val="0"/>
                  <w:vAlign w:val="center"/>
                </w:tcPr>
                <w:p w14:paraId="0EE737D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3079D6F2">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E:47、S:43、W:77、N:94</w:t>
                  </w:r>
                </w:p>
              </w:tc>
              <w:tc>
                <w:tcPr>
                  <w:tcW w:w="572" w:type="pct"/>
                  <w:tcBorders>
                    <w:tl2br w:val="nil"/>
                    <w:tr2bl w:val="nil"/>
                  </w:tcBorders>
                  <w:noWrap w:val="0"/>
                  <w:vAlign w:val="center"/>
                </w:tcPr>
                <w:p w14:paraId="7BE7A562">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E:52、S:52、W:47、N:46</w:t>
                  </w:r>
                </w:p>
              </w:tc>
              <w:tc>
                <w:tcPr>
                  <w:tcW w:w="450" w:type="pct"/>
                  <w:tcBorders>
                    <w:tl2br w:val="nil"/>
                    <w:tr2bl w:val="nil"/>
                  </w:tcBorders>
                  <w:noWrap w:val="0"/>
                  <w:vAlign w:val="center"/>
                </w:tcPr>
                <w:p w14:paraId="79BD18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5209E22D">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38BC25F4">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E:42、S:42、W:37、N:36</w:t>
                  </w:r>
                </w:p>
              </w:tc>
              <w:tc>
                <w:tcPr>
                  <w:tcW w:w="272" w:type="pct"/>
                  <w:tcBorders>
                    <w:tl2br w:val="nil"/>
                    <w:tr2bl w:val="nil"/>
                  </w:tcBorders>
                  <w:noWrap w:val="0"/>
                  <w:vAlign w:val="center"/>
                </w:tcPr>
                <w:p w14:paraId="5412D620">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47491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684E43D4">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9</w:t>
                  </w:r>
                </w:p>
              </w:tc>
              <w:tc>
                <w:tcPr>
                  <w:tcW w:w="208" w:type="pct"/>
                  <w:vMerge w:val="continue"/>
                  <w:tcBorders>
                    <w:tl2br w:val="nil"/>
                    <w:tr2bl w:val="nil"/>
                  </w:tcBorders>
                  <w:noWrap w:val="0"/>
                  <w:vAlign w:val="center"/>
                </w:tcPr>
                <w:p w14:paraId="45FCC2A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027925E5">
                  <w:pPr>
                    <w:jc w:val="center"/>
                    <w:rPr>
                      <w:rFonts w:hint="default" w:ascii="Times New Roman" w:hAnsi="Times New Roman" w:eastAsia="华文中宋" w:cs="Times New Roman"/>
                      <w:color w:val="auto"/>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9</w:t>
                  </w:r>
                </w:p>
              </w:tc>
              <w:tc>
                <w:tcPr>
                  <w:tcW w:w="365" w:type="pct"/>
                  <w:tcBorders>
                    <w:tl2br w:val="nil"/>
                    <w:tr2bl w:val="nil"/>
                  </w:tcBorders>
                  <w:noWrap w:val="0"/>
                  <w:vAlign w:val="center"/>
                </w:tcPr>
                <w:p w14:paraId="241A679B">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2443EBCF">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0A46749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65E5F16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-32</w:t>
                  </w:r>
                </w:p>
              </w:tc>
              <w:tc>
                <w:tcPr>
                  <w:tcW w:w="228" w:type="pct"/>
                  <w:tcBorders>
                    <w:tl2br w:val="nil"/>
                    <w:tr2bl w:val="nil"/>
                  </w:tcBorders>
                  <w:noWrap w:val="0"/>
                  <w:vAlign w:val="center"/>
                </w:tcPr>
                <w:p w14:paraId="6DF2617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2596C9C3">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E:46、S:41、W:78、N:96</w:t>
                  </w:r>
                </w:p>
              </w:tc>
              <w:tc>
                <w:tcPr>
                  <w:tcW w:w="572" w:type="pct"/>
                  <w:tcBorders>
                    <w:tl2br w:val="nil"/>
                    <w:tr2bl w:val="nil"/>
                  </w:tcBorders>
                  <w:noWrap w:val="0"/>
                  <w:vAlign w:val="center"/>
                </w:tcPr>
                <w:p w14:paraId="6D07A2F5">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E:52、S:53、W:47、N:45</w:t>
                  </w:r>
                </w:p>
              </w:tc>
              <w:tc>
                <w:tcPr>
                  <w:tcW w:w="450" w:type="pct"/>
                  <w:tcBorders>
                    <w:tl2br w:val="nil"/>
                    <w:tr2bl w:val="nil"/>
                  </w:tcBorders>
                  <w:noWrap w:val="0"/>
                  <w:vAlign w:val="center"/>
                </w:tcPr>
                <w:p w14:paraId="041BE81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108EF18A">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443C17C8">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E:42、S:43、W:37、N:35</w:t>
                  </w:r>
                </w:p>
              </w:tc>
              <w:tc>
                <w:tcPr>
                  <w:tcW w:w="272" w:type="pct"/>
                  <w:tcBorders>
                    <w:tl2br w:val="nil"/>
                    <w:tr2bl w:val="nil"/>
                  </w:tcBorders>
                  <w:noWrap w:val="0"/>
                  <w:vAlign w:val="center"/>
                </w:tcPr>
                <w:p w14:paraId="559D7DE1">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1EF4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75EF7C57">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10</w:t>
                  </w:r>
                </w:p>
              </w:tc>
              <w:tc>
                <w:tcPr>
                  <w:tcW w:w="208" w:type="pct"/>
                  <w:vMerge w:val="continue"/>
                  <w:tcBorders>
                    <w:tl2br w:val="nil"/>
                    <w:tr2bl w:val="nil"/>
                  </w:tcBorders>
                  <w:noWrap w:val="0"/>
                  <w:vAlign w:val="center"/>
                </w:tcPr>
                <w:p w14:paraId="652F1382">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460A65CC">
                  <w:pPr>
                    <w:jc w:val="center"/>
                    <w:rPr>
                      <w:rFonts w:hint="default" w:ascii="Times New Roman" w:hAnsi="Times New Roman" w:eastAsia="华文中宋" w:cs="Times New Roman"/>
                      <w:color w:val="auto"/>
                      <w:lang w:val="en-US"/>
                    </w:rPr>
                  </w:pPr>
                  <w:r>
                    <w:rPr>
                      <w:rFonts w:hint="default" w:ascii="Times New Roman" w:hAnsi="Times New Roman" w:eastAsia="华文中宋" w:cs="Times New Roman"/>
                      <w:color w:val="auto"/>
                    </w:rPr>
                    <w:t>切割锯</w:t>
                  </w:r>
                  <w:r>
                    <w:rPr>
                      <w:rFonts w:hint="eastAsia" w:cs="Times New Roman"/>
                      <w:snapToGrid/>
                      <w:color w:val="auto"/>
                      <w:spacing w:val="0"/>
                      <w:kern w:val="0"/>
                      <w:position w:val="0"/>
                      <w:sz w:val="21"/>
                      <w:szCs w:val="24"/>
                      <w:lang w:val="en-US" w:eastAsia="zh-CN" w:bidi="ar-SA"/>
                    </w:rPr>
                    <w:t>10</w:t>
                  </w:r>
                </w:p>
              </w:tc>
              <w:tc>
                <w:tcPr>
                  <w:tcW w:w="365" w:type="pct"/>
                  <w:tcBorders>
                    <w:tl2br w:val="nil"/>
                    <w:tr2bl w:val="nil"/>
                  </w:tcBorders>
                  <w:noWrap w:val="0"/>
                  <w:vAlign w:val="center"/>
                </w:tcPr>
                <w:p w14:paraId="297F58AC">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50EA0EB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3FE551C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18</w:t>
                  </w:r>
                </w:p>
              </w:tc>
              <w:tc>
                <w:tcPr>
                  <w:tcW w:w="220" w:type="pct"/>
                  <w:tcBorders>
                    <w:tl2br w:val="nil"/>
                    <w:tr2bl w:val="nil"/>
                  </w:tcBorders>
                  <w:noWrap w:val="0"/>
                  <w:vAlign w:val="center"/>
                </w:tcPr>
                <w:p w14:paraId="759DDA6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-34</w:t>
                  </w:r>
                </w:p>
              </w:tc>
              <w:tc>
                <w:tcPr>
                  <w:tcW w:w="228" w:type="pct"/>
                  <w:tcBorders>
                    <w:tl2br w:val="nil"/>
                    <w:tr2bl w:val="nil"/>
                  </w:tcBorders>
                  <w:noWrap w:val="0"/>
                  <w:vAlign w:val="center"/>
                </w:tcPr>
                <w:p w14:paraId="4C636C1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2729A41A">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E:46、S:39、W:79、N:98</w:t>
                  </w:r>
                </w:p>
              </w:tc>
              <w:tc>
                <w:tcPr>
                  <w:tcW w:w="572" w:type="pct"/>
                  <w:tcBorders>
                    <w:tl2br w:val="nil"/>
                    <w:tr2bl w:val="nil"/>
                  </w:tcBorders>
                  <w:noWrap w:val="0"/>
                  <w:vAlign w:val="center"/>
                </w:tcPr>
                <w:p w14:paraId="2D18F71F">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E:52、S:53、W:47、N:45</w:t>
                  </w:r>
                </w:p>
              </w:tc>
              <w:tc>
                <w:tcPr>
                  <w:tcW w:w="450" w:type="pct"/>
                  <w:tcBorders>
                    <w:tl2br w:val="nil"/>
                    <w:tr2bl w:val="nil"/>
                  </w:tcBorders>
                  <w:noWrap w:val="0"/>
                  <w:vAlign w:val="center"/>
                </w:tcPr>
                <w:p w14:paraId="24570CD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268B07A6">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7B31E35F">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E:42、S:43、W:37、N:35</w:t>
                  </w:r>
                </w:p>
              </w:tc>
              <w:tc>
                <w:tcPr>
                  <w:tcW w:w="272" w:type="pct"/>
                  <w:tcBorders>
                    <w:tl2br w:val="nil"/>
                    <w:tr2bl w:val="nil"/>
                  </w:tcBorders>
                  <w:noWrap w:val="0"/>
                  <w:vAlign w:val="center"/>
                </w:tcPr>
                <w:p w14:paraId="6B36955C">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34AD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4C4DD9E4">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11</w:t>
                  </w:r>
                </w:p>
              </w:tc>
              <w:tc>
                <w:tcPr>
                  <w:tcW w:w="208" w:type="pct"/>
                  <w:vMerge w:val="continue"/>
                  <w:tcBorders>
                    <w:tl2br w:val="nil"/>
                    <w:tr2bl w:val="nil"/>
                  </w:tcBorders>
                  <w:noWrap w:val="0"/>
                  <w:vAlign w:val="center"/>
                </w:tcPr>
                <w:p w14:paraId="0B385653">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noWrap w:val="0"/>
                  <w:vAlign w:val="center"/>
                </w:tcPr>
                <w:p w14:paraId="414CA832">
                  <w:pPr>
                    <w:jc w:val="center"/>
                    <w:rPr>
                      <w:rFonts w:hint="eastAsia" w:ascii="Times New Roman" w:hAnsi="Times New Roman" w:eastAsia="华文中宋" w:cs="Times New Roman"/>
                      <w:color w:val="auto"/>
                      <w:lang w:val="en-US" w:eastAsia="zh-CN"/>
                    </w:rPr>
                  </w:pPr>
                  <w:r>
                    <w:rPr>
                      <w:rFonts w:hint="default" w:ascii="Times New Roman" w:hAnsi="Times New Roman" w:eastAsia="华文中宋" w:cs="Times New Roman"/>
                      <w:color w:val="auto"/>
                    </w:rPr>
                    <w:t>高低混料机</w:t>
                  </w:r>
                </w:p>
              </w:tc>
              <w:tc>
                <w:tcPr>
                  <w:tcW w:w="365" w:type="pct"/>
                  <w:tcBorders>
                    <w:tl2br w:val="nil"/>
                    <w:tr2bl w:val="nil"/>
                  </w:tcBorders>
                  <w:noWrap w:val="0"/>
                  <w:vAlign w:val="center"/>
                </w:tcPr>
                <w:p w14:paraId="18336BA3">
                  <w:pPr>
                    <w:widowControl/>
                    <w:jc w:val="center"/>
                    <w:rPr>
                      <w:rFonts w:hint="default"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80</w:t>
                  </w:r>
                </w:p>
              </w:tc>
              <w:tc>
                <w:tcPr>
                  <w:tcW w:w="370" w:type="pct"/>
                  <w:vMerge w:val="continue"/>
                  <w:tcBorders>
                    <w:tl2br w:val="nil"/>
                    <w:tr2bl w:val="nil"/>
                  </w:tcBorders>
                  <w:noWrap w:val="0"/>
                  <w:vAlign w:val="center"/>
                </w:tcPr>
                <w:p w14:paraId="761E09B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179F6D2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0</w:t>
                  </w:r>
                </w:p>
              </w:tc>
              <w:tc>
                <w:tcPr>
                  <w:tcW w:w="220" w:type="pct"/>
                  <w:tcBorders>
                    <w:tl2br w:val="nil"/>
                    <w:tr2bl w:val="nil"/>
                  </w:tcBorders>
                  <w:noWrap w:val="0"/>
                  <w:vAlign w:val="center"/>
                </w:tcPr>
                <w:p w14:paraId="6AE572E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-17</w:t>
                  </w:r>
                </w:p>
              </w:tc>
              <w:tc>
                <w:tcPr>
                  <w:tcW w:w="228" w:type="pct"/>
                  <w:tcBorders>
                    <w:tl2br w:val="nil"/>
                    <w:tr2bl w:val="nil"/>
                  </w:tcBorders>
                  <w:noWrap w:val="0"/>
                  <w:vAlign w:val="center"/>
                </w:tcPr>
                <w:p w14:paraId="0EF1F82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51293616">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E:63、S:50、W:61、N:85</w:t>
                  </w:r>
                </w:p>
              </w:tc>
              <w:tc>
                <w:tcPr>
                  <w:tcW w:w="572" w:type="pct"/>
                  <w:tcBorders>
                    <w:tl2br w:val="nil"/>
                    <w:tr2bl w:val="nil"/>
                  </w:tcBorders>
                  <w:noWrap w:val="0"/>
                  <w:vAlign w:val="center"/>
                </w:tcPr>
                <w:p w14:paraId="587BA9CB">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E:49、S:51、W:49、N:46</w:t>
                  </w:r>
                </w:p>
              </w:tc>
              <w:tc>
                <w:tcPr>
                  <w:tcW w:w="450" w:type="pct"/>
                  <w:tcBorders>
                    <w:tl2br w:val="nil"/>
                    <w:tr2bl w:val="nil"/>
                  </w:tcBorders>
                  <w:noWrap w:val="0"/>
                  <w:vAlign w:val="center"/>
                </w:tcPr>
                <w:p w14:paraId="21BD2ED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319D878C">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478B4F0E">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E:39、S:41、W:39、N:36</w:t>
                  </w:r>
                </w:p>
              </w:tc>
              <w:tc>
                <w:tcPr>
                  <w:tcW w:w="272" w:type="pct"/>
                  <w:tcBorders>
                    <w:tl2br w:val="nil"/>
                    <w:tr2bl w:val="nil"/>
                  </w:tcBorders>
                  <w:noWrap w:val="0"/>
                  <w:vAlign w:val="center"/>
                </w:tcPr>
                <w:p w14:paraId="72D89656">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1B859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31C858DB">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12</w:t>
                  </w:r>
                </w:p>
              </w:tc>
              <w:tc>
                <w:tcPr>
                  <w:tcW w:w="208" w:type="pct"/>
                  <w:vMerge w:val="continue"/>
                  <w:tcBorders>
                    <w:tl2br w:val="nil"/>
                    <w:tr2bl w:val="nil"/>
                  </w:tcBorders>
                  <w:noWrap w:val="0"/>
                  <w:vAlign w:val="center"/>
                </w:tcPr>
                <w:p w14:paraId="40B3AED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shd w:val="clear" w:color="auto" w:fill="auto"/>
                  <w:noWrap w:val="0"/>
                  <w:vAlign w:val="center"/>
                </w:tcPr>
                <w:p w14:paraId="3DC44323">
                  <w:pPr>
                    <w:jc w:val="center"/>
                    <w:rPr>
                      <w:rFonts w:hint="default" w:ascii="Times New Roman" w:hAnsi="Times New Roman" w:eastAsia="华文中宋" w:cs="Times New Roman"/>
                      <w:color w:val="auto"/>
                      <w:kern w:val="2"/>
                      <w:sz w:val="21"/>
                      <w:szCs w:val="24"/>
                      <w:lang w:val="en-US" w:eastAsia="zh-CN" w:bidi="ar-SA"/>
                    </w:rPr>
                  </w:pPr>
                  <w:r>
                    <w:rPr>
                      <w:rFonts w:hint="default" w:ascii="Times New Roman" w:hAnsi="Times New Roman" w:eastAsia="华文中宋" w:cs="Times New Roman"/>
                      <w:color w:val="auto"/>
                    </w:rPr>
                    <w:t>切割机</w:t>
                  </w:r>
                </w:p>
              </w:tc>
              <w:tc>
                <w:tcPr>
                  <w:tcW w:w="365" w:type="pct"/>
                  <w:tcBorders>
                    <w:tl2br w:val="nil"/>
                    <w:tr2bl w:val="nil"/>
                  </w:tcBorders>
                  <w:noWrap w:val="0"/>
                  <w:vAlign w:val="center"/>
                </w:tcPr>
                <w:p w14:paraId="44AD9ADE">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85</w:t>
                  </w:r>
                </w:p>
              </w:tc>
              <w:tc>
                <w:tcPr>
                  <w:tcW w:w="370" w:type="pct"/>
                  <w:vMerge w:val="continue"/>
                  <w:tcBorders>
                    <w:tl2br w:val="nil"/>
                    <w:tr2bl w:val="nil"/>
                  </w:tcBorders>
                  <w:noWrap w:val="0"/>
                  <w:vAlign w:val="center"/>
                </w:tcPr>
                <w:p w14:paraId="4545FFD1">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0A659F5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35</w:t>
                  </w:r>
                </w:p>
              </w:tc>
              <w:tc>
                <w:tcPr>
                  <w:tcW w:w="220" w:type="pct"/>
                  <w:tcBorders>
                    <w:tl2br w:val="nil"/>
                    <w:tr2bl w:val="nil"/>
                  </w:tcBorders>
                  <w:noWrap w:val="0"/>
                  <w:vAlign w:val="center"/>
                </w:tcPr>
                <w:p w14:paraId="24AD307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-34</w:t>
                  </w:r>
                </w:p>
              </w:tc>
              <w:tc>
                <w:tcPr>
                  <w:tcW w:w="228" w:type="pct"/>
                  <w:tcBorders>
                    <w:tl2br w:val="nil"/>
                    <w:tr2bl w:val="nil"/>
                  </w:tcBorders>
                  <w:noWrap w:val="0"/>
                  <w:vAlign w:val="center"/>
                </w:tcPr>
                <w:p w14:paraId="43003D4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09595600">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E:32、S:41、W:93、N:98</w:t>
                  </w:r>
                </w:p>
              </w:tc>
              <w:tc>
                <w:tcPr>
                  <w:tcW w:w="572" w:type="pct"/>
                  <w:tcBorders>
                    <w:tl2br w:val="nil"/>
                    <w:tr2bl w:val="nil"/>
                  </w:tcBorders>
                  <w:noWrap w:val="0"/>
                  <w:vAlign w:val="center"/>
                </w:tcPr>
                <w:p w14:paraId="2B0A9964">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E:54、S:53、W:46、N:45</w:t>
                  </w:r>
                </w:p>
              </w:tc>
              <w:tc>
                <w:tcPr>
                  <w:tcW w:w="450" w:type="pct"/>
                  <w:tcBorders>
                    <w:tl2br w:val="nil"/>
                    <w:tr2bl w:val="nil"/>
                  </w:tcBorders>
                  <w:noWrap w:val="0"/>
                  <w:vAlign w:val="center"/>
                </w:tcPr>
                <w:p w14:paraId="39CAD24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7F74C63E">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689769F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E:44、S:43、W:36、N:35</w:t>
                  </w:r>
                </w:p>
              </w:tc>
              <w:tc>
                <w:tcPr>
                  <w:tcW w:w="272" w:type="pct"/>
                  <w:tcBorders>
                    <w:tl2br w:val="nil"/>
                    <w:tr2bl w:val="nil"/>
                  </w:tcBorders>
                  <w:noWrap w:val="0"/>
                  <w:vAlign w:val="center"/>
                </w:tcPr>
                <w:p w14:paraId="39DCE932">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r w14:paraId="70708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6" w:type="pct"/>
                  <w:tcBorders>
                    <w:tl2br w:val="nil"/>
                    <w:tr2bl w:val="nil"/>
                  </w:tcBorders>
                  <w:noWrap w:val="0"/>
                  <w:vAlign w:val="center"/>
                </w:tcPr>
                <w:p w14:paraId="43926267">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olor w:val="auto"/>
                      <w:lang w:val="en-US" w:eastAsia="zh-CN"/>
                    </w:rPr>
                    <w:t>13</w:t>
                  </w:r>
                </w:p>
              </w:tc>
              <w:tc>
                <w:tcPr>
                  <w:tcW w:w="208" w:type="pct"/>
                  <w:vMerge w:val="continue"/>
                  <w:tcBorders>
                    <w:tl2br w:val="nil"/>
                    <w:tr2bl w:val="nil"/>
                  </w:tcBorders>
                  <w:noWrap w:val="0"/>
                  <w:vAlign w:val="center"/>
                </w:tcPr>
                <w:p w14:paraId="36D4876B">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390" w:type="pct"/>
                  <w:tcBorders>
                    <w:tl2br w:val="nil"/>
                    <w:tr2bl w:val="nil"/>
                  </w:tcBorders>
                  <w:shd w:val="clear" w:color="auto" w:fill="auto"/>
                  <w:noWrap w:val="0"/>
                  <w:vAlign w:val="center"/>
                </w:tcPr>
                <w:p w14:paraId="0995C439">
                  <w:pPr>
                    <w:jc w:val="center"/>
                    <w:rPr>
                      <w:rFonts w:hint="default" w:ascii="Times New Roman" w:hAnsi="Times New Roman" w:eastAsia="华文中宋" w:cs="Times New Roman"/>
                      <w:color w:val="auto"/>
                      <w:kern w:val="2"/>
                      <w:sz w:val="21"/>
                      <w:szCs w:val="24"/>
                      <w:lang w:val="en-US" w:eastAsia="zh-CN" w:bidi="ar-SA"/>
                    </w:rPr>
                  </w:pPr>
                  <w:r>
                    <w:rPr>
                      <w:rFonts w:hint="default" w:ascii="Times New Roman" w:hAnsi="Times New Roman" w:eastAsia="华文中宋" w:cs="Times New Roman"/>
                      <w:color w:val="auto"/>
                    </w:rPr>
                    <w:t>砂光打磨机</w:t>
                  </w:r>
                </w:p>
              </w:tc>
              <w:tc>
                <w:tcPr>
                  <w:tcW w:w="365" w:type="pct"/>
                  <w:tcBorders>
                    <w:tl2br w:val="nil"/>
                    <w:tr2bl w:val="nil"/>
                  </w:tcBorders>
                  <w:noWrap w:val="0"/>
                  <w:vAlign w:val="center"/>
                </w:tcPr>
                <w:p w14:paraId="13731BDB">
                  <w:pPr>
                    <w:widowControl/>
                    <w:jc w:val="center"/>
                    <w:rPr>
                      <w:rFonts w:hint="eastAsia" w:cs="Times New Roman"/>
                      <w:snapToGrid/>
                      <w:color w:val="auto"/>
                      <w:spacing w:val="0"/>
                      <w:kern w:val="0"/>
                      <w:position w:val="0"/>
                      <w:sz w:val="21"/>
                      <w:szCs w:val="22"/>
                      <w:lang w:val="en-US" w:eastAsia="zh-CN" w:bidi="ar-SA"/>
                    </w:rPr>
                  </w:pPr>
                  <w:r>
                    <w:rPr>
                      <w:rFonts w:hint="eastAsia" w:cs="Times New Roman"/>
                      <w:snapToGrid/>
                      <w:color w:val="auto"/>
                      <w:spacing w:val="0"/>
                      <w:kern w:val="0"/>
                      <w:position w:val="0"/>
                      <w:sz w:val="21"/>
                      <w:szCs w:val="22"/>
                      <w:lang w:val="en-US" w:eastAsia="zh-CN" w:bidi="ar-SA"/>
                    </w:rPr>
                    <w:t>80</w:t>
                  </w:r>
                </w:p>
              </w:tc>
              <w:tc>
                <w:tcPr>
                  <w:tcW w:w="370" w:type="pct"/>
                  <w:vMerge w:val="continue"/>
                  <w:tcBorders>
                    <w:tl2br w:val="nil"/>
                    <w:tr2bl w:val="nil"/>
                  </w:tcBorders>
                  <w:noWrap w:val="0"/>
                  <w:vAlign w:val="center"/>
                </w:tcPr>
                <w:p w14:paraId="362A665D">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p>
              </w:tc>
              <w:tc>
                <w:tcPr>
                  <w:tcW w:w="213" w:type="pct"/>
                  <w:tcBorders>
                    <w:tl2br w:val="nil"/>
                    <w:tr2bl w:val="nil"/>
                  </w:tcBorders>
                  <w:noWrap w:val="0"/>
                  <w:vAlign w:val="center"/>
                </w:tcPr>
                <w:p w14:paraId="49CD8C2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35</w:t>
                  </w:r>
                </w:p>
              </w:tc>
              <w:tc>
                <w:tcPr>
                  <w:tcW w:w="220" w:type="pct"/>
                  <w:tcBorders>
                    <w:tl2br w:val="nil"/>
                    <w:tr2bl w:val="nil"/>
                  </w:tcBorders>
                  <w:noWrap w:val="0"/>
                  <w:vAlign w:val="center"/>
                </w:tcPr>
                <w:p w14:paraId="2B6C1F7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-28</w:t>
                  </w:r>
                </w:p>
              </w:tc>
              <w:tc>
                <w:tcPr>
                  <w:tcW w:w="228" w:type="pct"/>
                  <w:tcBorders>
                    <w:tl2br w:val="nil"/>
                    <w:tr2bl w:val="nil"/>
                  </w:tcBorders>
                  <w:noWrap w:val="0"/>
                  <w:vAlign w:val="center"/>
                </w:tcPr>
                <w:p w14:paraId="5916A3D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1</w:t>
                  </w:r>
                </w:p>
              </w:tc>
              <w:tc>
                <w:tcPr>
                  <w:tcW w:w="666" w:type="pct"/>
                  <w:tcBorders>
                    <w:tl2br w:val="nil"/>
                    <w:tr2bl w:val="nil"/>
                  </w:tcBorders>
                  <w:noWrap w:val="0"/>
                  <w:vAlign w:val="center"/>
                </w:tcPr>
                <w:p w14:paraId="2D2F1F64">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cs="宋体"/>
                      <w:b w:val="0"/>
                      <w:color w:val="auto"/>
                      <w:spacing w:val="-2"/>
                      <w:sz w:val="21"/>
                      <w:szCs w:val="20"/>
                      <w:lang w:val="en-US" w:eastAsia="zh-CN" w:bidi="ar-SA"/>
                    </w:rPr>
                  </w:pPr>
                  <w:r>
                    <w:rPr>
                      <w:rFonts w:hint="eastAsia" w:cs="宋体"/>
                      <w:b w:val="0"/>
                      <w:color w:val="auto"/>
                      <w:spacing w:val="-2"/>
                      <w:kern w:val="2"/>
                      <w:sz w:val="21"/>
                      <w:szCs w:val="20"/>
                      <w:lang w:val="en-US" w:eastAsia="zh-CN" w:bidi="ar-SA"/>
                    </w:rPr>
                    <w:t>E:32、S:50、W:94、N:89</w:t>
                  </w:r>
                </w:p>
              </w:tc>
              <w:tc>
                <w:tcPr>
                  <w:tcW w:w="572" w:type="pct"/>
                  <w:tcBorders>
                    <w:tl2br w:val="nil"/>
                    <w:tr2bl w:val="nil"/>
                  </w:tcBorders>
                  <w:noWrap w:val="0"/>
                  <w:vAlign w:val="center"/>
                </w:tcPr>
                <w:p w14:paraId="639A06D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default"/>
                      <w:color w:val="auto"/>
                      <w:lang w:val="en-US" w:eastAsia="zh-CN"/>
                    </w:rPr>
                  </w:pPr>
                  <w:r>
                    <w:rPr>
                      <w:rFonts w:hint="eastAsia" w:cs="宋体"/>
                      <w:b w:val="0"/>
                      <w:color w:val="auto"/>
                      <w:spacing w:val="-2"/>
                      <w:kern w:val="2"/>
                      <w:sz w:val="21"/>
                      <w:szCs w:val="20"/>
                      <w:lang w:val="en-US" w:eastAsia="zh-CN" w:bidi="ar-SA"/>
                    </w:rPr>
                    <w:t>E:54、S:51、W:46、N:46</w:t>
                  </w:r>
                </w:p>
              </w:tc>
              <w:tc>
                <w:tcPr>
                  <w:tcW w:w="450" w:type="pct"/>
                  <w:tcBorders>
                    <w:tl2br w:val="nil"/>
                    <w:tr2bl w:val="nil"/>
                  </w:tcBorders>
                  <w:noWrap w:val="0"/>
                  <w:vAlign w:val="center"/>
                </w:tcPr>
                <w:p w14:paraId="392217B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cs="Times New Roman"/>
                      <w:color w:val="auto"/>
                      <w:kern w:val="2"/>
                      <w:sz w:val="21"/>
                      <w:szCs w:val="20"/>
                      <w:lang w:val="en-US" w:eastAsia="zh-CN" w:bidi="ar-SA"/>
                    </w:rPr>
                  </w:pPr>
                  <w:r>
                    <w:rPr>
                      <w:rFonts w:hint="eastAsia" w:cs="Times New Roman"/>
                      <w:color w:val="auto"/>
                      <w:kern w:val="2"/>
                      <w:sz w:val="21"/>
                      <w:szCs w:val="20"/>
                      <w:lang w:val="en-US" w:eastAsia="zh-CN" w:bidi="ar-SA"/>
                    </w:rPr>
                    <w:t>8:00-18:00</w:t>
                  </w:r>
                </w:p>
              </w:tc>
              <w:tc>
                <w:tcPr>
                  <w:tcW w:w="386" w:type="pct"/>
                  <w:tcBorders>
                    <w:tl2br w:val="nil"/>
                    <w:tr2bl w:val="nil"/>
                  </w:tcBorders>
                  <w:noWrap w:val="0"/>
                  <w:vAlign w:val="center"/>
                </w:tcPr>
                <w:p w14:paraId="168FE0E7">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10</w:t>
                  </w:r>
                </w:p>
              </w:tc>
              <w:tc>
                <w:tcPr>
                  <w:tcW w:w="1227" w:type="dxa"/>
                  <w:tcBorders>
                    <w:tl2br w:val="nil"/>
                    <w:tr2bl w:val="nil"/>
                  </w:tcBorders>
                  <w:noWrap w:val="0"/>
                  <w:vAlign w:val="center"/>
                </w:tcPr>
                <w:p w14:paraId="5A92869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eastAsia"/>
                      <w:color w:val="auto"/>
                      <w:sz w:val="21"/>
                      <w:szCs w:val="20"/>
                      <w:lang w:val="en-US" w:eastAsia="zh-CN"/>
                    </w:rPr>
                  </w:pPr>
                  <w:r>
                    <w:rPr>
                      <w:rFonts w:hint="eastAsia" w:cs="宋体"/>
                      <w:b w:val="0"/>
                      <w:color w:val="auto"/>
                      <w:spacing w:val="-2"/>
                      <w:kern w:val="2"/>
                      <w:sz w:val="21"/>
                      <w:szCs w:val="20"/>
                      <w:lang w:val="en-US" w:eastAsia="zh-CN" w:bidi="ar-SA"/>
                    </w:rPr>
                    <w:t>E:44、S:41、W:36、N:36</w:t>
                  </w:r>
                </w:p>
              </w:tc>
              <w:tc>
                <w:tcPr>
                  <w:tcW w:w="272" w:type="pct"/>
                  <w:tcBorders>
                    <w:tl2br w:val="nil"/>
                    <w:tr2bl w:val="nil"/>
                  </w:tcBorders>
                  <w:noWrap w:val="0"/>
                  <w:vAlign w:val="center"/>
                </w:tcPr>
                <w:p w14:paraId="76222B90">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firstLineChars="0"/>
                    <w:jc w:val="center"/>
                    <w:textAlignment w:val="auto"/>
                    <w:rPr>
                      <w:rFonts w:hint="eastAsia"/>
                      <w:color w:val="auto"/>
                      <w:lang w:val="en-US" w:eastAsia="zh-CN"/>
                    </w:rPr>
                  </w:pPr>
                  <w:r>
                    <w:rPr>
                      <w:rFonts w:hint="eastAsia"/>
                      <w:color w:val="auto"/>
                      <w:lang w:val="en-US" w:eastAsia="zh-CN"/>
                    </w:rPr>
                    <w:t>1m</w:t>
                  </w:r>
                </w:p>
              </w:tc>
            </w:tr>
          </w:tbl>
          <w:p w14:paraId="0CD4FB92">
            <w:pPr>
              <w:pStyle w:val="3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注：室内声源以建筑物中心为原点。</w:t>
            </w:r>
          </w:p>
          <w:p w14:paraId="598B5C5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eastAsia="宋体"/>
                <w:snapToGrid/>
                <w:color w:val="auto"/>
                <w:spacing w:val="0"/>
                <w:kern w:val="0"/>
                <w:position w:val="0"/>
                <w:sz w:val="24"/>
                <w:szCs w:val="24"/>
                <w:lang w:val="en-US" w:eastAsia="zh-CN"/>
              </w:rPr>
            </w:pPr>
            <w:r>
              <w:rPr>
                <w:rFonts w:hint="eastAsia"/>
                <w:b/>
                <w:bCs/>
                <w:snapToGrid/>
                <w:color w:val="auto"/>
                <w:spacing w:val="0"/>
                <w:kern w:val="0"/>
                <w:position w:val="0"/>
                <w:sz w:val="24"/>
                <w:szCs w:val="24"/>
                <w:lang w:val="en-US" w:eastAsia="zh-CN"/>
              </w:rPr>
              <w:t>表4.10 项目噪声源强一览表（室外声源） 单位：dB（A）</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1597"/>
              <w:gridCol w:w="1597"/>
              <w:gridCol w:w="1487"/>
              <w:gridCol w:w="1579"/>
              <w:gridCol w:w="1595"/>
              <w:gridCol w:w="1764"/>
              <w:gridCol w:w="1599"/>
            </w:tblGrid>
            <w:tr w14:paraId="7C70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622" w:type="pct"/>
                  <w:vMerge w:val="restart"/>
                  <w:tcBorders>
                    <w:tl2br w:val="nil"/>
                    <w:tr2bl w:val="nil"/>
                  </w:tcBorders>
                  <w:noWrap w:val="0"/>
                  <w:vAlign w:val="center"/>
                </w:tcPr>
                <w:p w14:paraId="78C3AE9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序号</w:t>
                  </w:r>
                </w:p>
              </w:tc>
              <w:tc>
                <w:tcPr>
                  <w:tcW w:w="623" w:type="pct"/>
                  <w:vMerge w:val="restart"/>
                  <w:tcBorders>
                    <w:tl2br w:val="nil"/>
                    <w:tr2bl w:val="nil"/>
                  </w:tcBorders>
                  <w:noWrap w:val="0"/>
                  <w:vAlign w:val="center"/>
                </w:tcPr>
                <w:p w14:paraId="34120752">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声源名称</w:t>
                  </w:r>
                </w:p>
              </w:tc>
              <w:tc>
                <w:tcPr>
                  <w:tcW w:w="623" w:type="pct"/>
                  <w:vMerge w:val="restart"/>
                  <w:tcBorders>
                    <w:tl2br w:val="nil"/>
                    <w:tr2bl w:val="nil"/>
                  </w:tcBorders>
                  <w:noWrap w:val="0"/>
                  <w:vAlign w:val="center"/>
                </w:tcPr>
                <w:p w14:paraId="3D9386A8">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型号</w:t>
                  </w:r>
                </w:p>
              </w:tc>
              <w:tc>
                <w:tcPr>
                  <w:tcW w:w="1818" w:type="pct"/>
                  <w:gridSpan w:val="3"/>
                  <w:tcBorders>
                    <w:tl2br w:val="nil"/>
                    <w:tr2bl w:val="nil"/>
                  </w:tcBorders>
                  <w:noWrap w:val="0"/>
                  <w:vAlign w:val="center"/>
                </w:tcPr>
                <w:p w14:paraId="703F640B">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空间相对位置m</w:t>
                  </w:r>
                </w:p>
              </w:tc>
              <w:tc>
                <w:tcPr>
                  <w:tcW w:w="688" w:type="pct"/>
                  <w:tcBorders>
                    <w:tl2br w:val="nil"/>
                    <w:tr2bl w:val="nil"/>
                  </w:tcBorders>
                  <w:noWrap w:val="0"/>
                  <w:vAlign w:val="center"/>
                </w:tcPr>
                <w:p w14:paraId="334AE73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声源源强dB（A）</w:t>
                  </w:r>
                </w:p>
              </w:tc>
              <w:tc>
                <w:tcPr>
                  <w:tcW w:w="624" w:type="pct"/>
                  <w:vMerge w:val="restart"/>
                  <w:tcBorders>
                    <w:tl2br w:val="nil"/>
                    <w:tr2bl w:val="nil"/>
                  </w:tcBorders>
                  <w:noWrap w:val="0"/>
                  <w:vAlign w:val="center"/>
                </w:tcPr>
                <w:p w14:paraId="75979925">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声源控制措施</w:t>
                  </w:r>
                </w:p>
              </w:tc>
            </w:tr>
            <w:tr w14:paraId="6114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22" w:type="pct"/>
                  <w:vMerge w:val="continue"/>
                  <w:tcBorders>
                    <w:tl2br w:val="nil"/>
                    <w:tr2bl w:val="nil"/>
                  </w:tcBorders>
                  <w:noWrap w:val="0"/>
                  <w:vAlign w:val="center"/>
                </w:tcPr>
                <w:p w14:paraId="48908303">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p>
              </w:tc>
              <w:tc>
                <w:tcPr>
                  <w:tcW w:w="623" w:type="pct"/>
                  <w:vMerge w:val="continue"/>
                  <w:tcBorders>
                    <w:tl2br w:val="nil"/>
                    <w:tr2bl w:val="nil"/>
                  </w:tcBorders>
                  <w:noWrap w:val="0"/>
                  <w:vAlign w:val="center"/>
                </w:tcPr>
                <w:p w14:paraId="315A0F0B">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p>
              </w:tc>
              <w:tc>
                <w:tcPr>
                  <w:tcW w:w="623" w:type="pct"/>
                  <w:vMerge w:val="continue"/>
                  <w:tcBorders>
                    <w:tl2br w:val="nil"/>
                    <w:tr2bl w:val="nil"/>
                  </w:tcBorders>
                  <w:noWrap w:val="0"/>
                  <w:vAlign w:val="center"/>
                </w:tcPr>
                <w:p w14:paraId="66110DF8">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p>
              </w:tc>
              <w:tc>
                <w:tcPr>
                  <w:tcW w:w="580" w:type="pct"/>
                  <w:tcBorders>
                    <w:tl2br w:val="nil"/>
                    <w:tr2bl w:val="nil"/>
                  </w:tcBorders>
                  <w:noWrap w:val="0"/>
                  <w:vAlign w:val="center"/>
                </w:tcPr>
                <w:p w14:paraId="44786CD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X</w:t>
                  </w:r>
                </w:p>
              </w:tc>
              <w:tc>
                <w:tcPr>
                  <w:tcW w:w="616" w:type="pct"/>
                  <w:tcBorders>
                    <w:tl2br w:val="nil"/>
                    <w:tr2bl w:val="nil"/>
                  </w:tcBorders>
                  <w:noWrap w:val="0"/>
                  <w:vAlign w:val="center"/>
                </w:tcPr>
                <w:p w14:paraId="42D77498">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Y</w:t>
                  </w:r>
                </w:p>
              </w:tc>
              <w:tc>
                <w:tcPr>
                  <w:tcW w:w="621" w:type="pct"/>
                  <w:tcBorders>
                    <w:tl2br w:val="nil"/>
                    <w:tr2bl w:val="nil"/>
                  </w:tcBorders>
                  <w:noWrap w:val="0"/>
                  <w:vAlign w:val="center"/>
                </w:tcPr>
                <w:p w14:paraId="1F16D06D">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leftChars="0" w:firstLine="0" w:firstLineChars="0"/>
                    <w:jc w:val="center"/>
                    <w:textAlignment w:val="auto"/>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sz w:val="21"/>
                      <w:szCs w:val="21"/>
                      <w:lang w:val="en-US" w:eastAsia="zh-CN"/>
                    </w:rPr>
                    <w:t>Z</w:t>
                  </w:r>
                </w:p>
              </w:tc>
              <w:tc>
                <w:tcPr>
                  <w:tcW w:w="688" w:type="pct"/>
                  <w:tcBorders>
                    <w:tl2br w:val="nil"/>
                    <w:tr2bl w:val="nil"/>
                  </w:tcBorders>
                  <w:noWrap w:val="0"/>
                  <w:vAlign w:val="center"/>
                </w:tcPr>
                <w:p w14:paraId="7F5152A4">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声功率级</w:t>
                  </w:r>
                </w:p>
              </w:tc>
              <w:tc>
                <w:tcPr>
                  <w:tcW w:w="624" w:type="pct"/>
                  <w:vMerge w:val="continue"/>
                  <w:tcBorders>
                    <w:tl2br w:val="nil"/>
                    <w:tr2bl w:val="nil"/>
                  </w:tcBorders>
                  <w:noWrap w:val="0"/>
                  <w:vAlign w:val="center"/>
                </w:tcPr>
                <w:p w14:paraId="78D41AD5">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p>
              </w:tc>
            </w:tr>
            <w:tr w14:paraId="066B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22" w:type="pct"/>
                  <w:tcBorders>
                    <w:tl2br w:val="nil"/>
                    <w:tr2bl w:val="nil"/>
                  </w:tcBorders>
                  <w:noWrap w:val="0"/>
                  <w:vAlign w:val="center"/>
                </w:tcPr>
                <w:p w14:paraId="0EADF029">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w:t>
                  </w:r>
                </w:p>
              </w:tc>
              <w:tc>
                <w:tcPr>
                  <w:tcW w:w="623" w:type="pct"/>
                  <w:tcBorders>
                    <w:tl2br w:val="nil"/>
                    <w:tr2bl w:val="nil"/>
                  </w:tcBorders>
                  <w:noWrap w:val="0"/>
                  <w:vAlign w:val="center"/>
                </w:tcPr>
                <w:p w14:paraId="4EE21DE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风机</w:t>
                  </w:r>
                  <w:r>
                    <w:rPr>
                      <w:rFonts w:hint="eastAsia" w:ascii="Times New Roman" w:hAnsi="Times New Roman" w:eastAsia="宋体" w:cs="Times New Roman"/>
                      <w:b w:val="0"/>
                      <w:bCs w:val="0"/>
                      <w:color w:val="auto"/>
                      <w:sz w:val="21"/>
                      <w:szCs w:val="21"/>
                      <w:lang w:val="en-US" w:eastAsia="zh-CN"/>
                    </w:rPr>
                    <w:t>/DA00</w:t>
                  </w:r>
                  <w:r>
                    <w:rPr>
                      <w:rFonts w:hint="eastAsia" w:cs="Times New Roman"/>
                      <w:b w:val="0"/>
                      <w:bCs w:val="0"/>
                      <w:color w:val="auto"/>
                      <w:sz w:val="21"/>
                      <w:szCs w:val="21"/>
                      <w:lang w:val="en-US" w:eastAsia="zh-CN"/>
                    </w:rPr>
                    <w:t>6</w:t>
                  </w:r>
                </w:p>
              </w:tc>
              <w:tc>
                <w:tcPr>
                  <w:tcW w:w="623" w:type="pct"/>
                  <w:tcBorders>
                    <w:tl2br w:val="nil"/>
                    <w:tr2bl w:val="nil"/>
                  </w:tcBorders>
                  <w:noWrap w:val="0"/>
                  <w:vAlign w:val="center"/>
                </w:tcPr>
                <w:p w14:paraId="4AC32F23">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w:t>
                  </w:r>
                </w:p>
              </w:tc>
              <w:tc>
                <w:tcPr>
                  <w:tcW w:w="580" w:type="pct"/>
                  <w:tcBorders>
                    <w:tl2br w:val="nil"/>
                    <w:tr2bl w:val="nil"/>
                  </w:tcBorders>
                  <w:noWrap w:val="0"/>
                  <w:vAlign w:val="center"/>
                </w:tcPr>
                <w:p w14:paraId="790EF960">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0</w:t>
                  </w:r>
                </w:p>
              </w:tc>
              <w:tc>
                <w:tcPr>
                  <w:tcW w:w="616" w:type="pct"/>
                  <w:tcBorders>
                    <w:tl2br w:val="nil"/>
                    <w:tr2bl w:val="nil"/>
                  </w:tcBorders>
                  <w:noWrap w:val="0"/>
                  <w:vAlign w:val="center"/>
                </w:tcPr>
                <w:p w14:paraId="0A004ED6">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-9</w:t>
                  </w:r>
                </w:p>
              </w:tc>
              <w:tc>
                <w:tcPr>
                  <w:tcW w:w="621" w:type="pct"/>
                  <w:tcBorders>
                    <w:tl2br w:val="nil"/>
                    <w:tr2bl w:val="nil"/>
                  </w:tcBorders>
                  <w:noWrap w:val="0"/>
                  <w:vAlign w:val="center"/>
                </w:tcPr>
                <w:p w14:paraId="4C38328C">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1</w:t>
                  </w:r>
                </w:p>
              </w:tc>
              <w:tc>
                <w:tcPr>
                  <w:tcW w:w="688" w:type="pct"/>
                  <w:tcBorders>
                    <w:tl2br w:val="nil"/>
                    <w:tr2bl w:val="nil"/>
                  </w:tcBorders>
                  <w:noWrap w:val="0"/>
                  <w:vAlign w:val="center"/>
                </w:tcPr>
                <w:p w14:paraId="773517D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90</w:t>
                  </w:r>
                </w:p>
              </w:tc>
              <w:tc>
                <w:tcPr>
                  <w:tcW w:w="624" w:type="pct"/>
                  <w:tcBorders>
                    <w:tl2br w:val="nil"/>
                    <w:tr2bl w:val="nil"/>
                  </w:tcBorders>
                  <w:noWrap w:val="0"/>
                  <w:vAlign w:val="center"/>
                </w:tcPr>
                <w:p w14:paraId="2B2C840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减振、消声器</w:t>
                  </w:r>
                </w:p>
              </w:tc>
            </w:tr>
            <w:tr w14:paraId="2191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594" w:type="dxa"/>
                  <w:tcBorders>
                    <w:tl2br w:val="nil"/>
                    <w:tr2bl w:val="nil"/>
                  </w:tcBorders>
                  <w:noWrap w:val="0"/>
                  <w:vAlign w:val="center"/>
                </w:tcPr>
                <w:p w14:paraId="68D0D1B3">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420" w:leftChars="0" w:hanging="420" w:hangingChars="200"/>
                    <w:jc w:val="center"/>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2</w:t>
                  </w:r>
                </w:p>
              </w:tc>
              <w:tc>
                <w:tcPr>
                  <w:tcW w:w="1597" w:type="dxa"/>
                  <w:tcBorders>
                    <w:tl2br w:val="nil"/>
                    <w:tr2bl w:val="nil"/>
                  </w:tcBorders>
                  <w:noWrap w:val="0"/>
                  <w:vAlign w:val="center"/>
                </w:tcPr>
                <w:p w14:paraId="162690F7">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420" w:leftChars="0" w:hanging="420" w:hangingChars="20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风机</w:t>
                  </w:r>
                  <w:r>
                    <w:rPr>
                      <w:rFonts w:hint="eastAsia" w:ascii="Times New Roman" w:hAnsi="Times New Roman" w:eastAsia="宋体" w:cs="Times New Roman"/>
                      <w:b w:val="0"/>
                      <w:bCs w:val="0"/>
                      <w:color w:val="auto"/>
                      <w:sz w:val="21"/>
                      <w:szCs w:val="21"/>
                      <w:lang w:val="en-US" w:eastAsia="zh-CN"/>
                    </w:rPr>
                    <w:t>/DA00</w:t>
                  </w:r>
                  <w:r>
                    <w:rPr>
                      <w:rFonts w:hint="eastAsia" w:cs="Times New Roman"/>
                      <w:b w:val="0"/>
                      <w:bCs w:val="0"/>
                      <w:color w:val="auto"/>
                      <w:sz w:val="21"/>
                      <w:szCs w:val="21"/>
                      <w:lang w:val="en-US" w:eastAsia="zh-CN"/>
                    </w:rPr>
                    <w:t>7</w:t>
                  </w:r>
                </w:p>
              </w:tc>
              <w:tc>
                <w:tcPr>
                  <w:tcW w:w="623" w:type="pct"/>
                  <w:tcBorders>
                    <w:tl2br w:val="nil"/>
                    <w:tr2bl w:val="nil"/>
                  </w:tcBorders>
                  <w:noWrap w:val="0"/>
                  <w:vAlign w:val="center"/>
                </w:tcPr>
                <w:p w14:paraId="26219BE8">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c>
                <w:tcPr>
                  <w:tcW w:w="580" w:type="pct"/>
                  <w:tcBorders>
                    <w:tl2br w:val="nil"/>
                    <w:tr2bl w:val="nil"/>
                  </w:tcBorders>
                  <w:noWrap w:val="0"/>
                  <w:vAlign w:val="center"/>
                </w:tcPr>
                <w:p w14:paraId="11B5E622">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19</w:t>
                  </w:r>
                </w:p>
              </w:tc>
              <w:tc>
                <w:tcPr>
                  <w:tcW w:w="616" w:type="pct"/>
                  <w:tcBorders>
                    <w:tl2br w:val="nil"/>
                    <w:tr2bl w:val="nil"/>
                  </w:tcBorders>
                  <w:noWrap w:val="0"/>
                  <w:vAlign w:val="center"/>
                </w:tcPr>
                <w:p w14:paraId="480AA39F">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-8</w:t>
                  </w:r>
                </w:p>
              </w:tc>
              <w:tc>
                <w:tcPr>
                  <w:tcW w:w="621" w:type="pct"/>
                  <w:tcBorders>
                    <w:tl2br w:val="nil"/>
                    <w:tr2bl w:val="nil"/>
                  </w:tcBorders>
                  <w:noWrap w:val="0"/>
                  <w:vAlign w:val="center"/>
                </w:tcPr>
                <w:p w14:paraId="6C085CFA">
                  <w:pPr>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1</w:t>
                  </w:r>
                </w:p>
              </w:tc>
              <w:tc>
                <w:tcPr>
                  <w:tcW w:w="688" w:type="pct"/>
                  <w:tcBorders>
                    <w:tl2br w:val="nil"/>
                    <w:tr2bl w:val="nil"/>
                  </w:tcBorders>
                  <w:noWrap w:val="0"/>
                  <w:vAlign w:val="center"/>
                </w:tcPr>
                <w:p w14:paraId="064CE45A">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90</w:t>
                  </w:r>
                </w:p>
              </w:tc>
              <w:tc>
                <w:tcPr>
                  <w:tcW w:w="624" w:type="pct"/>
                  <w:tcBorders>
                    <w:tl2br w:val="nil"/>
                    <w:tr2bl w:val="nil"/>
                  </w:tcBorders>
                  <w:noWrap w:val="0"/>
                  <w:vAlign w:val="center"/>
                </w:tcPr>
                <w:p w14:paraId="7C7FC133">
                  <w:pPr>
                    <w:pStyle w:val="43"/>
                    <w:keepNext w:val="0"/>
                    <w:keepLines w:val="0"/>
                    <w:pageBreakBefore w:val="0"/>
                    <w:widowControl w:val="0"/>
                    <w:kinsoku/>
                    <w:wordWrap/>
                    <w:overflowPunct/>
                    <w:topLinePunct w:val="0"/>
                    <w:autoSpaceDE/>
                    <w:autoSpaceDN/>
                    <w:bidi w:val="0"/>
                    <w:adjustRightInd w:val="0"/>
                    <w:snapToGrid w:val="0"/>
                    <w:spacing w:before="0" w:beforeLines="0" w:line="240" w:lineRule="auto"/>
                    <w:ind w:left="0" w:firstLine="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减振、消声器</w:t>
                  </w:r>
                </w:p>
              </w:tc>
            </w:tr>
          </w:tbl>
          <w:p w14:paraId="7377BE21">
            <w:pPr>
              <w:pStyle w:val="3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p>
          <w:p w14:paraId="5AFBAC68">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eastAsia="宋体"/>
                <w:snapToGrid/>
                <w:color w:val="FF0000"/>
                <w:spacing w:val="0"/>
                <w:kern w:val="0"/>
                <w:position w:val="0"/>
                <w:sz w:val="24"/>
                <w:szCs w:val="24"/>
                <w:lang w:val="en-US" w:eastAsia="zh-CN"/>
              </w:rPr>
            </w:pPr>
          </w:p>
        </w:tc>
      </w:tr>
      <w:tr w14:paraId="02A09A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932" w:hRule="atLeast"/>
          <w:jc w:val="center"/>
        </w:trPr>
        <w:tc>
          <w:tcPr>
            <w:tcW w:w="508" w:type="dxa"/>
            <w:tcBorders>
              <w:tl2br w:val="nil"/>
              <w:tr2bl w:val="nil"/>
            </w:tcBorders>
            <w:noWrap w:val="0"/>
            <w:vAlign w:val="center"/>
          </w:tcPr>
          <w:p w14:paraId="46EFD6BC">
            <w:pPr>
              <w:pStyle w:val="31"/>
              <w:spacing w:line="240" w:lineRule="auto"/>
              <w:ind w:left="0" w:leftChars="0" w:firstLine="0" w:firstLineChars="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p>
        </w:tc>
        <w:tc>
          <w:tcPr>
            <w:tcW w:w="13044" w:type="dxa"/>
            <w:tcBorders>
              <w:tl2br w:val="nil"/>
              <w:tr2bl w:val="nil"/>
            </w:tcBorders>
            <w:noWrap w:val="0"/>
            <w:vAlign w:val="top"/>
          </w:tcPr>
          <w:p w14:paraId="3B76507C">
            <w:pPr>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eastAsia="宋体"/>
                <w:snapToGrid/>
                <w:color w:val="FF0000"/>
                <w:spacing w:val="0"/>
                <w:kern w:val="0"/>
                <w:position w:val="0"/>
                <w:sz w:val="24"/>
                <w:szCs w:val="24"/>
                <w:lang w:val="en-US" w:eastAsia="zh-CN"/>
              </w:rPr>
            </w:pPr>
            <w:r>
              <w:rPr>
                <w:sz w:val="24"/>
              </w:rPr>
              <mc:AlternateContent>
                <mc:Choice Requires="wps">
                  <w:drawing>
                    <wp:anchor distT="0" distB="0" distL="114300" distR="114300" simplePos="0" relativeHeight="251661312" behindDoc="0" locked="0" layoutInCell="1" allowOverlap="1">
                      <wp:simplePos x="0" y="0"/>
                      <wp:positionH relativeFrom="column">
                        <wp:posOffset>-57785</wp:posOffset>
                      </wp:positionH>
                      <wp:positionV relativeFrom="paragraph">
                        <wp:posOffset>5267325</wp:posOffset>
                      </wp:positionV>
                      <wp:extent cx="8278495" cy="309880"/>
                      <wp:effectExtent l="0" t="0" r="8255" b="13970"/>
                      <wp:wrapNone/>
                      <wp:docPr id="13" name="文本框 13"/>
                      <wp:cNvGraphicFramePr/>
                      <a:graphic xmlns:a="http://schemas.openxmlformats.org/drawingml/2006/main">
                        <a:graphicData uri="http://schemas.microsoft.com/office/word/2010/wordprocessingShape">
                          <wps:wsp>
                            <wps:cNvSpPr txBox="1"/>
                            <wps:spPr>
                              <a:xfrm>
                                <a:off x="1417955" y="6266180"/>
                                <a:ext cx="8278495" cy="3098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E671FA3">
                                  <w:pPr>
                                    <w:jc w:val="center"/>
                                    <w:rPr>
                                      <w:rFonts w:hint="default" w:eastAsia="宋体"/>
                                      <w:b/>
                                      <w:bCs/>
                                      <w:sz w:val="24"/>
                                      <w:szCs w:val="24"/>
                                      <w:lang w:val="en-US" w:eastAsia="zh-CN"/>
                                    </w:rPr>
                                  </w:pPr>
                                  <w:r>
                                    <w:rPr>
                                      <w:rFonts w:hint="eastAsia"/>
                                      <w:b/>
                                      <w:bCs/>
                                      <w:sz w:val="24"/>
                                      <w:szCs w:val="24"/>
                                      <w:lang w:val="en-US" w:eastAsia="zh-CN"/>
                                    </w:rPr>
                                    <w:t>图4.1  噪声等效声级图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5pt;margin-top:414.75pt;height:24.4pt;width:651.85pt;z-index:251661312;mso-width-relative:page;mso-height-relative:page;" fillcolor="#FFFFFF [3201]" filled="t" stroked="f" coordsize="21600,21600" o:gfxdata="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Lpv&#10;bvXXAAAACwEAAA8AAAAAAAAAAQAgAAAAIgAAAGRycy9kb3ducmV2LnhtbFBLAQIUABQAAAAIAIdO&#10;4kB+c+xSXQIAAJ0EAAAOAAAAAAAAAAEAIAAAACYBAABkcnMvZTJvRG9jLnhtbFBLBQYAAAAABgAG&#10;AFkBAAD1BQAAAAA=&#10;">
                      <v:fill on="t" focussize="0,0"/>
                      <v:stroke on="f" weight="0.5pt"/>
                      <v:imagedata o:title=""/>
                      <o:lock v:ext="edit" aspectratio="f"/>
                      <v:textbox>
                        <w:txbxContent>
                          <w:p w14:paraId="5E671FA3">
                            <w:pPr>
                              <w:jc w:val="center"/>
                              <w:rPr>
                                <w:rFonts w:hint="default" w:eastAsia="宋体"/>
                                <w:b/>
                                <w:bCs/>
                                <w:sz w:val="24"/>
                                <w:szCs w:val="24"/>
                                <w:lang w:val="en-US" w:eastAsia="zh-CN"/>
                              </w:rPr>
                            </w:pPr>
                            <w:r>
                              <w:rPr>
                                <w:rFonts w:hint="eastAsia"/>
                                <w:b/>
                                <w:bCs/>
                                <w:sz w:val="24"/>
                                <w:szCs w:val="24"/>
                                <w:lang w:val="en-US" w:eastAsia="zh-CN"/>
                              </w:rPr>
                              <w:t>图4.1  噪声等效声级图</w:t>
                            </w:r>
                          </w:p>
                        </w:txbxContent>
                      </v:textbox>
                    </v:shape>
                  </w:pict>
                </mc:Fallback>
              </mc:AlternateContent>
            </w:r>
            <w:r>
              <w:rPr>
                <w:rFonts w:hint="default" w:eastAsia="宋体"/>
                <w:snapToGrid/>
                <w:color w:val="FF0000"/>
                <w:spacing w:val="0"/>
                <w:kern w:val="0"/>
                <w:position w:val="0"/>
                <w:sz w:val="24"/>
                <w:szCs w:val="24"/>
                <w:lang w:val="en-US" w:eastAsia="zh-CN"/>
              </w:rPr>
              <w:drawing>
                <wp:inline distT="0" distB="0" distL="114300" distR="114300">
                  <wp:extent cx="8142605" cy="4418965"/>
                  <wp:effectExtent l="0" t="0" r="10795" b="635"/>
                  <wp:docPr id="3" name="图片 3" descr="爱乐新材料噪声预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爱乐新材料噪声预测"/>
                          <pic:cNvPicPr>
                            <a:picLocks noChangeAspect="1"/>
                          </pic:cNvPicPr>
                        </pic:nvPicPr>
                        <pic:blipFill>
                          <a:blip r:embed="rId14"/>
                          <a:stretch>
                            <a:fillRect/>
                          </a:stretch>
                        </pic:blipFill>
                        <pic:spPr>
                          <a:xfrm>
                            <a:off x="0" y="0"/>
                            <a:ext cx="8142605" cy="4418965"/>
                          </a:xfrm>
                          <a:prstGeom prst="rect">
                            <a:avLst/>
                          </a:prstGeom>
                        </pic:spPr>
                      </pic:pic>
                    </a:graphicData>
                  </a:graphic>
                </wp:inline>
              </w:drawing>
            </w:r>
          </w:p>
        </w:tc>
      </w:tr>
    </w:tbl>
    <w:p w14:paraId="13713D99">
      <w:pPr>
        <w:pStyle w:val="2"/>
        <w:rPr>
          <w:rFonts w:hint="eastAsia"/>
        </w:rPr>
        <w:sectPr>
          <w:pgSz w:w="16840" w:h="11907" w:orient="landscape"/>
          <w:pgMar w:top="1531" w:right="1701" w:bottom="1531" w:left="1803"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25"/>
        <w:tblW w:w="89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8438"/>
      </w:tblGrid>
      <w:tr w14:paraId="6D5098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59" w:hRule="atLeast"/>
          <w:jc w:val="center"/>
        </w:trPr>
        <w:tc>
          <w:tcPr>
            <w:tcW w:w="553" w:type="dxa"/>
            <w:tcBorders>
              <w:tl2br w:val="nil"/>
              <w:tr2bl w:val="nil"/>
            </w:tcBorders>
            <w:noWrap w:val="0"/>
            <w:vAlign w:val="center"/>
          </w:tcPr>
          <w:p w14:paraId="696E56CD">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运</w:t>
            </w:r>
          </w:p>
          <w:p w14:paraId="6E85D624">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营</w:t>
            </w:r>
          </w:p>
          <w:p w14:paraId="13F593E3">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期</w:t>
            </w:r>
          </w:p>
          <w:p w14:paraId="64BF792A">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环</w:t>
            </w:r>
          </w:p>
          <w:p w14:paraId="1687D5F6">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境</w:t>
            </w:r>
          </w:p>
          <w:p w14:paraId="2F5DA829">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影</w:t>
            </w:r>
          </w:p>
          <w:p w14:paraId="370D7637">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响</w:t>
            </w:r>
          </w:p>
          <w:p w14:paraId="744B745B">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和</w:t>
            </w:r>
          </w:p>
          <w:p w14:paraId="59F0038E">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保</w:t>
            </w:r>
          </w:p>
          <w:p w14:paraId="28A90339">
            <w:pPr>
              <w:adjustRightInd w:val="0"/>
              <w:snapToGrid w:val="0"/>
              <w:jc w:val="cente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护</w:t>
            </w:r>
          </w:p>
          <w:p w14:paraId="5DAD7E4C">
            <w:pPr>
              <w:pStyle w:val="31"/>
              <w:spacing w:line="240" w:lineRule="auto"/>
              <w:ind w:left="0" w:leftChars="0" w:firstLine="0" w:firstLineChars="0"/>
              <w:jc w:val="center"/>
              <w:rPr>
                <w:rFonts w:hint="default" w:ascii="Times New Roman" w:hAnsi="Times New Roman" w:eastAsia="宋体" w:cs="Times New Roman"/>
                <w:snapToGrid/>
                <w:color w:val="FF0000"/>
                <w:spacing w:val="0"/>
                <w:kern w:val="0"/>
                <w:position w:val="0"/>
                <w:vertAlign w:val="baseline"/>
              </w:rPr>
            </w:pPr>
            <w:r>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t>措施</w:t>
            </w:r>
          </w:p>
        </w:tc>
        <w:tc>
          <w:tcPr>
            <w:tcW w:w="8438" w:type="dxa"/>
            <w:tcBorders>
              <w:tl2br w:val="nil"/>
              <w:tr2bl w:val="nil"/>
            </w:tcBorders>
            <w:noWrap w:val="0"/>
            <w:vAlign w:val="center"/>
          </w:tcPr>
          <w:p w14:paraId="2C82685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厂界和环境保护目标达标情况分析：</w:t>
            </w:r>
          </w:p>
          <w:p w14:paraId="0E2215C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lang w:val="zh-CN"/>
              </w:rPr>
            </w:pPr>
            <w:r>
              <w:rPr>
                <w:rFonts w:hint="default" w:ascii="Times New Roman" w:hAnsi="Times New Roman" w:eastAsia="宋体" w:cs="Times New Roman"/>
                <w:color w:val="auto"/>
                <w:sz w:val="24"/>
                <w:szCs w:val="24"/>
                <w:lang w:val="zh-CN"/>
              </w:rPr>
              <w:t>根据设备噪声强度，采用距离衰减模式分析该项目对声环境的影响。预测模式采用《环境影响评价技术导则</w:t>
            </w:r>
            <w:r>
              <w:rPr>
                <w:rFonts w:hint="eastAsia" w:ascii="Times New Roman" w:hAnsi="Times New Roman" w:eastAsia="宋体" w:cs="Times New Roman"/>
                <w:color w:val="auto"/>
                <w:sz w:val="24"/>
                <w:szCs w:val="24"/>
                <w:lang w:val="en-US" w:eastAsia="zh-CN"/>
              </w:rPr>
              <w:t xml:space="preserve">  </w:t>
            </w:r>
            <w:r>
              <w:rPr>
                <w:rFonts w:hint="default" w:ascii="Times New Roman" w:hAnsi="Times New Roman" w:eastAsia="宋体" w:cs="Times New Roman"/>
                <w:color w:val="auto"/>
                <w:sz w:val="24"/>
                <w:szCs w:val="24"/>
                <w:lang w:val="zh-CN"/>
              </w:rPr>
              <w:t>声环境》</w:t>
            </w:r>
            <w:r>
              <w:rPr>
                <w:rFonts w:hint="eastAsia" w:ascii="Times New Roman" w:hAnsi="Times New Roman" w:eastAsia="宋体" w:cs="Times New Roman"/>
                <w:color w:val="auto"/>
                <w:sz w:val="24"/>
                <w:szCs w:val="24"/>
                <w:lang w:val="zh-CN"/>
              </w:rPr>
              <w:t>（</w:t>
            </w:r>
            <w:r>
              <w:rPr>
                <w:rFonts w:hint="default" w:ascii="Times New Roman" w:hAnsi="Times New Roman" w:eastAsia="宋体" w:cs="Times New Roman"/>
                <w:color w:val="auto"/>
                <w:sz w:val="24"/>
                <w:szCs w:val="24"/>
                <w:lang w:val="zh-CN"/>
              </w:rPr>
              <w:t>HJ2.4-2021</w:t>
            </w:r>
            <w:r>
              <w:rPr>
                <w:rFonts w:hint="eastAsia" w:ascii="Times New Roman" w:hAnsi="Times New Roman" w:eastAsia="宋体" w:cs="Times New Roman"/>
                <w:color w:val="auto"/>
                <w:sz w:val="24"/>
                <w:szCs w:val="24"/>
                <w:lang w:val="zh-CN"/>
              </w:rPr>
              <w:t>）</w:t>
            </w:r>
            <w:r>
              <w:rPr>
                <w:rFonts w:hint="default" w:ascii="Times New Roman" w:hAnsi="Times New Roman" w:eastAsia="宋体" w:cs="Times New Roman"/>
                <w:color w:val="auto"/>
                <w:sz w:val="24"/>
                <w:szCs w:val="24"/>
                <w:lang w:val="zh-CN"/>
              </w:rPr>
              <w:t>中推荐的噪声预测模式，噪声衰减公式：</w:t>
            </w:r>
          </w:p>
          <w:p w14:paraId="6FEF29EE">
            <w:pPr>
              <w:pStyle w:val="23"/>
              <w:keepNext w:val="0"/>
              <w:keepLines w:val="0"/>
              <w:pageBreakBefore w:val="0"/>
              <w:widowControl/>
              <w:kinsoku/>
              <w:wordWrap/>
              <w:overflowPunct/>
              <w:topLinePunct w:val="0"/>
              <w:autoSpaceDE/>
              <w:autoSpaceDN/>
              <w:bidi w:val="0"/>
              <w:adjustRightInd w:val="0"/>
              <w:snapToGrid w:val="0"/>
              <w:spacing w:before="0" w:after="0" w:line="360" w:lineRule="auto"/>
              <w:ind w:right="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①如图B.1所示，声源位于室内，室内声源可采用等效室外声源声功率级法进行计算。设靠近开口处（或窗户）室内、室外某倍频带的声压级或A声级分别为L</w:t>
            </w:r>
            <w:r>
              <w:rPr>
                <w:rFonts w:hint="default" w:ascii="Times New Roman" w:hAnsi="Times New Roman" w:eastAsia="宋体" w:cs="Times New Roman"/>
                <w:color w:val="auto"/>
                <w:sz w:val="24"/>
                <w:szCs w:val="24"/>
                <w:vertAlign w:val="subscript"/>
              </w:rPr>
              <w:t>p1</w:t>
            </w:r>
            <w:r>
              <w:rPr>
                <w:rFonts w:hint="default" w:ascii="Times New Roman" w:hAnsi="Times New Roman" w:eastAsia="宋体" w:cs="Times New Roman"/>
                <w:color w:val="auto"/>
                <w:sz w:val="24"/>
                <w:szCs w:val="24"/>
              </w:rPr>
              <w:t>和L</w:t>
            </w:r>
            <w:r>
              <w:rPr>
                <w:rFonts w:hint="default" w:ascii="Times New Roman" w:hAnsi="Times New Roman" w:eastAsia="宋体" w:cs="Times New Roman"/>
                <w:color w:val="auto"/>
                <w:sz w:val="24"/>
                <w:szCs w:val="24"/>
                <w:vertAlign w:val="subscript"/>
              </w:rPr>
              <w:t>p2</w:t>
            </w:r>
            <w:r>
              <w:rPr>
                <w:rFonts w:hint="default" w:ascii="Times New Roman" w:hAnsi="Times New Roman" w:eastAsia="宋体" w:cs="Times New Roman"/>
                <w:color w:val="auto"/>
                <w:sz w:val="24"/>
                <w:szCs w:val="24"/>
              </w:rPr>
              <w:t>。若声源所在室内声场为近似扩散声场，则室外的倍频带声压级可按式（B.1）近似求出：</w:t>
            </w:r>
          </w:p>
          <w:p w14:paraId="2C1ACA6F">
            <w:pPr>
              <w:pStyle w:val="23"/>
              <w:keepNext w:val="0"/>
              <w:keepLines w:val="0"/>
              <w:pageBreakBefore w:val="0"/>
              <w:kinsoku/>
              <w:wordWrap/>
              <w:overflowPunct/>
              <w:topLinePunct w:val="0"/>
              <w:autoSpaceDE/>
              <w:autoSpaceDN/>
              <w:bidi w:val="0"/>
              <w:adjustRightInd w:val="0"/>
              <w:snapToGrid w:val="0"/>
              <w:spacing w:before="0" w:after="0" w:line="360" w:lineRule="auto"/>
              <w:ind w:right="0"/>
              <w:jc w:val="righ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rPr>
              <w:drawing>
                <wp:inline distT="0" distB="0" distL="114300" distR="114300">
                  <wp:extent cx="3482975" cy="373380"/>
                  <wp:effectExtent l="0" t="0" r="3175" b="762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5"/>
                          <a:stretch>
                            <a:fillRect/>
                          </a:stretch>
                        </pic:blipFill>
                        <pic:spPr>
                          <a:xfrm>
                            <a:off x="0" y="0"/>
                            <a:ext cx="3482975" cy="373380"/>
                          </a:xfrm>
                          <a:prstGeom prst="rect">
                            <a:avLst/>
                          </a:prstGeom>
                          <a:noFill/>
                          <a:ln>
                            <a:noFill/>
                          </a:ln>
                        </pic:spPr>
                      </pic:pic>
                    </a:graphicData>
                  </a:graphic>
                </wp:inline>
              </w:drawing>
            </w:r>
            <w:r>
              <w:rPr>
                <w:rFonts w:hint="default" w:ascii="Times New Roman" w:hAnsi="Times New Roman" w:eastAsia="宋体" w:cs="Times New Roman"/>
                <w:color w:val="auto"/>
                <w:lang w:val="en-US" w:eastAsia="zh-CN"/>
              </w:rPr>
              <w:t xml:space="preserve"> </w:t>
            </w:r>
          </w:p>
          <w:p w14:paraId="526A1DC9">
            <w:pPr>
              <w:pStyle w:val="23"/>
              <w:keepNext w:val="0"/>
              <w:keepLines w:val="0"/>
              <w:pageBreakBefore w:val="0"/>
              <w:kinsoku/>
              <w:wordWrap/>
              <w:overflowPunct/>
              <w:topLinePunct w:val="0"/>
              <w:autoSpaceDE/>
              <w:autoSpaceDN/>
              <w:bidi w:val="0"/>
              <w:adjustRightInd w:val="0"/>
              <w:snapToGrid w:val="0"/>
              <w:spacing w:before="0" w:after="0" w:line="360" w:lineRule="auto"/>
              <w:ind w:left="0" w:leftChars="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式中：L</w:t>
            </w:r>
            <w:r>
              <w:rPr>
                <w:rFonts w:hint="default" w:ascii="Times New Roman" w:hAnsi="Times New Roman" w:eastAsia="宋体" w:cs="Times New Roman"/>
                <w:color w:val="auto"/>
                <w:sz w:val="24"/>
                <w:szCs w:val="24"/>
                <w:vertAlign w:val="subscript"/>
              </w:rPr>
              <w:t>p1</w:t>
            </w:r>
            <w:r>
              <w:rPr>
                <w:rFonts w:hint="default" w:ascii="Times New Roman" w:hAnsi="Times New Roman" w:eastAsia="宋体" w:cs="Times New Roman"/>
                <w:color w:val="auto"/>
              </w:rPr>
              <w:t>——</w:t>
            </w:r>
            <w:r>
              <w:rPr>
                <w:rFonts w:hint="default" w:ascii="Times New Roman" w:hAnsi="Times New Roman" w:eastAsia="宋体" w:cs="Times New Roman"/>
                <w:color w:val="auto"/>
                <w:sz w:val="24"/>
                <w:szCs w:val="24"/>
              </w:rPr>
              <w:t>靠近开口处（或窗户）室内某倍频带的声压级或A声级，dB；</w:t>
            </w:r>
          </w:p>
          <w:p w14:paraId="12335494">
            <w:pPr>
              <w:pStyle w:val="23"/>
              <w:keepNext w:val="0"/>
              <w:keepLines w:val="0"/>
              <w:pageBreakBefore w:val="0"/>
              <w:kinsoku/>
              <w:wordWrap/>
              <w:overflowPunct/>
              <w:topLinePunct w:val="0"/>
              <w:autoSpaceDE/>
              <w:autoSpaceDN/>
              <w:bidi w:val="0"/>
              <w:adjustRightInd w:val="0"/>
              <w:snapToGrid w:val="0"/>
              <w:spacing w:before="0" w:after="0" w:line="360" w:lineRule="auto"/>
              <w:ind w:left="0" w:leftChars="0" w:right="0" w:firstLine="1200" w:firstLineChars="5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L</w:t>
            </w:r>
            <w:r>
              <w:rPr>
                <w:rFonts w:hint="default" w:ascii="Times New Roman" w:hAnsi="Times New Roman" w:eastAsia="宋体" w:cs="Times New Roman"/>
                <w:color w:val="auto"/>
                <w:sz w:val="24"/>
                <w:szCs w:val="24"/>
                <w:vertAlign w:val="subscript"/>
              </w:rPr>
              <w:t>p2</w:t>
            </w:r>
            <w:r>
              <w:rPr>
                <w:rFonts w:hint="default" w:ascii="Times New Roman" w:hAnsi="Times New Roman" w:eastAsia="宋体" w:cs="Times New Roman"/>
                <w:color w:val="auto"/>
              </w:rPr>
              <w:t>——</w:t>
            </w:r>
            <w:r>
              <w:rPr>
                <w:rFonts w:hint="default" w:ascii="Times New Roman" w:hAnsi="Times New Roman" w:eastAsia="宋体" w:cs="Times New Roman"/>
                <w:color w:val="auto"/>
                <w:sz w:val="24"/>
                <w:szCs w:val="24"/>
              </w:rPr>
              <w:t>靠近开口处（或窗户）室外某倍频带的声压级或A声级，dB；</w:t>
            </w:r>
          </w:p>
          <w:p w14:paraId="796D1E85">
            <w:pPr>
              <w:pStyle w:val="23"/>
              <w:keepNext w:val="0"/>
              <w:keepLines w:val="0"/>
              <w:pageBreakBefore w:val="0"/>
              <w:kinsoku/>
              <w:wordWrap/>
              <w:overflowPunct/>
              <w:topLinePunct w:val="0"/>
              <w:autoSpaceDE/>
              <w:autoSpaceDN/>
              <w:bidi w:val="0"/>
              <w:adjustRightInd w:val="0"/>
              <w:snapToGrid w:val="0"/>
              <w:spacing w:before="0" w:after="0" w:line="360" w:lineRule="auto"/>
              <w:ind w:left="0" w:leftChars="0" w:right="0" w:firstLine="1200" w:firstLineChars="5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TL</w:t>
            </w:r>
            <w:r>
              <w:rPr>
                <w:rFonts w:hint="default" w:ascii="Times New Roman" w:hAnsi="Times New Roman" w:eastAsia="宋体" w:cs="Times New Roman"/>
                <w:color w:val="auto"/>
              </w:rPr>
              <w:t>——</w:t>
            </w:r>
            <w:r>
              <w:rPr>
                <w:rFonts w:hint="default" w:ascii="Times New Roman" w:hAnsi="Times New Roman" w:eastAsia="宋体" w:cs="Times New Roman"/>
                <w:color w:val="auto"/>
                <w:sz w:val="24"/>
                <w:szCs w:val="24"/>
              </w:rPr>
              <w:t>隔墙（或窗户）倍频带或A声级的隔声量，dB。</w:t>
            </w:r>
          </w:p>
          <w:p w14:paraId="386E01CB">
            <w:pPr>
              <w:pStyle w:val="23"/>
              <w:keepNext w:val="0"/>
              <w:keepLines w:val="0"/>
              <w:pageBreakBefore w:val="0"/>
              <w:kinsoku/>
              <w:wordWrap/>
              <w:overflowPunct/>
              <w:topLinePunct w:val="0"/>
              <w:autoSpaceDE/>
              <w:autoSpaceDN/>
              <w:bidi w:val="0"/>
              <w:adjustRightInd w:val="0"/>
              <w:snapToGrid w:val="0"/>
              <w:spacing w:before="0" w:after="0" w:line="360" w:lineRule="auto"/>
              <w:ind w:left="0" w:leftChars="0" w:right="0" w:firstLine="0" w:firstLineChars="0"/>
              <w:jc w:val="center"/>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rPr>
              <w:drawing>
                <wp:inline distT="0" distB="0" distL="114300" distR="114300">
                  <wp:extent cx="3236595" cy="1656080"/>
                  <wp:effectExtent l="0" t="0" r="190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6"/>
                          <a:stretch>
                            <a:fillRect/>
                          </a:stretch>
                        </pic:blipFill>
                        <pic:spPr>
                          <a:xfrm>
                            <a:off x="0" y="0"/>
                            <a:ext cx="3236595" cy="1656080"/>
                          </a:xfrm>
                          <a:prstGeom prst="rect">
                            <a:avLst/>
                          </a:prstGeom>
                          <a:noFill/>
                          <a:ln>
                            <a:noFill/>
                          </a:ln>
                        </pic:spPr>
                      </pic:pic>
                    </a:graphicData>
                  </a:graphic>
                </wp:inline>
              </w:drawing>
            </w:r>
          </w:p>
          <w:p w14:paraId="17B51815">
            <w:pPr>
              <w:pStyle w:val="23"/>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0" w:firstLineChars="0"/>
              <w:jc w:val="center"/>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eastAsia="zh-CN"/>
              </w:rPr>
              <w:t>图</w:t>
            </w:r>
            <w:r>
              <w:rPr>
                <w:rFonts w:hint="default" w:ascii="Times New Roman" w:hAnsi="Times New Roman" w:eastAsia="宋体" w:cs="Times New Roman"/>
                <w:b/>
                <w:bCs/>
                <w:color w:val="auto"/>
                <w:sz w:val="24"/>
                <w:szCs w:val="24"/>
                <w:lang w:val="en-US" w:eastAsia="zh-CN"/>
              </w:rPr>
              <w:t>B.1  室内声源等效为室外声源图例</w:t>
            </w:r>
          </w:p>
          <w:p w14:paraId="0F9C7772">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right="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②也可按式（B.2）计算某一室内声源靠近围护结构处产生的倍频带声压级或A声级：</w:t>
            </w:r>
          </w:p>
          <w:p w14:paraId="459DFA2C">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right="0" w:firstLine="0" w:firstLineChars="0"/>
              <w:jc w:val="right"/>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rPr>
              <w:drawing>
                <wp:inline distT="0" distB="0" distL="114300" distR="114300">
                  <wp:extent cx="3904615" cy="575310"/>
                  <wp:effectExtent l="0" t="0" r="635" b="152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7"/>
                          <a:stretch>
                            <a:fillRect/>
                          </a:stretch>
                        </pic:blipFill>
                        <pic:spPr>
                          <a:xfrm>
                            <a:off x="0" y="0"/>
                            <a:ext cx="3904615" cy="575310"/>
                          </a:xfrm>
                          <a:prstGeom prst="rect">
                            <a:avLst/>
                          </a:prstGeom>
                          <a:noFill/>
                          <a:ln>
                            <a:noFill/>
                          </a:ln>
                        </pic:spPr>
                      </pic:pic>
                    </a:graphicData>
                  </a:graphic>
                </wp:inline>
              </w:drawing>
            </w:r>
          </w:p>
          <w:p w14:paraId="78CE152C">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48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式中：L</w:t>
            </w:r>
            <w:r>
              <w:rPr>
                <w:rFonts w:hint="default" w:ascii="Times New Roman" w:hAnsi="Times New Roman" w:eastAsia="宋体" w:cs="Times New Roman"/>
                <w:bCs/>
                <w:color w:val="auto"/>
                <w:sz w:val="24"/>
                <w:szCs w:val="24"/>
                <w:vertAlign w:val="subscript"/>
              </w:rPr>
              <w:t>p1</w:t>
            </w:r>
            <w:r>
              <w:rPr>
                <w:rFonts w:hint="default" w:ascii="Times New Roman" w:hAnsi="Times New Roman" w:eastAsia="宋体" w:cs="Times New Roman"/>
                <w:bCs/>
                <w:color w:val="auto"/>
                <w:sz w:val="24"/>
                <w:szCs w:val="24"/>
              </w:rPr>
              <w:t>——靠近开口处（或窗户）室内某倍频带的声压级或A声级，dB；</w:t>
            </w:r>
          </w:p>
          <w:p w14:paraId="5CCD315D">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right="0" w:firstLine="1200" w:firstLineChars="5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L</w:t>
            </w:r>
            <w:r>
              <w:rPr>
                <w:rFonts w:hint="default" w:ascii="Times New Roman" w:hAnsi="Times New Roman" w:eastAsia="宋体" w:cs="Times New Roman"/>
                <w:bCs/>
                <w:color w:val="auto"/>
                <w:sz w:val="24"/>
                <w:szCs w:val="24"/>
                <w:vertAlign w:val="subscript"/>
              </w:rPr>
              <w:t xml:space="preserve">w </w:t>
            </w:r>
            <w:r>
              <w:rPr>
                <w:rFonts w:hint="default" w:ascii="Times New Roman" w:hAnsi="Times New Roman" w:eastAsia="宋体" w:cs="Times New Roman"/>
                <w:bCs/>
                <w:color w:val="auto"/>
                <w:sz w:val="24"/>
                <w:szCs w:val="24"/>
              </w:rPr>
              <w:t>——点声源声功率级（A计权或倍频带），dB；</w:t>
            </w:r>
          </w:p>
          <w:p w14:paraId="50867B3F">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1200" w:firstLineChars="5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Q——指向性因数；通常对无指向性声源，当声源放在房间中心时，Q=1；当放在一面墙的中心时，Q=2；当放在两面墙夹角处时，Q=4；当放在三面墙夹角处时，Q=8；</w:t>
            </w:r>
          </w:p>
          <w:p w14:paraId="23450EAB">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720" w:firstLineChars="3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R——房间常数；</w:t>
            </w:r>
            <w:r>
              <w:rPr>
                <w:rFonts w:hint="default" w:ascii="Times New Roman" w:hAnsi="Times New Roman" w:eastAsia="宋体" w:cs="Times New Roman"/>
                <w:caps w:val="0"/>
                <w:smallCaps w:val="0"/>
                <w:color w:val="auto"/>
                <w:spacing w:val="0"/>
                <w:w w:val="100"/>
                <w:kern w:val="0"/>
                <w:position w:val="0"/>
                <w:sz w:val="24"/>
                <w:szCs w:val="24"/>
                <w:lang w:val="en-US" w:eastAsia="zh-CN"/>
              </w:rPr>
              <w:t>R=Sα/（1-α）</w:t>
            </w:r>
            <w:r>
              <w:rPr>
                <w:rFonts w:hint="default" w:ascii="Times New Roman" w:hAnsi="Times New Roman" w:eastAsia="宋体" w:cs="Times New Roman"/>
                <w:bCs/>
                <w:color w:val="auto"/>
                <w:sz w:val="24"/>
                <w:szCs w:val="24"/>
              </w:rPr>
              <w:t>，S为房间内表面面积，m</w:t>
            </w:r>
            <w:r>
              <w:rPr>
                <w:rFonts w:hint="default" w:ascii="Times New Roman" w:hAnsi="Times New Roman" w:eastAsia="宋体" w:cs="Times New Roman"/>
                <w:bCs/>
                <w:color w:val="auto"/>
                <w:sz w:val="24"/>
                <w:szCs w:val="24"/>
                <w:vertAlign w:val="superscript"/>
              </w:rPr>
              <w:t>2</w:t>
            </w:r>
            <w:r>
              <w:rPr>
                <w:rFonts w:hint="default" w:ascii="Times New Roman" w:hAnsi="Times New Roman" w:eastAsia="宋体" w:cs="Times New Roman"/>
                <w:bCs/>
                <w:color w:val="auto"/>
                <w:sz w:val="24"/>
                <w:szCs w:val="24"/>
              </w:rPr>
              <w:t>；α为平均吸声系数；</w:t>
            </w:r>
          </w:p>
          <w:p w14:paraId="5F315D6D">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720" w:firstLineChars="3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r ——声源到靠近围护结构某点处的距离，m。</w:t>
            </w:r>
          </w:p>
          <w:p w14:paraId="04533139">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right="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③然后按式（B.3）计算出所有室内声源在围护结构处产生的i倍频带叠加声压级：</w:t>
            </w:r>
          </w:p>
          <w:p w14:paraId="3AF9A124">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right="0" w:firstLine="0" w:firstLineChars="0"/>
              <w:jc w:val="right"/>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rPr>
              <w:drawing>
                <wp:inline distT="0" distB="0" distL="114300" distR="114300">
                  <wp:extent cx="3957955" cy="560705"/>
                  <wp:effectExtent l="0" t="0" r="4445" b="1079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8"/>
                          <a:stretch>
                            <a:fillRect/>
                          </a:stretch>
                        </pic:blipFill>
                        <pic:spPr>
                          <a:xfrm>
                            <a:off x="0" y="0"/>
                            <a:ext cx="3957955" cy="560705"/>
                          </a:xfrm>
                          <a:prstGeom prst="rect">
                            <a:avLst/>
                          </a:prstGeom>
                          <a:noFill/>
                          <a:ln>
                            <a:noFill/>
                          </a:ln>
                        </pic:spPr>
                      </pic:pic>
                    </a:graphicData>
                  </a:graphic>
                </wp:inline>
              </w:drawing>
            </w:r>
          </w:p>
          <w:p w14:paraId="1D474C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kern w:val="0"/>
                <w:position w:val="0"/>
                <w:sz w:val="24"/>
                <w:szCs w:val="24"/>
                <w:lang w:eastAsia="zh-CN"/>
              </w:rPr>
            </w:pPr>
            <w:r>
              <w:rPr>
                <w:rFonts w:hint="default" w:ascii="Times New Roman" w:hAnsi="Times New Roman" w:eastAsia="宋体" w:cs="Times New Roman"/>
                <w:caps w:val="0"/>
                <w:smallCaps w:val="0"/>
                <w:color w:val="auto"/>
                <w:spacing w:val="0"/>
                <w:w w:val="100"/>
                <w:kern w:val="0"/>
                <w:position w:val="0"/>
                <w:sz w:val="24"/>
                <w:szCs w:val="24"/>
              </w:rPr>
              <w:t>式中：L</w:t>
            </w:r>
            <w:r>
              <w:rPr>
                <w:rFonts w:hint="default" w:ascii="Times New Roman" w:hAnsi="Times New Roman" w:eastAsia="宋体" w:cs="Times New Roman"/>
                <w:caps w:val="0"/>
                <w:smallCaps w:val="0"/>
                <w:color w:val="auto"/>
                <w:spacing w:val="0"/>
                <w:w w:val="100"/>
                <w:kern w:val="0"/>
                <w:position w:val="0"/>
                <w:sz w:val="24"/>
                <w:szCs w:val="24"/>
                <w:vertAlign w:val="subscript"/>
                <w:lang w:val="en-US" w:eastAsia="zh-CN"/>
              </w:rPr>
              <w:t>pli</w:t>
            </w:r>
            <w:r>
              <w:rPr>
                <w:rFonts w:hint="default" w:ascii="Times New Roman" w:hAnsi="Times New Roman" w:eastAsia="宋体" w:cs="Times New Roman"/>
                <w:caps w:val="0"/>
                <w:smallCaps w:val="0"/>
                <w:color w:val="auto"/>
                <w:spacing w:val="0"/>
                <w:w w:val="100"/>
                <w:kern w:val="0"/>
                <w:position w:val="0"/>
                <w:sz w:val="24"/>
                <w:szCs w:val="24"/>
                <w:vertAlign w:val="baseline"/>
                <w:lang w:val="en-US" w:eastAsia="zh-CN"/>
              </w:rPr>
              <w:t>（T）</w:t>
            </w:r>
            <w:r>
              <w:rPr>
                <w:rFonts w:hint="default" w:ascii="Times New Roman" w:hAnsi="Times New Roman" w:eastAsia="宋体" w:cs="Times New Roman"/>
                <w:caps w:val="0"/>
                <w:smallCaps w:val="0"/>
                <w:color w:val="auto"/>
                <w:spacing w:val="0"/>
                <w:w w:val="100"/>
                <w:kern w:val="0"/>
                <w:position w:val="0"/>
                <w:sz w:val="24"/>
                <w:szCs w:val="24"/>
              </w:rPr>
              <w:t>——靠近围护结构处室内N个声源i倍频带的叠加声压级，dB</w:t>
            </w:r>
            <w:r>
              <w:rPr>
                <w:rFonts w:hint="default" w:ascii="Times New Roman" w:hAnsi="Times New Roman" w:eastAsia="宋体" w:cs="Times New Roman"/>
                <w:caps w:val="0"/>
                <w:smallCaps w:val="0"/>
                <w:color w:val="auto"/>
                <w:spacing w:val="0"/>
                <w:w w:val="100"/>
                <w:kern w:val="0"/>
                <w:position w:val="0"/>
                <w:sz w:val="24"/>
                <w:szCs w:val="24"/>
                <w:lang w:eastAsia="zh-CN"/>
              </w:rPr>
              <w:t>；</w:t>
            </w:r>
          </w:p>
          <w:p w14:paraId="477F7018">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textAlignment w:val="auto"/>
              <w:rPr>
                <w:rFonts w:hint="default" w:ascii="Times New Roman" w:hAnsi="Times New Roman" w:eastAsia="宋体" w:cs="Times New Roman"/>
                <w:caps w:val="0"/>
                <w:smallCaps w:val="0"/>
                <w:color w:val="auto"/>
                <w:spacing w:val="0"/>
                <w:w w:val="100"/>
                <w:kern w:val="0"/>
                <w:position w:val="0"/>
                <w:sz w:val="24"/>
                <w:szCs w:val="24"/>
              </w:rPr>
            </w:pPr>
            <w:r>
              <w:rPr>
                <w:rFonts w:hint="default" w:ascii="Times New Roman" w:hAnsi="Times New Roman" w:eastAsia="宋体" w:cs="Times New Roman"/>
                <w:caps w:val="0"/>
                <w:smallCaps w:val="0"/>
                <w:color w:val="auto"/>
                <w:spacing w:val="0"/>
                <w:w w:val="100"/>
                <w:kern w:val="0"/>
                <w:position w:val="0"/>
                <w:sz w:val="24"/>
                <w:szCs w:val="24"/>
              </w:rPr>
              <w:t>L</w:t>
            </w:r>
            <w:r>
              <w:rPr>
                <w:rFonts w:hint="default" w:ascii="Times New Roman" w:hAnsi="Times New Roman" w:eastAsia="宋体" w:cs="Times New Roman"/>
                <w:caps w:val="0"/>
                <w:smallCaps w:val="0"/>
                <w:color w:val="auto"/>
                <w:spacing w:val="0"/>
                <w:w w:val="100"/>
                <w:kern w:val="0"/>
                <w:position w:val="0"/>
                <w:sz w:val="24"/>
                <w:szCs w:val="24"/>
                <w:vertAlign w:val="subscript"/>
                <w:lang w:val="en-US" w:eastAsia="zh-CN"/>
              </w:rPr>
              <w:t>plij</w:t>
            </w:r>
            <w:r>
              <w:rPr>
                <w:rFonts w:hint="default" w:ascii="Times New Roman" w:hAnsi="Times New Roman" w:eastAsia="宋体" w:cs="Times New Roman"/>
                <w:caps w:val="0"/>
                <w:smallCaps w:val="0"/>
                <w:color w:val="auto"/>
                <w:spacing w:val="0"/>
                <w:w w:val="100"/>
                <w:kern w:val="0"/>
                <w:position w:val="0"/>
                <w:sz w:val="24"/>
                <w:szCs w:val="24"/>
              </w:rPr>
              <w:t>——室内j声源i倍频带的声压级，dB；</w:t>
            </w:r>
          </w:p>
          <w:p w14:paraId="3560B830">
            <w:pPr>
              <w:keepNext w:val="0"/>
              <w:keepLines w:val="0"/>
              <w:pageBreakBefore w:val="0"/>
              <w:widowControl w:val="0"/>
              <w:kinsoku/>
              <w:wordWrap/>
              <w:overflowPunct/>
              <w:topLinePunct w:val="0"/>
              <w:autoSpaceDE/>
              <w:autoSpaceDN/>
              <w:bidi w:val="0"/>
              <w:adjustRightInd w:val="0"/>
              <w:snapToGrid w:val="0"/>
              <w:spacing w:line="360" w:lineRule="auto"/>
              <w:ind w:firstLine="1260" w:firstLineChars="60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N</w:t>
            </w:r>
            <w:r>
              <w:rPr>
                <w:rFonts w:hint="default" w:ascii="Times New Roman" w:hAnsi="Times New Roman" w:eastAsia="宋体" w:cs="Times New Roman"/>
                <w:caps w:val="0"/>
                <w:smallCaps w:val="0"/>
                <w:color w:val="auto"/>
                <w:spacing w:val="0"/>
                <w:w w:val="100"/>
                <w:kern w:val="0"/>
                <w:position w:val="0"/>
                <w:sz w:val="24"/>
                <w:szCs w:val="24"/>
              </w:rPr>
              <w:t>——室内</w:t>
            </w:r>
            <w:r>
              <w:rPr>
                <w:rFonts w:hint="default" w:ascii="Times New Roman" w:hAnsi="Times New Roman" w:eastAsia="宋体" w:cs="Times New Roman"/>
                <w:caps w:val="0"/>
                <w:smallCaps w:val="0"/>
                <w:color w:val="auto"/>
                <w:spacing w:val="0"/>
                <w:w w:val="100"/>
                <w:kern w:val="0"/>
                <w:position w:val="0"/>
                <w:sz w:val="24"/>
                <w:szCs w:val="24"/>
                <w:lang w:eastAsia="zh-CN"/>
              </w:rPr>
              <w:t>声源总数。</w:t>
            </w:r>
          </w:p>
          <w:p w14:paraId="3E3DAC27">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right="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④在室内近似为扩散声场时，按式（B.4）计算出靠近室外围护结构处的声压级：</w:t>
            </w:r>
          </w:p>
          <w:p w14:paraId="4FD3B8EB">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0" w:firstLineChars="0"/>
              <w:jc w:val="right"/>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rPr>
              <w:drawing>
                <wp:inline distT="0" distB="0" distL="114300" distR="114300">
                  <wp:extent cx="4064000" cy="332740"/>
                  <wp:effectExtent l="0" t="0" r="12700" b="1016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9"/>
                          <a:stretch>
                            <a:fillRect/>
                          </a:stretch>
                        </pic:blipFill>
                        <pic:spPr>
                          <a:xfrm>
                            <a:off x="0" y="0"/>
                            <a:ext cx="4064000" cy="332740"/>
                          </a:xfrm>
                          <a:prstGeom prst="rect">
                            <a:avLst/>
                          </a:prstGeom>
                          <a:noFill/>
                          <a:ln>
                            <a:noFill/>
                          </a:ln>
                        </pic:spPr>
                      </pic:pic>
                    </a:graphicData>
                  </a:graphic>
                </wp:inline>
              </w:drawing>
            </w:r>
          </w:p>
          <w:p w14:paraId="096035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kern w:val="0"/>
                <w:position w:val="0"/>
                <w:sz w:val="24"/>
                <w:szCs w:val="24"/>
                <w:lang w:eastAsia="zh-CN"/>
              </w:rPr>
            </w:pPr>
            <w:r>
              <w:rPr>
                <w:rFonts w:hint="default" w:ascii="Times New Roman" w:hAnsi="Times New Roman" w:eastAsia="宋体" w:cs="Times New Roman"/>
                <w:caps w:val="0"/>
                <w:smallCaps w:val="0"/>
                <w:color w:val="auto"/>
                <w:spacing w:val="0"/>
                <w:w w:val="100"/>
                <w:kern w:val="0"/>
                <w:position w:val="0"/>
                <w:sz w:val="24"/>
                <w:szCs w:val="24"/>
              </w:rPr>
              <w:t>式中：L</w:t>
            </w:r>
            <w:r>
              <w:rPr>
                <w:rFonts w:hint="default" w:ascii="Times New Roman" w:hAnsi="Times New Roman" w:eastAsia="宋体" w:cs="Times New Roman"/>
                <w:caps w:val="0"/>
                <w:smallCaps w:val="0"/>
                <w:color w:val="auto"/>
                <w:spacing w:val="0"/>
                <w:w w:val="100"/>
                <w:kern w:val="0"/>
                <w:position w:val="0"/>
                <w:sz w:val="24"/>
                <w:szCs w:val="24"/>
                <w:vertAlign w:val="subscript"/>
                <w:lang w:val="en-US" w:eastAsia="zh-CN"/>
              </w:rPr>
              <w:t>p2i</w:t>
            </w:r>
            <w:r>
              <w:rPr>
                <w:rFonts w:hint="default" w:ascii="Times New Roman" w:hAnsi="Times New Roman" w:eastAsia="宋体" w:cs="Times New Roman"/>
                <w:caps w:val="0"/>
                <w:smallCaps w:val="0"/>
                <w:color w:val="auto"/>
                <w:spacing w:val="0"/>
                <w:w w:val="100"/>
                <w:kern w:val="0"/>
                <w:position w:val="0"/>
                <w:sz w:val="24"/>
                <w:szCs w:val="24"/>
                <w:vertAlign w:val="baseline"/>
                <w:lang w:val="en-US" w:eastAsia="zh-CN"/>
              </w:rPr>
              <w:t>（T）</w:t>
            </w:r>
            <w:r>
              <w:rPr>
                <w:rFonts w:hint="default" w:ascii="Times New Roman" w:hAnsi="Times New Roman" w:eastAsia="宋体" w:cs="Times New Roman"/>
                <w:caps w:val="0"/>
                <w:smallCaps w:val="0"/>
                <w:color w:val="auto"/>
                <w:spacing w:val="0"/>
                <w:w w:val="100"/>
                <w:kern w:val="0"/>
                <w:position w:val="0"/>
                <w:sz w:val="24"/>
                <w:szCs w:val="24"/>
              </w:rPr>
              <w:t>——靠近围护结构处室外N个声源i倍频带的叠加声压级，dB</w:t>
            </w:r>
            <w:r>
              <w:rPr>
                <w:rFonts w:hint="default" w:ascii="Times New Roman" w:hAnsi="Times New Roman" w:eastAsia="宋体" w:cs="Times New Roman"/>
                <w:caps w:val="0"/>
                <w:smallCaps w:val="0"/>
                <w:color w:val="auto"/>
                <w:spacing w:val="0"/>
                <w:w w:val="100"/>
                <w:kern w:val="0"/>
                <w:position w:val="0"/>
                <w:sz w:val="24"/>
                <w:szCs w:val="24"/>
                <w:lang w:eastAsia="zh-CN"/>
              </w:rPr>
              <w:t>；</w:t>
            </w:r>
          </w:p>
          <w:p w14:paraId="104CCA5B">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textAlignment w:val="auto"/>
              <w:rPr>
                <w:rFonts w:hint="default" w:ascii="Times New Roman" w:hAnsi="Times New Roman" w:eastAsia="宋体" w:cs="Times New Roman"/>
                <w:caps w:val="0"/>
                <w:smallCaps w:val="0"/>
                <w:color w:val="auto"/>
                <w:spacing w:val="0"/>
                <w:w w:val="100"/>
                <w:kern w:val="0"/>
                <w:position w:val="0"/>
                <w:sz w:val="24"/>
                <w:szCs w:val="24"/>
                <w:lang w:eastAsia="zh-CN"/>
              </w:rPr>
            </w:pPr>
            <w:r>
              <w:rPr>
                <w:rFonts w:hint="default" w:ascii="Times New Roman" w:hAnsi="Times New Roman" w:eastAsia="宋体" w:cs="Times New Roman"/>
                <w:caps w:val="0"/>
                <w:smallCaps w:val="0"/>
                <w:color w:val="auto"/>
                <w:spacing w:val="0"/>
                <w:w w:val="100"/>
                <w:kern w:val="0"/>
                <w:position w:val="0"/>
                <w:sz w:val="24"/>
                <w:szCs w:val="24"/>
              </w:rPr>
              <w:t>L</w:t>
            </w:r>
            <w:r>
              <w:rPr>
                <w:rFonts w:hint="default" w:ascii="Times New Roman" w:hAnsi="Times New Roman" w:eastAsia="宋体" w:cs="Times New Roman"/>
                <w:caps w:val="0"/>
                <w:smallCaps w:val="0"/>
                <w:color w:val="auto"/>
                <w:spacing w:val="0"/>
                <w:w w:val="100"/>
                <w:kern w:val="0"/>
                <w:position w:val="0"/>
                <w:sz w:val="24"/>
                <w:szCs w:val="24"/>
                <w:vertAlign w:val="subscript"/>
                <w:lang w:val="en-US" w:eastAsia="zh-CN"/>
              </w:rPr>
              <w:t>pli</w:t>
            </w:r>
            <w:r>
              <w:rPr>
                <w:rFonts w:hint="default" w:ascii="Times New Roman" w:hAnsi="Times New Roman" w:eastAsia="宋体" w:cs="Times New Roman"/>
                <w:caps w:val="0"/>
                <w:smallCaps w:val="0"/>
                <w:color w:val="auto"/>
                <w:spacing w:val="0"/>
                <w:w w:val="100"/>
                <w:kern w:val="0"/>
                <w:position w:val="0"/>
                <w:sz w:val="24"/>
                <w:szCs w:val="24"/>
                <w:vertAlign w:val="baseline"/>
                <w:lang w:val="en-US" w:eastAsia="zh-CN"/>
              </w:rPr>
              <w:t>（T）</w:t>
            </w:r>
            <w:r>
              <w:rPr>
                <w:rFonts w:hint="default" w:ascii="Times New Roman" w:hAnsi="Times New Roman" w:eastAsia="宋体" w:cs="Times New Roman"/>
                <w:caps w:val="0"/>
                <w:smallCaps w:val="0"/>
                <w:color w:val="auto"/>
                <w:spacing w:val="0"/>
                <w:w w:val="100"/>
                <w:kern w:val="0"/>
                <w:position w:val="0"/>
                <w:sz w:val="24"/>
                <w:szCs w:val="24"/>
              </w:rPr>
              <w:t>——靠近围护结构处室内N个声源i倍频带的叠加声压级</w:t>
            </w:r>
            <w:r>
              <w:rPr>
                <w:rFonts w:hint="default" w:ascii="Times New Roman" w:hAnsi="Times New Roman" w:eastAsia="宋体" w:cs="Times New Roman"/>
                <w:caps w:val="0"/>
                <w:smallCaps w:val="0"/>
                <w:color w:val="auto"/>
                <w:spacing w:val="0"/>
                <w:w w:val="100"/>
                <w:kern w:val="0"/>
                <w:position w:val="0"/>
                <w:sz w:val="24"/>
                <w:szCs w:val="24"/>
                <w:lang w:eastAsia="zh-CN"/>
              </w:rPr>
              <w:t>，dB；</w:t>
            </w:r>
          </w:p>
          <w:p w14:paraId="2F4DC9BD">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textAlignment w:val="auto"/>
              <w:rPr>
                <w:rFonts w:hint="default" w:ascii="Times New Roman" w:hAnsi="Times New Roman" w:eastAsia="宋体" w:cs="Times New Roman"/>
                <w:caps w:val="0"/>
                <w:smallCaps w:val="0"/>
                <w:color w:val="auto"/>
                <w:spacing w:val="0"/>
                <w:w w:val="100"/>
                <w:kern w:val="0"/>
                <w:position w:val="0"/>
                <w:sz w:val="24"/>
                <w:szCs w:val="24"/>
              </w:rPr>
            </w:pPr>
            <w:r>
              <w:rPr>
                <w:rFonts w:hint="default" w:ascii="Times New Roman" w:hAnsi="Times New Roman" w:eastAsia="宋体" w:cs="Times New Roman"/>
                <w:caps w:val="0"/>
                <w:smallCaps w:val="0"/>
                <w:color w:val="auto"/>
                <w:spacing w:val="0"/>
                <w:w w:val="100"/>
                <w:kern w:val="0"/>
                <w:position w:val="0"/>
                <w:sz w:val="24"/>
                <w:szCs w:val="24"/>
                <w:lang w:val="en-US" w:eastAsia="zh-CN"/>
              </w:rPr>
              <w:t>T</w:t>
            </w:r>
            <w:r>
              <w:rPr>
                <w:rFonts w:hint="default" w:ascii="Times New Roman" w:hAnsi="Times New Roman" w:eastAsia="宋体" w:cs="Times New Roman"/>
                <w:caps w:val="0"/>
                <w:smallCaps w:val="0"/>
                <w:color w:val="auto"/>
                <w:spacing w:val="0"/>
                <w:w w:val="100"/>
                <w:kern w:val="0"/>
                <w:position w:val="0"/>
                <w:sz w:val="24"/>
                <w:szCs w:val="24"/>
              </w:rPr>
              <w:t>L</w:t>
            </w:r>
            <w:r>
              <w:rPr>
                <w:rFonts w:hint="default" w:ascii="Times New Roman" w:hAnsi="Times New Roman" w:eastAsia="宋体" w:cs="Times New Roman"/>
                <w:caps w:val="0"/>
                <w:smallCaps w:val="0"/>
                <w:color w:val="auto"/>
                <w:spacing w:val="0"/>
                <w:w w:val="100"/>
                <w:kern w:val="0"/>
                <w:position w:val="0"/>
                <w:sz w:val="24"/>
                <w:szCs w:val="24"/>
                <w:vertAlign w:val="subscript"/>
                <w:lang w:val="en-US" w:eastAsia="zh-CN"/>
              </w:rPr>
              <w:t>i</w:t>
            </w:r>
            <w:r>
              <w:rPr>
                <w:rFonts w:hint="default" w:ascii="Times New Roman" w:hAnsi="Times New Roman" w:eastAsia="宋体" w:cs="Times New Roman"/>
                <w:caps w:val="0"/>
                <w:smallCaps w:val="0"/>
                <w:color w:val="auto"/>
                <w:spacing w:val="0"/>
                <w:w w:val="100"/>
                <w:kern w:val="0"/>
                <w:position w:val="0"/>
                <w:sz w:val="24"/>
                <w:szCs w:val="24"/>
              </w:rPr>
              <w:t>——围护结构i倍频带的隔声量，dB；</w:t>
            </w:r>
          </w:p>
          <w:p w14:paraId="711B0D6F">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right="0" w:firstLineChars="200"/>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⑤然后按式（B.5）将室外声源的声压级和透过面积换算成等效的室外声源，计算出中心位置位于透声面积（S）处的等效声源的倍频带声功率级。</w:t>
            </w:r>
          </w:p>
          <w:p w14:paraId="16637914">
            <w:pPr>
              <w:pStyle w:val="23"/>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0" w:firstLineChars="0"/>
              <w:jc w:val="right"/>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rPr>
              <w:drawing>
                <wp:inline distT="0" distB="0" distL="114300" distR="114300">
                  <wp:extent cx="3923665" cy="304165"/>
                  <wp:effectExtent l="0" t="0" r="635" b="63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20"/>
                          <a:stretch>
                            <a:fillRect/>
                          </a:stretch>
                        </pic:blipFill>
                        <pic:spPr>
                          <a:xfrm>
                            <a:off x="0" y="0"/>
                            <a:ext cx="3923665" cy="304165"/>
                          </a:xfrm>
                          <a:prstGeom prst="rect">
                            <a:avLst/>
                          </a:prstGeom>
                          <a:noFill/>
                          <a:ln>
                            <a:noFill/>
                          </a:ln>
                        </pic:spPr>
                      </pic:pic>
                    </a:graphicData>
                  </a:graphic>
                </wp:inline>
              </w:drawing>
            </w:r>
          </w:p>
          <w:p w14:paraId="74A3B4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式中：</w:t>
            </w:r>
            <w:r>
              <w:rPr>
                <w:rFonts w:hint="default" w:ascii="Times New Roman" w:hAnsi="Times New Roman" w:eastAsia="宋体" w:cs="Times New Roman"/>
                <w:color w:val="auto"/>
                <w:sz w:val="24"/>
                <w:szCs w:val="24"/>
              </w:rPr>
              <w:t>L</w:t>
            </w:r>
            <w:r>
              <w:rPr>
                <w:rFonts w:hint="default" w:ascii="Times New Roman" w:hAnsi="Times New Roman" w:eastAsia="宋体" w:cs="Times New Roman"/>
                <w:color w:val="auto"/>
                <w:sz w:val="24"/>
                <w:szCs w:val="24"/>
                <w:vertAlign w:val="subscript"/>
                <w:lang w:val="en-US" w:eastAsia="zh-CN"/>
              </w:rPr>
              <w:t>W</w:t>
            </w:r>
            <w:r>
              <w:rPr>
                <w:rFonts w:hint="default" w:ascii="Times New Roman" w:hAnsi="Times New Roman" w:eastAsia="宋体" w:cs="Times New Roman"/>
                <w:color w:val="auto"/>
                <w:sz w:val="24"/>
                <w:szCs w:val="24"/>
              </w:rPr>
              <w:t>——中心位置位于透声面积（S）处的等效声源的倍频带声功率级，dB；</w:t>
            </w:r>
          </w:p>
          <w:p w14:paraId="1437603C">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L</w:t>
            </w:r>
            <w:r>
              <w:rPr>
                <w:rFonts w:hint="default" w:ascii="Times New Roman" w:hAnsi="Times New Roman" w:eastAsia="宋体" w:cs="Times New Roman"/>
                <w:color w:val="auto"/>
                <w:sz w:val="24"/>
                <w:szCs w:val="24"/>
                <w:vertAlign w:val="subscript"/>
                <w:lang w:val="en-US" w:eastAsia="zh-CN"/>
              </w:rPr>
              <w:t>p2</w:t>
            </w:r>
            <w:r>
              <w:rPr>
                <w:rFonts w:hint="default" w:ascii="Times New Roman" w:hAnsi="Times New Roman" w:eastAsia="宋体" w:cs="Times New Roman"/>
                <w:color w:val="auto"/>
                <w:sz w:val="24"/>
                <w:szCs w:val="24"/>
                <w:vertAlign w:val="baseline"/>
                <w:lang w:val="en-US" w:eastAsia="zh-CN"/>
              </w:rPr>
              <w:t>（T）</w:t>
            </w:r>
            <w:r>
              <w:rPr>
                <w:rFonts w:hint="default" w:ascii="Times New Roman" w:hAnsi="Times New Roman" w:eastAsia="宋体" w:cs="Times New Roman"/>
                <w:color w:val="auto"/>
                <w:sz w:val="24"/>
                <w:szCs w:val="24"/>
              </w:rPr>
              <w:t>——靠近围护结构处室外声源的声压级，dB；</w:t>
            </w:r>
          </w:p>
          <w:p w14:paraId="3F515A55">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S</w:t>
            </w:r>
            <w:r>
              <w:rPr>
                <w:rFonts w:hint="default" w:ascii="Times New Roman" w:hAnsi="Times New Roman" w:eastAsia="宋体" w:cs="Times New Roman"/>
                <w:color w:val="auto"/>
                <w:sz w:val="24"/>
                <w:szCs w:val="24"/>
              </w:rPr>
              <w:t>——透声面积，m</w:t>
            </w:r>
            <w:r>
              <w:rPr>
                <w:rFonts w:hint="default" w:ascii="Times New Roman" w:hAnsi="Times New Roman" w:eastAsia="宋体" w:cs="Times New Roman"/>
                <w:color w:val="auto"/>
                <w:sz w:val="24"/>
                <w:szCs w:val="24"/>
                <w:vertAlign w:val="superscript"/>
              </w:rPr>
              <w:t>2</w:t>
            </w:r>
            <w:r>
              <w:rPr>
                <w:rFonts w:hint="default" w:ascii="Times New Roman" w:hAnsi="Times New Roman" w:eastAsia="宋体" w:cs="Times New Roman"/>
                <w:color w:val="auto"/>
                <w:sz w:val="24"/>
                <w:szCs w:val="24"/>
              </w:rPr>
              <w:t>。</w:t>
            </w:r>
          </w:p>
          <w:p w14:paraId="570E9C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然后按室外声源预测方法计算预测点处的 A 声级。</w:t>
            </w:r>
          </w:p>
          <w:p w14:paraId="534220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⑥工业企业噪声计算</w:t>
            </w:r>
          </w:p>
          <w:p w14:paraId="5FF272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aps w:val="0"/>
                <w:smallCaps w:val="0"/>
                <w:color w:val="auto"/>
                <w:spacing w:val="0"/>
                <w:w w:val="100"/>
                <w:kern w:val="0"/>
                <w:position w:val="0"/>
                <w:sz w:val="24"/>
                <w:szCs w:val="24"/>
              </w:rPr>
            </w:pPr>
            <w:r>
              <w:rPr>
                <w:rFonts w:hint="default" w:ascii="Times New Roman" w:hAnsi="Times New Roman" w:eastAsia="宋体" w:cs="Times New Roman"/>
                <w:caps w:val="0"/>
                <w:smallCaps w:val="0"/>
                <w:color w:val="auto"/>
                <w:spacing w:val="0"/>
                <w:w w:val="100"/>
                <w:kern w:val="0"/>
                <w:position w:val="0"/>
                <w:sz w:val="24"/>
                <w:szCs w:val="24"/>
              </w:rPr>
              <w:t>设第i个室外声源在预测点产生的A声级为L</w:t>
            </w:r>
            <w:r>
              <w:rPr>
                <w:rFonts w:hint="default" w:ascii="Times New Roman" w:hAnsi="Times New Roman" w:eastAsia="宋体" w:cs="Times New Roman"/>
                <w:caps w:val="0"/>
                <w:smallCaps w:val="0"/>
                <w:color w:val="auto"/>
                <w:spacing w:val="0"/>
                <w:w w:val="100"/>
                <w:kern w:val="0"/>
                <w:position w:val="0"/>
                <w:sz w:val="24"/>
                <w:szCs w:val="24"/>
                <w:vertAlign w:val="subscript"/>
              </w:rPr>
              <w:t>Ai</w:t>
            </w:r>
            <w:r>
              <w:rPr>
                <w:rFonts w:hint="default" w:ascii="Times New Roman" w:hAnsi="Times New Roman" w:eastAsia="宋体" w:cs="Times New Roman"/>
                <w:caps w:val="0"/>
                <w:smallCaps w:val="0"/>
                <w:color w:val="auto"/>
                <w:spacing w:val="0"/>
                <w:w w:val="100"/>
                <w:kern w:val="0"/>
                <w:position w:val="0"/>
                <w:sz w:val="24"/>
                <w:szCs w:val="24"/>
              </w:rPr>
              <w:t>，在T时间内该声源工作时间为t</w:t>
            </w:r>
            <w:r>
              <w:rPr>
                <w:rFonts w:hint="default" w:ascii="Times New Roman" w:hAnsi="Times New Roman" w:eastAsia="宋体" w:cs="Times New Roman"/>
                <w:caps w:val="0"/>
                <w:smallCaps w:val="0"/>
                <w:color w:val="auto"/>
                <w:spacing w:val="0"/>
                <w:w w:val="100"/>
                <w:kern w:val="0"/>
                <w:position w:val="0"/>
                <w:sz w:val="24"/>
                <w:szCs w:val="24"/>
                <w:vertAlign w:val="subscript"/>
              </w:rPr>
              <w:t>i</w:t>
            </w:r>
            <w:r>
              <w:rPr>
                <w:rFonts w:hint="default" w:ascii="Times New Roman" w:hAnsi="Times New Roman" w:eastAsia="宋体" w:cs="Times New Roman"/>
                <w:caps w:val="0"/>
                <w:smallCaps w:val="0"/>
                <w:color w:val="auto"/>
                <w:spacing w:val="0"/>
                <w:w w:val="100"/>
                <w:kern w:val="0"/>
                <w:position w:val="0"/>
                <w:sz w:val="24"/>
                <w:szCs w:val="24"/>
              </w:rPr>
              <w:t>；第j个等效室外声源在预测点产生的A声级为L</w:t>
            </w:r>
            <w:r>
              <w:rPr>
                <w:rFonts w:hint="default" w:ascii="Times New Roman" w:hAnsi="Times New Roman" w:eastAsia="宋体" w:cs="Times New Roman"/>
                <w:caps w:val="0"/>
                <w:smallCaps w:val="0"/>
                <w:color w:val="auto"/>
                <w:spacing w:val="0"/>
                <w:w w:val="100"/>
                <w:kern w:val="0"/>
                <w:position w:val="0"/>
                <w:sz w:val="24"/>
                <w:szCs w:val="24"/>
                <w:vertAlign w:val="subscript"/>
              </w:rPr>
              <w:t xml:space="preserve">Aj </w:t>
            </w:r>
            <w:r>
              <w:rPr>
                <w:rFonts w:hint="default" w:ascii="Times New Roman" w:hAnsi="Times New Roman" w:eastAsia="宋体" w:cs="Times New Roman"/>
                <w:caps w:val="0"/>
                <w:smallCaps w:val="0"/>
                <w:color w:val="auto"/>
                <w:spacing w:val="0"/>
                <w:w w:val="100"/>
                <w:kern w:val="0"/>
                <w:position w:val="0"/>
                <w:sz w:val="24"/>
                <w:szCs w:val="24"/>
              </w:rPr>
              <w:t>，在T时间内该声源工作时间为t</w:t>
            </w:r>
            <w:r>
              <w:rPr>
                <w:rFonts w:hint="default" w:ascii="Times New Roman" w:hAnsi="Times New Roman" w:eastAsia="宋体" w:cs="Times New Roman"/>
                <w:caps w:val="0"/>
                <w:smallCaps w:val="0"/>
                <w:color w:val="auto"/>
                <w:spacing w:val="0"/>
                <w:w w:val="100"/>
                <w:kern w:val="0"/>
                <w:position w:val="0"/>
                <w:sz w:val="24"/>
                <w:szCs w:val="24"/>
                <w:vertAlign w:val="subscript"/>
              </w:rPr>
              <w:t>j</w:t>
            </w:r>
            <w:r>
              <w:rPr>
                <w:rFonts w:hint="default" w:ascii="Times New Roman" w:hAnsi="Times New Roman" w:eastAsia="宋体" w:cs="Times New Roman"/>
                <w:caps w:val="0"/>
                <w:smallCaps w:val="0"/>
                <w:color w:val="auto"/>
                <w:spacing w:val="0"/>
                <w:w w:val="100"/>
                <w:kern w:val="0"/>
                <w:position w:val="0"/>
                <w:sz w:val="24"/>
                <w:szCs w:val="24"/>
              </w:rPr>
              <w:t>，则拟建工程声源对预测点产生的贡献值（L</w:t>
            </w:r>
            <w:r>
              <w:rPr>
                <w:rFonts w:hint="default" w:ascii="Times New Roman" w:hAnsi="Times New Roman" w:eastAsia="宋体" w:cs="Times New Roman"/>
                <w:caps w:val="0"/>
                <w:smallCaps w:val="0"/>
                <w:color w:val="auto"/>
                <w:spacing w:val="0"/>
                <w:w w:val="100"/>
                <w:kern w:val="0"/>
                <w:position w:val="0"/>
                <w:sz w:val="24"/>
                <w:szCs w:val="24"/>
                <w:vertAlign w:val="subscript"/>
              </w:rPr>
              <w:t>eqg</w:t>
            </w:r>
            <w:r>
              <w:rPr>
                <w:rFonts w:hint="default" w:ascii="Times New Roman" w:hAnsi="Times New Roman" w:eastAsia="宋体" w:cs="Times New Roman"/>
                <w:caps w:val="0"/>
                <w:smallCaps w:val="0"/>
                <w:color w:val="auto"/>
                <w:spacing w:val="0"/>
                <w:w w:val="100"/>
                <w:kern w:val="0"/>
                <w:position w:val="0"/>
                <w:sz w:val="24"/>
                <w:szCs w:val="24"/>
              </w:rPr>
              <w:t>）为：</w:t>
            </w:r>
          </w:p>
          <w:p w14:paraId="6D56E725">
            <w:pPr>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rFonts w:hint="default" w:ascii="Times New Roman" w:hAnsi="Times New Roman" w:eastAsia="宋体" w:cs="Times New Roman"/>
                <w:caps w:val="0"/>
                <w:smallCaps w:val="0"/>
                <w:color w:val="auto"/>
                <w:spacing w:val="0"/>
                <w:w w:val="100"/>
                <w:kern w:val="0"/>
                <w:position w:val="0"/>
                <w:sz w:val="24"/>
                <w:szCs w:val="24"/>
              </w:rPr>
            </w:pPr>
            <w:r>
              <w:rPr>
                <w:rFonts w:hint="default" w:ascii="Times New Roman" w:hAnsi="Times New Roman" w:eastAsia="宋体" w:cs="Times New Roman"/>
                <w:color w:val="auto"/>
              </w:rPr>
              <w:drawing>
                <wp:inline distT="0" distB="0" distL="114300" distR="114300">
                  <wp:extent cx="4066540" cy="510540"/>
                  <wp:effectExtent l="0" t="0" r="10160" b="381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21"/>
                          <a:stretch>
                            <a:fillRect/>
                          </a:stretch>
                        </pic:blipFill>
                        <pic:spPr>
                          <a:xfrm>
                            <a:off x="0" y="0"/>
                            <a:ext cx="4066540" cy="510540"/>
                          </a:xfrm>
                          <a:prstGeom prst="rect">
                            <a:avLst/>
                          </a:prstGeom>
                          <a:noFill/>
                          <a:ln>
                            <a:noFill/>
                          </a:ln>
                        </pic:spPr>
                      </pic:pic>
                    </a:graphicData>
                  </a:graphic>
                </wp:inline>
              </w:drawing>
            </w:r>
          </w:p>
          <w:p w14:paraId="13CA984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aps w:val="0"/>
                <w:smallCaps w:val="0"/>
                <w:color w:val="auto"/>
                <w:spacing w:val="0"/>
                <w:w w:val="100"/>
                <w:kern w:val="0"/>
                <w:position w:val="0"/>
                <w:sz w:val="24"/>
                <w:szCs w:val="24"/>
                <w:vertAlign w:val="subscript"/>
              </w:rPr>
            </w:pPr>
            <w:r>
              <w:rPr>
                <w:rFonts w:hint="default" w:ascii="Times New Roman" w:hAnsi="Times New Roman" w:eastAsia="宋体" w:cs="Times New Roman"/>
                <w:caps w:val="0"/>
                <w:smallCaps w:val="0"/>
                <w:color w:val="auto"/>
                <w:spacing w:val="0"/>
                <w:w w:val="100"/>
                <w:kern w:val="0"/>
                <w:position w:val="0"/>
                <w:sz w:val="24"/>
                <w:szCs w:val="24"/>
              </w:rPr>
              <w:t>式中：L</w:t>
            </w:r>
            <w:r>
              <w:rPr>
                <w:rFonts w:hint="default" w:ascii="Times New Roman" w:hAnsi="Times New Roman" w:eastAsia="宋体" w:cs="Times New Roman"/>
                <w:caps w:val="0"/>
                <w:smallCaps w:val="0"/>
                <w:color w:val="auto"/>
                <w:spacing w:val="0"/>
                <w:w w:val="100"/>
                <w:kern w:val="0"/>
                <w:position w:val="0"/>
                <w:sz w:val="24"/>
                <w:szCs w:val="24"/>
                <w:vertAlign w:val="subscript"/>
              </w:rPr>
              <w:t>eqg</w:t>
            </w:r>
            <w:r>
              <w:rPr>
                <w:rFonts w:hint="default" w:ascii="Times New Roman" w:hAnsi="Times New Roman" w:eastAsia="宋体" w:cs="Times New Roman"/>
                <w:caps w:val="0"/>
                <w:smallCaps w:val="0"/>
                <w:color w:val="auto"/>
                <w:spacing w:val="0"/>
                <w:w w:val="100"/>
                <w:kern w:val="0"/>
                <w:position w:val="0"/>
                <w:sz w:val="24"/>
                <w:szCs w:val="24"/>
              </w:rPr>
              <w:t>——建设项目声源在预测点产生的噪声贡献值，dB；</w:t>
            </w:r>
          </w:p>
          <w:p w14:paraId="15B7699A">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jc w:val="both"/>
              <w:textAlignment w:val="auto"/>
              <w:rPr>
                <w:rFonts w:hint="default" w:ascii="Times New Roman" w:hAnsi="Times New Roman" w:eastAsia="宋体" w:cs="Times New Roman"/>
                <w:caps w:val="0"/>
                <w:smallCaps w:val="0"/>
                <w:color w:val="auto"/>
                <w:spacing w:val="0"/>
                <w:w w:val="100"/>
                <w:kern w:val="0"/>
                <w:position w:val="0"/>
                <w:sz w:val="24"/>
                <w:szCs w:val="24"/>
              </w:rPr>
            </w:pPr>
            <w:r>
              <w:rPr>
                <w:rFonts w:hint="default" w:ascii="Times New Roman" w:hAnsi="Times New Roman" w:eastAsia="宋体" w:cs="Times New Roman"/>
                <w:caps w:val="0"/>
                <w:smallCaps w:val="0"/>
                <w:color w:val="auto"/>
                <w:spacing w:val="0"/>
                <w:w w:val="100"/>
                <w:kern w:val="0"/>
                <w:position w:val="0"/>
                <w:sz w:val="24"/>
                <w:szCs w:val="24"/>
              </w:rPr>
              <w:t>T——用于计算等效声级的时间，s；</w:t>
            </w:r>
          </w:p>
          <w:p w14:paraId="29BEDDD3">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jc w:val="both"/>
              <w:textAlignment w:val="auto"/>
              <w:rPr>
                <w:rFonts w:hint="default" w:ascii="Times New Roman" w:hAnsi="Times New Roman" w:eastAsia="宋体" w:cs="Times New Roman"/>
                <w:caps w:val="0"/>
                <w:smallCaps w:val="0"/>
                <w:color w:val="auto"/>
                <w:spacing w:val="0"/>
                <w:w w:val="100"/>
                <w:kern w:val="0"/>
                <w:position w:val="0"/>
                <w:sz w:val="24"/>
                <w:szCs w:val="24"/>
                <w:lang w:eastAsia="zh-CN"/>
              </w:rPr>
            </w:pPr>
            <w:r>
              <w:rPr>
                <w:rFonts w:hint="default" w:ascii="Times New Roman" w:hAnsi="Times New Roman" w:eastAsia="宋体" w:cs="Times New Roman"/>
                <w:caps w:val="0"/>
                <w:smallCaps w:val="0"/>
                <w:color w:val="auto"/>
                <w:spacing w:val="0"/>
                <w:w w:val="100"/>
                <w:kern w:val="0"/>
                <w:position w:val="0"/>
                <w:sz w:val="24"/>
                <w:szCs w:val="24"/>
              </w:rPr>
              <w:t>N——室外声源个数</w:t>
            </w:r>
            <w:r>
              <w:rPr>
                <w:rFonts w:hint="default" w:ascii="Times New Roman" w:hAnsi="Times New Roman" w:eastAsia="宋体" w:cs="Times New Roman"/>
                <w:caps w:val="0"/>
                <w:smallCaps w:val="0"/>
                <w:color w:val="auto"/>
                <w:spacing w:val="0"/>
                <w:w w:val="100"/>
                <w:kern w:val="0"/>
                <w:position w:val="0"/>
                <w:sz w:val="24"/>
                <w:szCs w:val="24"/>
                <w:lang w:eastAsia="zh-CN"/>
              </w:rPr>
              <w:t>；</w:t>
            </w:r>
          </w:p>
          <w:p w14:paraId="5BFA9AE2">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jc w:val="both"/>
              <w:textAlignment w:val="auto"/>
              <w:rPr>
                <w:rFonts w:hint="default" w:ascii="Times New Roman" w:hAnsi="Times New Roman" w:eastAsia="宋体" w:cs="Times New Roman"/>
                <w:caps w:val="0"/>
                <w:smallCaps w:val="0"/>
                <w:color w:val="auto"/>
                <w:spacing w:val="0"/>
                <w:w w:val="100"/>
                <w:kern w:val="0"/>
                <w:position w:val="0"/>
                <w:sz w:val="24"/>
                <w:szCs w:val="24"/>
              </w:rPr>
            </w:pPr>
            <w:r>
              <w:rPr>
                <w:rFonts w:hint="default" w:ascii="Times New Roman" w:hAnsi="Times New Roman" w:eastAsia="宋体" w:cs="Times New Roman"/>
                <w:caps w:val="0"/>
                <w:smallCaps w:val="0"/>
                <w:color w:val="auto"/>
                <w:spacing w:val="0"/>
                <w:w w:val="100"/>
                <w:kern w:val="0"/>
                <w:position w:val="0"/>
                <w:sz w:val="24"/>
                <w:szCs w:val="24"/>
              </w:rPr>
              <w:t xml:space="preserve">t </w:t>
            </w:r>
            <w:r>
              <w:rPr>
                <w:rFonts w:hint="default" w:ascii="Times New Roman" w:hAnsi="Times New Roman" w:eastAsia="宋体" w:cs="Times New Roman"/>
                <w:caps w:val="0"/>
                <w:smallCaps w:val="0"/>
                <w:color w:val="auto"/>
                <w:spacing w:val="0"/>
                <w:w w:val="100"/>
                <w:kern w:val="0"/>
                <w:position w:val="0"/>
                <w:sz w:val="24"/>
                <w:szCs w:val="24"/>
                <w:vertAlign w:val="subscript"/>
                <w:lang w:val="en-US" w:eastAsia="zh-CN"/>
              </w:rPr>
              <w:t>i</w:t>
            </w:r>
            <w:r>
              <w:rPr>
                <w:rFonts w:hint="default" w:ascii="Times New Roman" w:hAnsi="Times New Roman" w:eastAsia="宋体" w:cs="Times New Roman"/>
                <w:caps w:val="0"/>
                <w:smallCaps w:val="0"/>
                <w:color w:val="auto"/>
                <w:spacing w:val="0"/>
                <w:w w:val="100"/>
                <w:kern w:val="0"/>
                <w:position w:val="0"/>
                <w:sz w:val="24"/>
                <w:szCs w:val="24"/>
              </w:rPr>
              <w:t>——在T时间内i声源工作时间，s；</w:t>
            </w:r>
          </w:p>
          <w:p w14:paraId="0D9164C2">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jc w:val="both"/>
              <w:textAlignment w:val="auto"/>
              <w:rPr>
                <w:rFonts w:hint="default" w:ascii="Times New Roman" w:hAnsi="Times New Roman" w:eastAsia="宋体" w:cs="Times New Roman"/>
                <w:caps w:val="0"/>
                <w:smallCaps w:val="0"/>
                <w:color w:val="auto"/>
                <w:spacing w:val="0"/>
                <w:w w:val="100"/>
                <w:kern w:val="0"/>
                <w:position w:val="0"/>
                <w:sz w:val="24"/>
                <w:szCs w:val="24"/>
                <w:lang w:eastAsia="zh-CN"/>
              </w:rPr>
            </w:pPr>
            <w:r>
              <w:rPr>
                <w:rFonts w:hint="default" w:ascii="Times New Roman" w:hAnsi="Times New Roman" w:eastAsia="宋体" w:cs="Times New Roman"/>
                <w:caps w:val="0"/>
                <w:smallCaps w:val="0"/>
                <w:color w:val="auto"/>
                <w:spacing w:val="0"/>
                <w:w w:val="100"/>
                <w:kern w:val="0"/>
                <w:position w:val="0"/>
                <w:sz w:val="24"/>
                <w:szCs w:val="24"/>
              </w:rPr>
              <w:t>M——等效室外声源个数</w:t>
            </w:r>
            <w:r>
              <w:rPr>
                <w:rFonts w:hint="default" w:ascii="Times New Roman" w:hAnsi="Times New Roman" w:eastAsia="宋体" w:cs="Times New Roman"/>
                <w:caps w:val="0"/>
                <w:smallCaps w:val="0"/>
                <w:color w:val="auto"/>
                <w:spacing w:val="0"/>
                <w:w w:val="100"/>
                <w:kern w:val="0"/>
                <w:position w:val="0"/>
                <w:sz w:val="24"/>
                <w:szCs w:val="24"/>
                <w:lang w:eastAsia="zh-CN"/>
              </w:rPr>
              <w:t>；</w:t>
            </w:r>
          </w:p>
          <w:p w14:paraId="0427E1F7">
            <w:pPr>
              <w:keepNext w:val="0"/>
              <w:keepLines w:val="0"/>
              <w:pageBreakBefore w:val="0"/>
              <w:widowControl w:val="0"/>
              <w:kinsoku/>
              <w:wordWrap/>
              <w:overflowPunct/>
              <w:topLinePunct w:val="0"/>
              <w:autoSpaceDE/>
              <w:autoSpaceDN/>
              <w:bidi w:val="0"/>
              <w:adjustRightInd w:val="0"/>
              <w:snapToGrid w:val="0"/>
              <w:spacing w:line="360" w:lineRule="auto"/>
              <w:ind w:firstLine="1200" w:firstLineChars="500"/>
              <w:jc w:val="both"/>
              <w:textAlignment w:val="auto"/>
              <w:rPr>
                <w:rFonts w:hint="default" w:ascii="Times New Roman" w:hAnsi="Times New Roman" w:eastAsia="宋体" w:cs="Times New Roman"/>
                <w:caps w:val="0"/>
                <w:smallCaps w:val="0"/>
                <w:color w:val="auto"/>
                <w:spacing w:val="0"/>
                <w:w w:val="100"/>
                <w:kern w:val="0"/>
                <w:position w:val="0"/>
                <w:sz w:val="24"/>
                <w:szCs w:val="24"/>
              </w:rPr>
            </w:pPr>
            <w:r>
              <w:rPr>
                <w:rFonts w:hint="default" w:ascii="Times New Roman" w:hAnsi="Times New Roman" w:eastAsia="宋体" w:cs="Times New Roman"/>
                <w:caps w:val="0"/>
                <w:smallCaps w:val="0"/>
                <w:color w:val="auto"/>
                <w:spacing w:val="0"/>
                <w:w w:val="100"/>
                <w:kern w:val="0"/>
                <w:position w:val="0"/>
                <w:sz w:val="24"/>
                <w:szCs w:val="24"/>
              </w:rPr>
              <w:t>t</w:t>
            </w:r>
            <w:r>
              <w:rPr>
                <w:rFonts w:hint="default" w:ascii="Times New Roman" w:hAnsi="Times New Roman" w:eastAsia="宋体" w:cs="Times New Roman"/>
                <w:caps w:val="0"/>
                <w:smallCaps w:val="0"/>
                <w:color w:val="auto"/>
                <w:spacing w:val="0"/>
                <w:w w:val="100"/>
                <w:kern w:val="0"/>
                <w:position w:val="0"/>
                <w:sz w:val="24"/>
                <w:szCs w:val="24"/>
                <w:vertAlign w:val="subscript"/>
                <w:lang w:val="en-US" w:eastAsia="zh-CN"/>
              </w:rPr>
              <w:t>j</w:t>
            </w:r>
            <w:r>
              <w:rPr>
                <w:rFonts w:hint="default" w:ascii="Times New Roman" w:hAnsi="Times New Roman" w:eastAsia="宋体" w:cs="Times New Roman"/>
                <w:caps w:val="0"/>
                <w:smallCaps w:val="0"/>
                <w:color w:val="auto"/>
                <w:spacing w:val="0"/>
                <w:w w:val="100"/>
                <w:kern w:val="0"/>
                <w:position w:val="0"/>
                <w:sz w:val="24"/>
                <w:szCs w:val="24"/>
              </w:rPr>
              <w:t>——在T时间内j声源工作时间，s。</w:t>
            </w:r>
          </w:p>
          <w:p w14:paraId="1BF19DAF">
            <w:pPr>
              <w:keepNext w:val="0"/>
              <w:keepLines w:val="0"/>
              <w:pageBreakBefore w:val="0"/>
              <w:widowControl w:val="0"/>
              <w:tabs>
                <w:tab w:val="left" w:pos="1219"/>
              </w:tabs>
              <w:kinsoku/>
              <w:wordWrap/>
              <w:overflowPunct/>
              <w:topLinePunct w:val="0"/>
              <w:autoSpaceDE w:val="0"/>
              <w:autoSpaceDN w:val="0"/>
              <w:bidi w:val="0"/>
              <w:adjustRightInd w:val="0"/>
              <w:snapToGrid w:val="0"/>
              <w:spacing w:line="360" w:lineRule="auto"/>
              <w:ind w:right="193" w:firstLine="436" w:firstLineChars="182"/>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⑦预测结果</w:t>
            </w:r>
          </w:p>
          <w:p w14:paraId="1CCE5B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olor w:val="auto"/>
                <w:sz w:val="24"/>
                <w:szCs w:val="24"/>
                <w:lang w:eastAsia="zh-CN"/>
              </w:rPr>
            </w:pPr>
            <w:r>
              <w:rPr>
                <w:rFonts w:hint="eastAsia"/>
                <w:color w:val="auto"/>
                <w:sz w:val="24"/>
                <w:szCs w:val="24"/>
                <w:lang w:eastAsia="zh-CN"/>
              </w:rPr>
              <w:t>根据噪声源衰减计算程序，</w:t>
            </w:r>
            <w:r>
              <w:rPr>
                <w:rFonts w:hint="eastAsia"/>
                <w:color w:val="auto"/>
                <w:sz w:val="24"/>
                <w:szCs w:val="24"/>
              </w:rPr>
              <w:t>预测结果详见下表</w:t>
            </w:r>
            <w:r>
              <w:rPr>
                <w:rFonts w:hint="eastAsia"/>
                <w:color w:val="auto"/>
                <w:sz w:val="24"/>
                <w:szCs w:val="24"/>
                <w:lang w:eastAsia="zh-CN"/>
              </w:rPr>
              <w:t>。</w:t>
            </w:r>
          </w:p>
          <w:p w14:paraId="035DFA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b/>
                <w:bCs/>
                <w:snapToGrid/>
                <w:color w:val="auto"/>
                <w:spacing w:val="0"/>
                <w:kern w:val="0"/>
                <w:position w:val="0"/>
                <w:sz w:val="24"/>
                <w:szCs w:val="24"/>
                <w:lang w:val="en-US" w:eastAsia="zh-CN"/>
              </w:rPr>
            </w:pPr>
            <w:r>
              <w:rPr>
                <w:rFonts w:hint="eastAsia" w:ascii="Times New Roman" w:hAnsi="Times New Roman" w:eastAsia="宋体" w:cs="Times New Roman"/>
                <w:b/>
                <w:bCs/>
                <w:snapToGrid/>
                <w:color w:val="auto"/>
                <w:spacing w:val="0"/>
                <w:kern w:val="0"/>
                <w:position w:val="0"/>
                <w:sz w:val="24"/>
                <w:szCs w:val="24"/>
                <w:lang w:eastAsia="zh-CN"/>
              </w:rPr>
              <w:t>表</w:t>
            </w:r>
            <w:r>
              <w:rPr>
                <w:rFonts w:hint="eastAsia" w:ascii="Times New Roman" w:hAnsi="Times New Roman" w:eastAsia="宋体" w:cs="Times New Roman"/>
                <w:b/>
                <w:bCs/>
                <w:snapToGrid/>
                <w:color w:val="auto"/>
                <w:spacing w:val="0"/>
                <w:kern w:val="0"/>
                <w:position w:val="0"/>
                <w:sz w:val="24"/>
                <w:szCs w:val="24"/>
                <w:lang w:val="en-US" w:eastAsia="zh-CN"/>
              </w:rPr>
              <w:t>4.</w:t>
            </w:r>
            <w:r>
              <w:rPr>
                <w:rFonts w:hint="eastAsia" w:cs="Times New Roman"/>
                <w:b/>
                <w:bCs/>
                <w:snapToGrid/>
                <w:color w:val="auto"/>
                <w:spacing w:val="0"/>
                <w:kern w:val="0"/>
                <w:position w:val="0"/>
                <w:sz w:val="24"/>
                <w:szCs w:val="24"/>
                <w:lang w:val="en-US" w:eastAsia="zh-CN"/>
              </w:rPr>
              <w:t>11</w:t>
            </w:r>
            <w:r>
              <w:rPr>
                <w:rFonts w:hint="eastAsia" w:ascii="Times New Roman" w:hAnsi="Times New Roman" w:eastAsia="宋体" w:cs="Times New Roman"/>
                <w:b/>
                <w:bCs/>
                <w:snapToGrid/>
                <w:color w:val="auto"/>
                <w:spacing w:val="0"/>
                <w:kern w:val="0"/>
                <w:position w:val="0"/>
                <w:sz w:val="24"/>
                <w:szCs w:val="24"/>
                <w:lang w:val="en-US" w:eastAsia="zh-CN"/>
              </w:rPr>
              <w:t xml:space="preserve">  </w:t>
            </w:r>
            <w:r>
              <w:rPr>
                <w:rFonts w:hint="eastAsia"/>
                <w:b/>
                <w:bCs/>
                <w:snapToGrid/>
                <w:color w:val="auto"/>
                <w:spacing w:val="0"/>
                <w:kern w:val="0"/>
                <w:position w:val="0"/>
                <w:sz w:val="24"/>
              </w:rPr>
              <w:t>厂界噪声预测结果一览表</w:t>
            </w:r>
            <w:r>
              <w:rPr>
                <w:rFonts w:hint="eastAsia"/>
                <w:b/>
                <w:bCs/>
                <w:snapToGrid/>
                <w:color w:val="auto"/>
                <w:spacing w:val="0"/>
                <w:kern w:val="0"/>
                <w:position w:val="0"/>
                <w:sz w:val="24"/>
                <w:lang w:val="en-US" w:eastAsia="zh-CN"/>
              </w:rPr>
              <w:t xml:space="preserve"> 单位：dB（A）</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821"/>
              <w:gridCol w:w="821"/>
              <w:gridCol w:w="820"/>
              <w:gridCol w:w="823"/>
              <w:gridCol w:w="821"/>
              <w:gridCol w:w="821"/>
              <w:gridCol w:w="820"/>
              <w:gridCol w:w="823"/>
              <w:gridCol w:w="821"/>
            </w:tblGrid>
            <w:tr w14:paraId="35940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8" w:type="pct"/>
                  <w:vMerge w:val="restart"/>
                  <w:noWrap w:val="0"/>
                  <w:vAlign w:val="center"/>
                </w:tcPr>
                <w:p w14:paraId="270FCD9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厂界</w:t>
                  </w:r>
                </w:p>
              </w:tc>
              <w:tc>
                <w:tcPr>
                  <w:tcW w:w="1000" w:type="pct"/>
                  <w:gridSpan w:val="2"/>
                  <w:noWrap w:val="0"/>
                  <w:vAlign w:val="center"/>
                </w:tcPr>
                <w:p w14:paraId="30E0FB4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背景值</w:t>
                  </w:r>
                </w:p>
              </w:tc>
              <w:tc>
                <w:tcPr>
                  <w:tcW w:w="1000" w:type="pct"/>
                  <w:gridSpan w:val="2"/>
                  <w:noWrap w:val="0"/>
                  <w:vAlign w:val="center"/>
                </w:tcPr>
                <w:p w14:paraId="1C7AF0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贡献值</w:t>
                  </w:r>
                </w:p>
              </w:tc>
              <w:tc>
                <w:tcPr>
                  <w:tcW w:w="1000" w:type="pct"/>
                  <w:gridSpan w:val="2"/>
                  <w:noWrap w:val="0"/>
                  <w:vAlign w:val="center"/>
                </w:tcPr>
                <w:p w14:paraId="4842071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预测值</w:t>
                  </w:r>
                </w:p>
              </w:tc>
              <w:tc>
                <w:tcPr>
                  <w:tcW w:w="1000" w:type="pct"/>
                  <w:gridSpan w:val="2"/>
                  <w:noWrap w:val="0"/>
                  <w:vAlign w:val="center"/>
                </w:tcPr>
                <w:p w14:paraId="48C805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评价标准</w:t>
                  </w:r>
                </w:p>
              </w:tc>
              <w:tc>
                <w:tcPr>
                  <w:tcW w:w="500" w:type="pct"/>
                  <w:vMerge w:val="restart"/>
                  <w:noWrap w:val="0"/>
                  <w:vAlign w:val="center"/>
                </w:tcPr>
                <w:p w14:paraId="7CB31B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达标情况</w:t>
                  </w:r>
                </w:p>
              </w:tc>
            </w:tr>
            <w:tr w14:paraId="19433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8" w:type="pct"/>
                  <w:vMerge w:val="continue"/>
                  <w:noWrap w:val="0"/>
                  <w:vAlign w:val="center"/>
                </w:tcPr>
                <w:p w14:paraId="2EA06E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p>
              </w:tc>
              <w:tc>
                <w:tcPr>
                  <w:tcW w:w="500" w:type="pct"/>
                  <w:noWrap w:val="0"/>
                  <w:vAlign w:val="center"/>
                </w:tcPr>
                <w:p w14:paraId="6A425A2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昼间</w:t>
                  </w:r>
                </w:p>
              </w:tc>
              <w:tc>
                <w:tcPr>
                  <w:tcW w:w="500" w:type="pct"/>
                  <w:noWrap w:val="0"/>
                  <w:vAlign w:val="center"/>
                </w:tcPr>
                <w:p w14:paraId="41E6C5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夜间</w:t>
                  </w:r>
                </w:p>
              </w:tc>
              <w:tc>
                <w:tcPr>
                  <w:tcW w:w="499" w:type="pct"/>
                  <w:noWrap w:val="0"/>
                  <w:vAlign w:val="center"/>
                </w:tcPr>
                <w:p w14:paraId="0AFFB1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昼间</w:t>
                  </w:r>
                </w:p>
              </w:tc>
              <w:tc>
                <w:tcPr>
                  <w:tcW w:w="501" w:type="pct"/>
                  <w:noWrap w:val="0"/>
                  <w:vAlign w:val="center"/>
                </w:tcPr>
                <w:p w14:paraId="122A7AA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夜间</w:t>
                  </w:r>
                </w:p>
              </w:tc>
              <w:tc>
                <w:tcPr>
                  <w:tcW w:w="500" w:type="pct"/>
                  <w:noWrap w:val="0"/>
                  <w:vAlign w:val="center"/>
                </w:tcPr>
                <w:p w14:paraId="39C0204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昼间</w:t>
                  </w:r>
                </w:p>
              </w:tc>
              <w:tc>
                <w:tcPr>
                  <w:tcW w:w="500" w:type="pct"/>
                  <w:noWrap w:val="0"/>
                  <w:vAlign w:val="center"/>
                </w:tcPr>
                <w:p w14:paraId="783621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夜间</w:t>
                  </w:r>
                </w:p>
              </w:tc>
              <w:tc>
                <w:tcPr>
                  <w:tcW w:w="499" w:type="pct"/>
                  <w:noWrap w:val="0"/>
                  <w:vAlign w:val="center"/>
                </w:tcPr>
                <w:p w14:paraId="160FC6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昼间</w:t>
                  </w:r>
                </w:p>
              </w:tc>
              <w:tc>
                <w:tcPr>
                  <w:tcW w:w="501" w:type="pct"/>
                  <w:noWrap w:val="0"/>
                  <w:vAlign w:val="center"/>
                </w:tcPr>
                <w:p w14:paraId="1AD6C26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夜间</w:t>
                  </w:r>
                </w:p>
              </w:tc>
              <w:tc>
                <w:tcPr>
                  <w:tcW w:w="500" w:type="pct"/>
                  <w:vMerge w:val="continue"/>
                  <w:noWrap w:val="0"/>
                  <w:vAlign w:val="center"/>
                </w:tcPr>
                <w:p w14:paraId="314A95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p>
              </w:tc>
            </w:tr>
            <w:tr w14:paraId="641A3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98" w:type="pct"/>
                  <w:noWrap w:val="0"/>
                  <w:vAlign w:val="center"/>
                </w:tcPr>
                <w:p w14:paraId="391123D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厂界东侧</w:t>
                  </w:r>
                </w:p>
              </w:tc>
              <w:tc>
                <w:tcPr>
                  <w:tcW w:w="500" w:type="pct"/>
                  <w:noWrap w:val="0"/>
                  <w:vAlign w:val="center"/>
                </w:tcPr>
                <w:p w14:paraId="1F4A279E">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57</w:t>
                  </w:r>
                </w:p>
              </w:tc>
              <w:tc>
                <w:tcPr>
                  <w:tcW w:w="500" w:type="pct"/>
                  <w:noWrap w:val="0"/>
                  <w:vAlign w:val="center"/>
                </w:tcPr>
                <w:p w14:paraId="6BC85E39">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24AF3B3A">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highlight w:val="none"/>
                      <w:lang w:val="en-US" w:eastAsia="zh-CN" w:bidi="ar-SA"/>
                    </w:rPr>
                  </w:pPr>
                  <w:r>
                    <w:rPr>
                      <w:rFonts w:hint="eastAsia" w:eastAsia="宋体" w:cs="Times New Roman"/>
                      <w:snapToGrid/>
                      <w:color w:val="auto"/>
                      <w:spacing w:val="0"/>
                      <w:kern w:val="0"/>
                      <w:position w:val="0"/>
                      <w:sz w:val="21"/>
                      <w:szCs w:val="21"/>
                      <w:highlight w:val="none"/>
                      <w:lang w:val="en-US" w:eastAsia="zh-CN" w:bidi="ar-SA"/>
                    </w:rPr>
                    <w:t>54</w:t>
                  </w:r>
                </w:p>
              </w:tc>
              <w:tc>
                <w:tcPr>
                  <w:tcW w:w="501" w:type="pct"/>
                  <w:noWrap w:val="0"/>
                  <w:vAlign w:val="center"/>
                </w:tcPr>
                <w:p w14:paraId="7A9D3116">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w:t>
                  </w:r>
                </w:p>
              </w:tc>
              <w:tc>
                <w:tcPr>
                  <w:tcW w:w="500" w:type="pct"/>
                  <w:noWrap w:val="0"/>
                  <w:vAlign w:val="center"/>
                </w:tcPr>
                <w:p w14:paraId="7E9501EC">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58</w:t>
                  </w:r>
                </w:p>
              </w:tc>
              <w:tc>
                <w:tcPr>
                  <w:tcW w:w="500" w:type="pct"/>
                  <w:noWrap w:val="0"/>
                  <w:vAlign w:val="center"/>
                </w:tcPr>
                <w:p w14:paraId="7A20317B">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59953C30">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黑体" w:cs="Times New Roman"/>
                      <w:snapToGrid/>
                      <w:color w:val="auto"/>
                      <w:spacing w:val="0"/>
                      <w:kern w:val="0"/>
                      <w:position w:val="0"/>
                      <w:sz w:val="21"/>
                      <w:szCs w:val="21"/>
                      <w:lang w:val="en-US" w:eastAsia="zh-CN"/>
                    </w:rPr>
                    <w:t>6</w:t>
                  </w:r>
                  <w:r>
                    <w:rPr>
                      <w:rFonts w:hint="eastAsia" w:ascii="Times New Roman" w:hAnsi="Times New Roman" w:eastAsia="黑体" w:cs="Times New Roman"/>
                      <w:snapToGrid/>
                      <w:color w:val="auto"/>
                      <w:spacing w:val="0"/>
                      <w:kern w:val="0"/>
                      <w:position w:val="0"/>
                      <w:sz w:val="21"/>
                      <w:szCs w:val="21"/>
                      <w:lang w:val="en-US" w:eastAsia="zh-CN"/>
                    </w:rPr>
                    <w:t>5</w:t>
                  </w:r>
                </w:p>
              </w:tc>
              <w:tc>
                <w:tcPr>
                  <w:tcW w:w="501" w:type="pct"/>
                  <w:noWrap w:val="0"/>
                  <w:vAlign w:val="center"/>
                </w:tcPr>
                <w:p w14:paraId="72EC22BA">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cs="Times New Roman"/>
                      <w:snapToGrid/>
                      <w:color w:val="auto"/>
                      <w:spacing w:val="0"/>
                      <w:kern w:val="0"/>
                      <w:position w:val="0"/>
                      <w:sz w:val="21"/>
                      <w:szCs w:val="21"/>
                      <w:lang w:val="en-US" w:eastAsia="zh-CN"/>
                    </w:rPr>
                    <w:t>55</w:t>
                  </w:r>
                </w:p>
              </w:tc>
              <w:tc>
                <w:tcPr>
                  <w:tcW w:w="500" w:type="pct"/>
                  <w:noWrap w:val="0"/>
                  <w:vAlign w:val="center"/>
                </w:tcPr>
                <w:p w14:paraId="6E04F07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达标</w:t>
                  </w:r>
                </w:p>
              </w:tc>
            </w:tr>
            <w:tr w14:paraId="3BC0C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8" w:type="pct"/>
                  <w:noWrap w:val="0"/>
                  <w:vAlign w:val="center"/>
                </w:tcPr>
                <w:p w14:paraId="1873B2D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厂界南侧</w:t>
                  </w:r>
                </w:p>
              </w:tc>
              <w:tc>
                <w:tcPr>
                  <w:tcW w:w="500" w:type="pct"/>
                  <w:noWrap w:val="0"/>
                  <w:vAlign w:val="center"/>
                </w:tcPr>
                <w:p w14:paraId="3C430E7D">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56</w:t>
                  </w:r>
                </w:p>
              </w:tc>
              <w:tc>
                <w:tcPr>
                  <w:tcW w:w="500" w:type="pct"/>
                  <w:noWrap w:val="0"/>
                  <w:vAlign w:val="center"/>
                </w:tcPr>
                <w:p w14:paraId="2811276F">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302DFF68">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highlight w:val="none"/>
                      <w:lang w:val="en-US" w:eastAsia="zh-CN" w:bidi="ar-SA"/>
                    </w:rPr>
                  </w:pPr>
                  <w:r>
                    <w:rPr>
                      <w:rFonts w:hint="eastAsia" w:eastAsia="宋体" w:cs="Times New Roman"/>
                      <w:snapToGrid/>
                      <w:color w:val="auto"/>
                      <w:spacing w:val="0"/>
                      <w:kern w:val="0"/>
                      <w:position w:val="0"/>
                      <w:sz w:val="21"/>
                      <w:szCs w:val="21"/>
                      <w:highlight w:val="none"/>
                      <w:lang w:val="en-US" w:eastAsia="zh-CN" w:bidi="ar-SA"/>
                    </w:rPr>
                    <w:t>55</w:t>
                  </w:r>
                </w:p>
              </w:tc>
              <w:tc>
                <w:tcPr>
                  <w:tcW w:w="501" w:type="pct"/>
                  <w:noWrap w:val="0"/>
                  <w:vAlign w:val="center"/>
                </w:tcPr>
                <w:p w14:paraId="0D7EFB64">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w:t>
                  </w:r>
                </w:p>
              </w:tc>
              <w:tc>
                <w:tcPr>
                  <w:tcW w:w="500" w:type="pct"/>
                  <w:noWrap w:val="0"/>
                  <w:vAlign w:val="center"/>
                </w:tcPr>
                <w:p w14:paraId="64498A72">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58</w:t>
                  </w:r>
                </w:p>
              </w:tc>
              <w:tc>
                <w:tcPr>
                  <w:tcW w:w="500" w:type="pct"/>
                  <w:noWrap w:val="0"/>
                  <w:vAlign w:val="center"/>
                </w:tcPr>
                <w:p w14:paraId="6C8DA98E">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7EC45BB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黑体" w:cs="Times New Roman"/>
                      <w:snapToGrid/>
                      <w:color w:val="auto"/>
                      <w:spacing w:val="0"/>
                      <w:kern w:val="0"/>
                      <w:position w:val="0"/>
                      <w:sz w:val="21"/>
                      <w:szCs w:val="21"/>
                      <w:lang w:val="en-US" w:eastAsia="zh-CN"/>
                    </w:rPr>
                    <w:t>6</w:t>
                  </w:r>
                  <w:r>
                    <w:rPr>
                      <w:rFonts w:hint="eastAsia" w:ascii="Times New Roman" w:hAnsi="Times New Roman" w:eastAsia="黑体" w:cs="Times New Roman"/>
                      <w:snapToGrid/>
                      <w:color w:val="auto"/>
                      <w:spacing w:val="0"/>
                      <w:kern w:val="0"/>
                      <w:position w:val="0"/>
                      <w:sz w:val="21"/>
                      <w:szCs w:val="21"/>
                      <w:lang w:val="en-US" w:eastAsia="zh-CN"/>
                    </w:rPr>
                    <w:t>5</w:t>
                  </w:r>
                </w:p>
              </w:tc>
              <w:tc>
                <w:tcPr>
                  <w:tcW w:w="501" w:type="pct"/>
                  <w:noWrap w:val="0"/>
                  <w:vAlign w:val="center"/>
                </w:tcPr>
                <w:p w14:paraId="107629F2">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cs="Times New Roman"/>
                      <w:snapToGrid/>
                      <w:color w:val="auto"/>
                      <w:spacing w:val="0"/>
                      <w:kern w:val="0"/>
                      <w:position w:val="0"/>
                      <w:sz w:val="21"/>
                      <w:szCs w:val="21"/>
                      <w:lang w:val="en-US" w:eastAsia="zh-CN"/>
                    </w:rPr>
                    <w:t>55</w:t>
                  </w:r>
                </w:p>
              </w:tc>
              <w:tc>
                <w:tcPr>
                  <w:tcW w:w="500" w:type="pct"/>
                  <w:noWrap w:val="0"/>
                  <w:vAlign w:val="center"/>
                </w:tcPr>
                <w:p w14:paraId="47CAE48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达标</w:t>
                  </w:r>
                </w:p>
              </w:tc>
            </w:tr>
            <w:tr w14:paraId="7A0E0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8" w:type="pct"/>
                  <w:noWrap w:val="0"/>
                  <w:vAlign w:val="center"/>
                </w:tcPr>
                <w:p w14:paraId="45D5AE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厂界西侧</w:t>
                  </w:r>
                </w:p>
              </w:tc>
              <w:tc>
                <w:tcPr>
                  <w:tcW w:w="500" w:type="pct"/>
                  <w:noWrap w:val="0"/>
                  <w:vAlign w:val="center"/>
                </w:tcPr>
                <w:p w14:paraId="2A82524A">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46</w:t>
                  </w:r>
                </w:p>
              </w:tc>
              <w:tc>
                <w:tcPr>
                  <w:tcW w:w="500" w:type="pct"/>
                  <w:noWrap w:val="0"/>
                  <w:vAlign w:val="center"/>
                </w:tcPr>
                <w:p w14:paraId="5597306F">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6D9B578A">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highlight w:val="none"/>
                      <w:lang w:val="en-US" w:eastAsia="zh-CN" w:bidi="ar-SA"/>
                    </w:rPr>
                  </w:pPr>
                  <w:r>
                    <w:rPr>
                      <w:rFonts w:hint="eastAsia" w:eastAsia="宋体" w:cs="Times New Roman"/>
                      <w:snapToGrid/>
                      <w:color w:val="auto"/>
                      <w:spacing w:val="0"/>
                      <w:kern w:val="0"/>
                      <w:position w:val="0"/>
                      <w:sz w:val="21"/>
                      <w:szCs w:val="21"/>
                      <w:highlight w:val="none"/>
                      <w:lang w:val="en-US" w:eastAsia="zh-CN" w:bidi="ar-SA"/>
                    </w:rPr>
                    <w:t>50</w:t>
                  </w:r>
                </w:p>
              </w:tc>
              <w:tc>
                <w:tcPr>
                  <w:tcW w:w="501" w:type="pct"/>
                  <w:noWrap w:val="0"/>
                  <w:vAlign w:val="center"/>
                </w:tcPr>
                <w:p w14:paraId="4755F4BB">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w:t>
                  </w:r>
                </w:p>
              </w:tc>
              <w:tc>
                <w:tcPr>
                  <w:tcW w:w="500" w:type="pct"/>
                  <w:noWrap w:val="0"/>
                  <w:vAlign w:val="center"/>
                </w:tcPr>
                <w:p w14:paraId="3931C0F1">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51</w:t>
                  </w:r>
                </w:p>
              </w:tc>
              <w:tc>
                <w:tcPr>
                  <w:tcW w:w="500" w:type="pct"/>
                  <w:noWrap w:val="0"/>
                  <w:vAlign w:val="center"/>
                </w:tcPr>
                <w:p w14:paraId="67C0921F">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eastAsia"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7B0D0F6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黑体" w:cs="Times New Roman"/>
                      <w:snapToGrid/>
                      <w:color w:val="auto"/>
                      <w:spacing w:val="0"/>
                      <w:kern w:val="0"/>
                      <w:position w:val="0"/>
                      <w:sz w:val="21"/>
                      <w:szCs w:val="21"/>
                      <w:lang w:val="en-US" w:eastAsia="zh-CN"/>
                    </w:rPr>
                    <w:t>6</w:t>
                  </w:r>
                  <w:r>
                    <w:rPr>
                      <w:rFonts w:hint="eastAsia" w:ascii="Times New Roman" w:hAnsi="Times New Roman" w:eastAsia="黑体" w:cs="Times New Roman"/>
                      <w:snapToGrid/>
                      <w:color w:val="auto"/>
                      <w:spacing w:val="0"/>
                      <w:kern w:val="0"/>
                      <w:position w:val="0"/>
                      <w:sz w:val="21"/>
                      <w:szCs w:val="21"/>
                      <w:lang w:val="en-US" w:eastAsia="zh-CN"/>
                    </w:rPr>
                    <w:t>5</w:t>
                  </w:r>
                </w:p>
              </w:tc>
              <w:tc>
                <w:tcPr>
                  <w:tcW w:w="501" w:type="pct"/>
                  <w:noWrap w:val="0"/>
                  <w:vAlign w:val="center"/>
                </w:tcPr>
                <w:p w14:paraId="15A8E151">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cs="Times New Roman"/>
                      <w:snapToGrid/>
                      <w:color w:val="auto"/>
                      <w:spacing w:val="0"/>
                      <w:kern w:val="0"/>
                      <w:position w:val="0"/>
                      <w:sz w:val="21"/>
                      <w:szCs w:val="21"/>
                      <w:lang w:val="en-US" w:eastAsia="zh-CN"/>
                    </w:rPr>
                    <w:t>55</w:t>
                  </w:r>
                </w:p>
              </w:tc>
              <w:tc>
                <w:tcPr>
                  <w:tcW w:w="500" w:type="pct"/>
                  <w:noWrap w:val="0"/>
                  <w:vAlign w:val="center"/>
                </w:tcPr>
                <w:p w14:paraId="5FE03D7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达标</w:t>
                  </w:r>
                </w:p>
              </w:tc>
            </w:tr>
            <w:tr w14:paraId="62098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8" w:type="pct"/>
                  <w:noWrap w:val="0"/>
                  <w:vAlign w:val="center"/>
                </w:tcPr>
                <w:p w14:paraId="20CF29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厂界北侧</w:t>
                  </w:r>
                </w:p>
              </w:tc>
              <w:tc>
                <w:tcPr>
                  <w:tcW w:w="500" w:type="pct"/>
                  <w:noWrap w:val="0"/>
                  <w:vAlign w:val="center"/>
                </w:tcPr>
                <w:p w14:paraId="64088A19">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55</w:t>
                  </w:r>
                </w:p>
              </w:tc>
              <w:tc>
                <w:tcPr>
                  <w:tcW w:w="500" w:type="pct"/>
                  <w:noWrap w:val="0"/>
                  <w:vAlign w:val="center"/>
                </w:tcPr>
                <w:p w14:paraId="644B0B08">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3E3C6A7F">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highlight w:val="none"/>
                      <w:lang w:val="en-US" w:eastAsia="zh-CN" w:bidi="ar-SA"/>
                    </w:rPr>
                  </w:pPr>
                  <w:r>
                    <w:rPr>
                      <w:rFonts w:hint="eastAsia" w:eastAsia="宋体" w:cs="Times New Roman"/>
                      <w:snapToGrid/>
                      <w:color w:val="auto"/>
                      <w:spacing w:val="0"/>
                      <w:kern w:val="0"/>
                      <w:position w:val="0"/>
                      <w:sz w:val="21"/>
                      <w:szCs w:val="21"/>
                      <w:highlight w:val="none"/>
                      <w:lang w:val="en-US" w:eastAsia="zh-CN" w:bidi="ar-SA"/>
                    </w:rPr>
                    <w:t>50</w:t>
                  </w:r>
                </w:p>
              </w:tc>
              <w:tc>
                <w:tcPr>
                  <w:tcW w:w="501" w:type="pct"/>
                  <w:noWrap w:val="0"/>
                  <w:vAlign w:val="center"/>
                </w:tcPr>
                <w:p w14:paraId="4BB60CFD">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w:t>
                  </w:r>
                </w:p>
              </w:tc>
              <w:tc>
                <w:tcPr>
                  <w:tcW w:w="500" w:type="pct"/>
                  <w:noWrap w:val="0"/>
                  <w:vAlign w:val="center"/>
                </w:tcPr>
                <w:p w14:paraId="33F12B95">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56</w:t>
                  </w:r>
                </w:p>
              </w:tc>
              <w:tc>
                <w:tcPr>
                  <w:tcW w:w="500" w:type="pct"/>
                  <w:noWrap w:val="0"/>
                  <w:vAlign w:val="center"/>
                </w:tcPr>
                <w:p w14:paraId="6D000A75">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eastAsia"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5AF3349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黑体" w:cs="Times New Roman"/>
                      <w:snapToGrid/>
                      <w:color w:val="auto"/>
                      <w:spacing w:val="0"/>
                      <w:kern w:val="0"/>
                      <w:position w:val="0"/>
                      <w:sz w:val="21"/>
                      <w:szCs w:val="21"/>
                      <w:lang w:val="en-US" w:eastAsia="zh-CN"/>
                    </w:rPr>
                    <w:t>6</w:t>
                  </w:r>
                  <w:r>
                    <w:rPr>
                      <w:rFonts w:hint="eastAsia" w:ascii="Times New Roman" w:hAnsi="Times New Roman" w:eastAsia="黑体" w:cs="Times New Roman"/>
                      <w:snapToGrid/>
                      <w:color w:val="auto"/>
                      <w:spacing w:val="0"/>
                      <w:kern w:val="0"/>
                      <w:position w:val="0"/>
                      <w:sz w:val="21"/>
                      <w:szCs w:val="21"/>
                      <w:lang w:val="en-US" w:eastAsia="zh-CN"/>
                    </w:rPr>
                    <w:t>5</w:t>
                  </w:r>
                </w:p>
              </w:tc>
              <w:tc>
                <w:tcPr>
                  <w:tcW w:w="501" w:type="pct"/>
                  <w:noWrap w:val="0"/>
                  <w:vAlign w:val="center"/>
                </w:tcPr>
                <w:p w14:paraId="6F2C4ACF">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cs="Times New Roman"/>
                      <w:snapToGrid/>
                      <w:color w:val="auto"/>
                      <w:spacing w:val="0"/>
                      <w:kern w:val="0"/>
                      <w:position w:val="0"/>
                      <w:sz w:val="21"/>
                      <w:szCs w:val="21"/>
                      <w:lang w:val="en-US" w:eastAsia="zh-CN"/>
                    </w:rPr>
                    <w:t>55</w:t>
                  </w:r>
                </w:p>
              </w:tc>
              <w:tc>
                <w:tcPr>
                  <w:tcW w:w="500" w:type="pct"/>
                  <w:noWrap w:val="0"/>
                  <w:vAlign w:val="center"/>
                </w:tcPr>
                <w:p w14:paraId="5C341E3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default" w:ascii="Times New Roman" w:hAnsi="Times New Roman" w:eastAsia="宋体" w:cs="Times New Roman"/>
                      <w:snapToGrid/>
                      <w:color w:val="auto"/>
                      <w:spacing w:val="0"/>
                      <w:kern w:val="0"/>
                      <w:position w:val="0"/>
                      <w:sz w:val="21"/>
                      <w:szCs w:val="21"/>
                    </w:rPr>
                    <w:t>达标</w:t>
                  </w:r>
                </w:p>
              </w:tc>
            </w:tr>
            <w:tr w14:paraId="583A4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8" w:type="pct"/>
                  <w:noWrap w:val="0"/>
                  <w:vAlign w:val="center"/>
                </w:tcPr>
                <w:p w14:paraId="45C084D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rPr>
                  </w:pPr>
                  <w:r>
                    <w:rPr>
                      <w:rFonts w:hint="eastAsia" w:cs="Times New Roman"/>
                      <w:color w:val="auto"/>
                      <w:kern w:val="0"/>
                      <w:sz w:val="21"/>
                      <w:szCs w:val="21"/>
                      <w:lang w:val="en-US" w:eastAsia="zh-CN"/>
                    </w:rPr>
                    <w:t>八里曾家</w:t>
                  </w:r>
                </w:p>
              </w:tc>
              <w:tc>
                <w:tcPr>
                  <w:tcW w:w="500" w:type="pct"/>
                  <w:noWrap w:val="0"/>
                  <w:vAlign w:val="center"/>
                </w:tcPr>
                <w:p w14:paraId="0DB29E57">
                  <w:pPr>
                    <w:widowControl/>
                    <w:spacing w:line="240" w:lineRule="auto"/>
                    <w:jc w:val="center"/>
                    <w:textAlignment w:val="center"/>
                    <w:rPr>
                      <w:rFonts w:hint="default" w:ascii="Times New Roman" w:hAnsi="Times New Roman" w:cs="Times New Roman" w:eastAsiaTheme="minorEastAsia"/>
                      <w:b w:val="0"/>
                      <w:bCs w:val="0"/>
                      <w:color w:val="auto"/>
                      <w:kern w:val="2"/>
                      <w:sz w:val="21"/>
                      <w:szCs w:val="21"/>
                      <w:lang w:val="en-US" w:eastAsia="zh-CN" w:bidi="ar-SA"/>
                    </w:rPr>
                  </w:pPr>
                  <w:r>
                    <w:rPr>
                      <w:rFonts w:hint="eastAsia" w:cs="Times New Roman" w:eastAsiaTheme="minorEastAsia"/>
                      <w:b w:val="0"/>
                      <w:bCs w:val="0"/>
                      <w:color w:val="auto"/>
                      <w:kern w:val="2"/>
                      <w:sz w:val="21"/>
                      <w:szCs w:val="21"/>
                      <w:lang w:val="en-US" w:eastAsia="zh-CN" w:bidi="ar-SA"/>
                    </w:rPr>
                    <w:t>52</w:t>
                  </w:r>
                </w:p>
              </w:tc>
              <w:tc>
                <w:tcPr>
                  <w:tcW w:w="500" w:type="pct"/>
                  <w:noWrap w:val="0"/>
                  <w:vAlign w:val="center"/>
                </w:tcPr>
                <w:p w14:paraId="53EA74E2">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59A17CEB">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highlight w:val="yellow"/>
                      <w:lang w:val="en-US" w:eastAsia="zh-CN" w:bidi="ar-SA"/>
                    </w:rPr>
                  </w:pPr>
                  <w:r>
                    <w:rPr>
                      <w:rFonts w:hint="eastAsia" w:eastAsia="宋体" w:cs="Times New Roman"/>
                      <w:snapToGrid/>
                      <w:color w:val="auto"/>
                      <w:spacing w:val="0"/>
                      <w:kern w:val="0"/>
                      <w:position w:val="0"/>
                      <w:sz w:val="21"/>
                      <w:szCs w:val="21"/>
                      <w:highlight w:val="none"/>
                      <w:lang w:val="en-US" w:eastAsia="zh-CN" w:bidi="ar-SA"/>
                    </w:rPr>
                    <w:t>48</w:t>
                  </w:r>
                </w:p>
              </w:tc>
              <w:tc>
                <w:tcPr>
                  <w:tcW w:w="501" w:type="pct"/>
                  <w:noWrap w:val="0"/>
                  <w:vAlign w:val="center"/>
                </w:tcPr>
                <w:p w14:paraId="64BD5454">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w:t>
                  </w:r>
                </w:p>
              </w:tc>
              <w:tc>
                <w:tcPr>
                  <w:tcW w:w="500" w:type="pct"/>
                  <w:noWrap w:val="0"/>
                  <w:vAlign w:val="center"/>
                </w:tcPr>
                <w:p w14:paraId="7C9F35BA">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default"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53</w:t>
                  </w:r>
                </w:p>
              </w:tc>
              <w:tc>
                <w:tcPr>
                  <w:tcW w:w="500" w:type="pct"/>
                  <w:noWrap w:val="0"/>
                  <w:vAlign w:val="center"/>
                </w:tcPr>
                <w:p w14:paraId="7D1B38BA">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eastAsia" w:ascii="Times New Roman" w:hAnsi="Times New Roman" w:eastAsia="宋体" w:cs="Times New Roman"/>
                      <w:snapToGrid/>
                      <w:color w:val="auto"/>
                      <w:spacing w:val="0"/>
                      <w:kern w:val="0"/>
                      <w:position w:val="0"/>
                      <w:sz w:val="21"/>
                      <w:szCs w:val="21"/>
                      <w:lang w:val="en-US" w:eastAsia="zh-CN" w:bidi="ar-SA"/>
                    </w:rPr>
                  </w:pPr>
                  <w:r>
                    <w:rPr>
                      <w:rFonts w:hint="eastAsia" w:eastAsia="宋体" w:cs="Times New Roman"/>
                      <w:snapToGrid/>
                      <w:color w:val="auto"/>
                      <w:spacing w:val="0"/>
                      <w:kern w:val="0"/>
                      <w:position w:val="0"/>
                      <w:sz w:val="21"/>
                      <w:szCs w:val="21"/>
                      <w:lang w:val="en-US" w:eastAsia="zh-CN"/>
                    </w:rPr>
                    <w:t>/</w:t>
                  </w:r>
                </w:p>
              </w:tc>
              <w:tc>
                <w:tcPr>
                  <w:tcW w:w="499" w:type="pct"/>
                  <w:noWrap w:val="0"/>
                  <w:vAlign w:val="center"/>
                </w:tcPr>
                <w:p w14:paraId="14F939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eastAsia="黑体" w:cs="Times New Roman"/>
                      <w:snapToGrid/>
                      <w:color w:val="auto"/>
                      <w:spacing w:val="0"/>
                      <w:kern w:val="0"/>
                      <w:position w:val="0"/>
                      <w:sz w:val="21"/>
                      <w:szCs w:val="21"/>
                      <w:lang w:val="en-US" w:eastAsia="zh-CN"/>
                    </w:rPr>
                    <w:t>60</w:t>
                  </w:r>
                </w:p>
              </w:tc>
              <w:tc>
                <w:tcPr>
                  <w:tcW w:w="501" w:type="pct"/>
                  <w:noWrap w:val="0"/>
                  <w:vAlign w:val="center"/>
                </w:tcPr>
                <w:p w14:paraId="09D178BA">
                  <w:pPr>
                    <w:keepNext w:val="0"/>
                    <w:keepLines w:val="0"/>
                    <w:pageBreakBefore w:val="0"/>
                    <w:widowControl w:val="0"/>
                    <w:kinsoku/>
                    <w:wordWrap/>
                    <w:overflowPunct/>
                    <w:topLinePunct w:val="0"/>
                    <w:autoSpaceDE/>
                    <w:autoSpaceDN/>
                    <w:bidi w:val="0"/>
                    <w:adjustRightInd w:val="0"/>
                    <w:snapToGrid w:val="0"/>
                    <w:spacing w:before="95" w:beforeLines="30"/>
                    <w:ind w:firstLine="0" w:firstLineChars="0"/>
                    <w:jc w:val="center"/>
                    <w:textAlignment w:val="auto"/>
                    <w:outlineLvl w:val="9"/>
                    <w:rPr>
                      <w:rFonts w:hint="eastAsia" w:ascii="Times New Roman" w:hAnsi="Times New Roman" w:eastAsia="宋体"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rPr>
                    <w:t>50</w:t>
                  </w:r>
                </w:p>
              </w:tc>
              <w:tc>
                <w:tcPr>
                  <w:tcW w:w="500" w:type="pct"/>
                  <w:noWrap w:val="0"/>
                  <w:vAlign w:val="center"/>
                </w:tcPr>
                <w:p w14:paraId="5109C4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snapToGrid/>
                      <w:color w:val="auto"/>
                      <w:spacing w:val="0"/>
                      <w:kern w:val="0"/>
                      <w:position w:val="0"/>
                      <w:sz w:val="21"/>
                      <w:szCs w:val="21"/>
                    </w:rPr>
                    <w:t>达标</w:t>
                  </w:r>
                </w:p>
              </w:tc>
            </w:tr>
          </w:tbl>
          <w:p w14:paraId="269CE4B4">
            <w:pPr>
              <w:keepNext w:val="0"/>
              <w:keepLines w:val="0"/>
              <w:pageBreakBefore w:val="0"/>
              <w:widowControl w:val="0"/>
              <w:tabs>
                <w:tab w:val="left" w:pos="1380"/>
                <w:tab w:val="left" w:pos="1860"/>
                <w:tab w:val="center" w:pos="4535"/>
                <w:tab w:val="left" w:pos="5985"/>
                <w:tab w:val="left" w:pos="7740"/>
              </w:tabs>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cs="Times New Roman"/>
                <w:snapToGrid/>
                <w:color w:val="auto"/>
                <w:spacing w:val="0"/>
                <w:kern w:val="0"/>
                <w:position w:val="0"/>
                <w:sz w:val="24"/>
              </w:rPr>
            </w:pPr>
            <w:r>
              <w:rPr>
                <w:rFonts w:hint="default" w:ascii="Times New Roman" w:hAnsi="Times New Roman" w:cs="Times New Roman"/>
                <w:snapToGrid/>
                <w:color w:val="auto"/>
                <w:spacing w:val="0"/>
                <w:kern w:val="0"/>
                <w:position w:val="0"/>
                <w:sz w:val="24"/>
              </w:rPr>
              <w:t>由上表可见，东侧、</w:t>
            </w:r>
            <w:r>
              <w:rPr>
                <w:rFonts w:hint="default" w:ascii="Times New Roman" w:hAnsi="Times New Roman" w:cs="Times New Roman"/>
                <w:snapToGrid/>
                <w:color w:val="auto"/>
                <w:spacing w:val="0"/>
                <w:kern w:val="0"/>
                <w:position w:val="0"/>
                <w:sz w:val="24"/>
                <w:lang w:eastAsia="zh-CN"/>
              </w:rPr>
              <w:t>南</w:t>
            </w:r>
            <w:r>
              <w:rPr>
                <w:rFonts w:hint="default" w:ascii="Times New Roman" w:hAnsi="Times New Roman" w:cs="Times New Roman"/>
                <w:snapToGrid/>
                <w:color w:val="auto"/>
                <w:spacing w:val="0"/>
                <w:kern w:val="0"/>
                <w:position w:val="0"/>
                <w:sz w:val="24"/>
              </w:rPr>
              <w:t>侧</w:t>
            </w:r>
            <w:r>
              <w:rPr>
                <w:rFonts w:hint="default" w:ascii="Times New Roman" w:hAnsi="Times New Roman" w:cs="Times New Roman"/>
                <w:snapToGrid/>
                <w:color w:val="auto"/>
                <w:spacing w:val="0"/>
                <w:kern w:val="0"/>
                <w:position w:val="0"/>
                <w:sz w:val="24"/>
                <w:lang w:eastAsia="zh-CN"/>
              </w:rPr>
              <w:t>、西侧</w:t>
            </w:r>
            <w:r>
              <w:rPr>
                <w:rFonts w:hint="eastAsia" w:cs="Times New Roman"/>
                <w:snapToGrid/>
                <w:color w:val="auto"/>
                <w:spacing w:val="0"/>
                <w:kern w:val="0"/>
                <w:position w:val="0"/>
                <w:sz w:val="24"/>
                <w:lang w:eastAsia="zh-CN"/>
              </w:rPr>
              <w:t>、北侧</w:t>
            </w:r>
            <w:r>
              <w:rPr>
                <w:rFonts w:hint="default" w:ascii="Times New Roman" w:hAnsi="Times New Roman" w:cs="Times New Roman"/>
                <w:snapToGrid/>
                <w:color w:val="auto"/>
                <w:spacing w:val="0"/>
                <w:kern w:val="0"/>
                <w:position w:val="0"/>
                <w:sz w:val="24"/>
              </w:rPr>
              <w:t>厂界噪声排放</w:t>
            </w:r>
            <w:r>
              <w:rPr>
                <w:rFonts w:hint="eastAsia" w:cs="Times New Roman"/>
                <w:snapToGrid/>
                <w:color w:val="auto"/>
                <w:spacing w:val="0"/>
                <w:kern w:val="0"/>
                <w:position w:val="0"/>
                <w:sz w:val="24"/>
                <w:lang w:eastAsia="zh-CN"/>
              </w:rPr>
              <w:t>满足</w:t>
            </w:r>
            <w:r>
              <w:rPr>
                <w:rFonts w:hint="default" w:ascii="Times New Roman" w:hAnsi="Times New Roman" w:cs="Times New Roman"/>
                <w:snapToGrid/>
                <w:color w:val="auto"/>
                <w:spacing w:val="0"/>
                <w:kern w:val="0"/>
                <w:position w:val="0"/>
                <w:sz w:val="24"/>
              </w:rPr>
              <w:t>《工业企业厂界环境噪声排放标准》（GB12348-2008）中</w:t>
            </w:r>
            <w:r>
              <w:rPr>
                <w:rFonts w:hint="eastAsia" w:ascii="Times New Roman" w:hAnsi="Times New Roman" w:cs="Times New Roman"/>
                <w:snapToGrid/>
                <w:color w:val="auto"/>
                <w:spacing w:val="0"/>
                <w:kern w:val="0"/>
                <w:position w:val="0"/>
                <w:sz w:val="24"/>
                <w:lang w:val="en-US" w:eastAsia="zh-CN"/>
              </w:rPr>
              <w:t>3</w:t>
            </w:r>
            <w:r>
              <w:rPr>
                <w:rFonts w:hint="default" w:ascii="Times New Roman" w:hAnsi="Times New Roman" w:cs="Times New Roman"/>
                <w:snapToGrid/>
                <w:color w:val="auto"/>
                <w:spacing w:val="0"/>
                <w:kern w:val="0"/>
                <w:position w:val="0"/>
                <w:sz w:val="24"/>
              </w:rPr>
              <w:t>类标准要求</w:t>
            </w:r>
            <w:r>
              <w:rPr>
                <w:rFonts w:hint="default" w:ascii="Times New Roman" w:hAnsi="Times New Roman" w:cs="Times New Roman"/>
                <w:snapToGrid/>
                <w:color w:val="auto"/>
                <w:spacing w:val="0"/>
                <w:kern w:val="0"/>
                <w:position w:val="0"/>
                <w:sz w:val="24"/>
                <w:lang w:eastAsia="zh-CN"/>
              </w:rPr>
              <w:t>（昼间：</w:t>
            </w:r>
            <w:r>
              <w:rPr>
                <w:rFonts w:hint="eastAsia" w:ascii="Times New Roman" w:hAnsi="Times New Roman" w:cs="Times New Roman"/>
                <w:snapToGrid/>
                <w:color w:val="auto"/>
                <w:spacing w:val="0"/>
                <w:kern w:val="0"/>
                <w:position w:val="0"/>
                <w:sz w:val="24"/>
                <w:lang w:val="en-US" w:eastAsia="zh-CN"/>
              </w:rPr>
              <w:t>65</w:t>
            </w:r>
            <w:r>
              <w:rPr>
                <w:rFonts w:hint="default" w:ascii="Times New Roman" w:hAnsi="Times New Roman" w:cs="Times New Roman"/>
                <w:snapToGrid/>
                <w:color w:val="auto"/>
                <w:spacing w:val="0"/>
                <w:kern w:val="0"/>
                <w:position w:val="0"/>
                <w:sz w:val="24"/>
                <w:lang w:val="en-US" w:eastAsia="zh-CN"/>
              </w:rPr>
              <w:t>dB（A）；夜间</w:t>
            </w:r>
            <w:r>
              <w:rPr>
                <w:rFonts w:hint="eastAsia" w:ascii="Times New Roman" w:hAnsi="Times New Roman" w:cs="Times New Roman"/>
                <w:snapToGrid/>
                <w:color w:val="auto"/>
                <w:spacing w:val="0"/>
                <w:kern w:val="0"/>
                <w:position w:val="0"/>
                <w:sz w:val="24"/>
                <w:lang w:val="en-US" w:eastAsia="zh-CN"/>
              </w:rPr>
              <w:t>55</w:t>
            </w:r>
            <w:r>
              <w:rPr>
                <w:rFonts w:hint="default" w:ascii="Times New Roman" w:hAnsi="Times New Roman" w:cs="Times New Roman"/>
                <w:snapToGrid/>
                <w:color w:val="auto"/>
                <w:spacing w:val="0"/>
                <w:kern w:val="0"/>
                <w:position w:val="0"/>
                <w:sz w:val="24"/>
                <w:lang w:val="en-US" w:eastAsia="zh-CN"/>
              </w:rPr>
              <w:t>dB（A）</w:t>
            </w:r>
            <w:r>
              <w:rPr>
                <w:rFonts w:hint="default" w:ascii="Times New Roman" w:hAnsi="Times New Roman" w:cs="Times New Roman"/>
                <w:snapToGrid/>
                <w:color w:val="auto"/>
                <w:spacing w:val="0"/>
                <w:kern w:val="0"/>
                <w:position w:val="0"/>
                <w:sz w:val="24"/>
                <w:lang w:eastAsia="zh-CN"/>
              </w:rPr>
              <w:t>）</w:t>
            </w:r>
            <w:r>
              <w:rPr>
                <w:rFonts w:hint="eastAsia" w:cs="Times New Roman"/>
                <w:snapToGrid/>
                <w:color w:val="auto"/>
                <w:spacing w:val="0"/>
                <w:kern w:val="0"/>
                <w:position w:val="0"/>
                <w:sz w:val="24"/>
                <w:lang w:eastAsia="zh-CN"/>
              </w:rPr>
              <w:t>，</w:t>
            </w:r>
            <w:r>
              <w:rPr>
                <w:rFonts w:hint="default" w:ascii="Times New Roman" w:hAnsi="Times New Roman" w:cs="Times New Roman"/>
                <w:snapToGrid/>
                <w:color w:val="auto"/>
                <w:spacing w:val="0"/>
                <w:kern w:val="0"/>
                <w:position w:val="0"/>
                <w:sz w:val="24"/>
              </w:rPr>
              <w:t>对外环境的影响不大。</w:t>
            </w:r>
          </w:p>
          <w:p w14:paraId="0DA5D104">
            <w:pPr>
              <w:keepNext w:val="0"/>
              <w:keepLines w:val="0"/>
              <w:pageBreakBefore w:val="0"/>
              <w:widowControl w:val="0"/>
              <w:tabs>
                <w:tab w:val="left" w:pos="1380"/>
                <w:tab w:val="left" w:pos="1860"/>
                <w:tab w:val="center" w:pos="4535"/>
                <w:tab w:val="left" w:pos="5985"/>
                <w:tab w:val="left" w:pos="774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为减小项目噪声对周边环境的影响，企业应采取以下噪声污染防治措施：</w:t>
            </w:r>
          </w:p>
          <w:p w14:paraId="47C687D2">
            <w:pPr>
              <w:keepNext w:val="0"/>
              <w:keepLines w:val="0"/>
              <w:pageBreakBefore w:val="0"/>
              <w:widowControl w:val="0"/>
              <w:tabs>
                <w:tab w:val="left" w:pos="1380"/>
                <w:tab w:val="left" w:pos="1860"/>
                <w:tab w:val="center" w:pos="4535"/>
                <w:tab w:val="left" w:pos="5985"/>
                <w:tab w:val="left" w:pos="774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① 合理规划布局，优化总平面布置</w:t>
            </w:r>
            <w:r>
              <w:rPr>
                <w:rFonts w:hint="eastAsia"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w:t>
            </w:r>
            <w:r>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合理安排设备的位置，将高噪声设备放置在远离敏感点的一侧；对产生强噪声的车间，利用建筑物、构筑物来阻隔声波的传播。</w:t>
            </w:r>
          </w:p>
          <w:p w14:paraId="62AA942B">
            <w:pPr>
              <w:keepNext w:val="0"/>
              <w:keepLines w:val="0"/>
              <w:pageBreakBefore w:val="0"/>
              <w:widowControl w:val="0"/>
              <w:tabs>
                <w:tab w:val="left" w:pos="1380"/>
                <w:tab w:val="left" w:pos="1860"/>
                <w:tab w:val="center" w:pos="4535"/>
                <w:tab w:val="left" w:pos="5985"/>
                <w:tab w:val="left" w:pos="774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② 防治措施</w:t>
            </w:r>
          </w:p>
          <w:p w14:paraId="51DA0B84">
            <w:pPr>
              <w:keepNext w:val="0"/>
              <w:keepLines w:val="0"/>
              <w:pageBreakBefore w:val="0"/>
              <w:widowControl w:val="0"/>
              <w:tabs>
                <w:tab w:val="left" w:pos="1380"/>
                <w:tab w:val="left" w:pos="1860"/>
                <w:tab w:val="center" w:pos="4535"/>
                <w:tab w:val="left" w:pos="5985"/>
                <w:tab w:val="left" w:pos="774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在满足工艺生产的前提下，优先选用精度高、装配质量好、噪声低的设备；采取隔声、消声、减振等降噪措施减少设备机组运行、振动产生的噪声。在设备底座设置混凝土减振基础，同时安装高效减振器</w:t>
            </w:r>
            <w:r>
              <w:rPr>
                <w:rFonts w:hint="eastAsia"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w:t>
            </w:r>
          </w:p>
          <w:p w14:paraId="7074A0AD">
            <w:pPr>
              <w:keepNext w:val="0"/>
              <w:keepLines w:val="0"/>
              <w:pageBreakBefore w:val="0"/>
              <w:widowControl w:val="0"/>
              <w:tabs>
                <w:tab w:val="left" w:pos="1380"/>
                <w:tab w:val="left" w:pos="1860"/>
                <w:tab w:val="center" w:pos="4535"/>
                <w:tab w:val="left" w:pos="5985"/>
                <w:tab w:val="left" w:pos="774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③ 加强管理</w:t>
            </w:r>
          </w:p>
          <w:p w14:paraId="26350336">
            <w:pPr>
              <w:keepNext w:val="0"/>
              <w:keepLines w:val="0"/>
              <w:pageBreakBefore w:val="0"/>
              <w:widowControl w:val="0"/>
              <w:tabs>
                <w:tab w:val="left" w:pos="1380"/>
                <w:tab w:val="left" w:pos="1860"/>
                <w:tab w:val="center" w:pos="4535"/>
                <w:tab w:val="left" w:pos="5985"/>
                <w:tab w:val="left" w:pos="774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建立设备定期维护、保养的管理制度，防止设备因故障产生非生产噪声，同时确保环保措施发挥最有效的功能；加强员工操作管理，制定严格的操作规程，提倡文明生产，避免不必要的撞击噪声。</w:t>
            </w:r>
          </w:p>
          <w:p w14:paraId="1C624122">
            <w:pPr>
              <w:keepNext w:val="0"/>
              <w:keepLines w:val="0"/>
              <w:pageBreakBefore w:val="0"/>
              <w:widowControl w:val="0"/>
              <w:tabs>
                <w:tab w:val="left" w:pos="1380"/>
                <w:tab w:val="left" w:pos="1860"/>
                <w:tab w:val="center" w:pos="4535"/>
                <w:tab w:val="left" w:pos="5985"/>
                <w:tab w:val="left" w:pos="774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napToGrid/>
                <w:color w:val="000000" w:themeColor="text1"/>
                <w:spacing w:val="0"/>
                <w:kern w:val="0"/>
                <w:position w:val="0"/>
                <w:sz w:val="24"/>
                <w:szCs w:val="24"/>
                <w:highlight w:val="none"/>
                <w14:textFill>
                  <w14:solidFill>
                    <w14:schemeClr w14:val="tx1"/>
                  </w14:solidFill>
                </w14:textFill>
              </w:rPr>
            </w:pPr>
            <w:r>
              <w:rPr>
                <w:rFonts w:hint="default" w:ascii="Times New Roman" w:hAnsi="Times New Roman" w:eastAsia="宋体" w:cs="Times New Roman"/>
                <w:b w:val="0"/>
                <w:bCs w:val="0"/>
                <w:snapToGrid/>
                <w:color w:val="000000" w:themeColor="text1"/>
                <w:spacing w:val="0"/>
                <w:kern w:val="0"/>
                <w:position w:val="0"/>
                <w:sz w:val="24"/>
                <w:szCs w:val="24"/>
                <w:highlight w:val="none"/>
                <w:lang w:val="en-US" w:eastAsia="zh-CN"/>
                <w14:textFill>
                  <w14:solidFill>
                    <w14:schemeClr w14:val="tx1"/>
                  </w14:solidFill>
                </w14:textFill>
              </w:rPr>
              <w:t>因此，本项目噪声源噪声值经厂房隔声和距离减震降噪措施后，可保证厂界噪声达标排放，</w:t>
            </w:r>
            <w:r>
              <w:rPr>
                <w:rFonts w:hint="default" w:ascii="Times New Roman" w:hAnsi="Times New Roman" w:eastAsia="宋体" w:cs="Times New Roman"/>
                <w:snapToGrid/>
                <w:color w:val="000000" w:themeColor="text1"/>
                <w:spacing w:val="0"/>
                <w:kern w:val="0"/>
                <w:position w:val="0"/>
                <w:sz w:val="24"/>
                <w:szCs w:val="24"/>
                <w:highlight w:val="none"/>
                <w14:textFill>
                  <w14:solidFill>
                    <w14:schemeClr w14:val="tx1"/>
                  </w14:solidFill>
                </w14:textFill>
              </w:rPr>
              <w:t>对</w:t>
            </w:r>
            <w:r>
              <w:rPr>
                <w:rFonts w:hint="default" w:ascii="Times New Roman" w:hAnsi="Times New Roman" w:eastAsia="宋体" w:cs="Times New Roman"/>
                <w:snapToGrid/>
                <w:color w:val="000000" w:themeColor="text1"/>
                <w:spacing w:val="0"/>
                <w:kern w:val="0"/>
                <w:position w:val="0"/>
                <w:sz w:val="24"/>
                <w:szCs w:val="24"/>
                <w:highlight w:val="none"/>
                <w:lang w:eastAsia="zh-CN"/>
                <w14:textFill>
                  <w14:solidFill>
                    <w14:schemeClr w14:val="tx1"/>
                  </w14:solidFill>
                </w14:textFill>
              </w:rPr>
              <w:t>区域</w:t>
            </w:r>
            <w:r>
              <w:rPr>
                <w:rFonts w:hint="default" w:ascii="Times New Roman" w:hAnsi="Times New Roman" w:eastAsia="宋体" w:cs="Times New Roman"/>
                <w:snapToGrid/>
                <w:color w:val="000000" w:themeColor="text1"/>
                <w:spacing w:val="0"/>
                <w:kern w:val="0"/>
                <w:position w:val="0"/>
                <w:sz w:val="24"/>
                <w:szCs w:val="24"/>
                <w:highlight w:val="none"/>
                <w14:textFill>
                  <w14:solidFill>
                    <w14:schemeClr w14:val="tx1"/>
                  </w14:solidFill>
                </w14:textFill>
              </w:rPr>
              <w:t>环境的影响</w:t>
            </w:r>
            <w:r>
              <w:rPr>
                <w:rFonts w:hint="default" w:ascii="Times New Roman" w:hAnsi="Times New Roman" w:eastAsia="宋体" w:cs="Times New Roman"/>
                <w:snapToGrid/>
                <w:color w:val="000000" w:themeColor="text1"/>
                <w:spacing w:val="0"/>
                <w:kern w:val="0"/>
                <w:position w:val="0"/>
                <w:sz w:val="24"/>
                <w:szCs w:val="24"/>
                <w:highlight w:val="none"/>
                <w:lang w:eastAsia="zh-CN"/>
                <w14:textFill>
                  <w14:solidFill>
                    <w14:schemeClr w14:val="tx1"/>
                  </w14:solidFill>
                </w14:textFill>
              </w:rPr>
              <w:t>较小</w:t>
            </w:r>
            <w:r>
              <w:rPr>
                <w:rFonts w:hint="default" w:ascii="Times New Roman" w:hAnsi="Times New Roman" w:eastAsia="宋体" w:cs="Times New Roman"/>
                <w:snapToGrid/>
                <w:color w:val="000000" w:themeColor="text1"/>
                <w:spacing w:val="0"/>
                <w:kern w:val="0"/>
                <w:position w:val="0"/>
                <w:sz w:val="24"/>
                <w:szCs w:val="24"/>
                <w:highlight w:val="none"/>
                <w14:textFill>
                  <w14:solidFill>
                    <w14:schemeClr w14:val="tx1"/>
                  </w14:solidFill>
                </w14:textFill>
              </w:rPr>
              <w:t>。</w:t>
            </w:r>
          </w:p>
          <w:p w14:paraId="6BE4820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bCs/>
                <w:snapToGrid/>
                <w:color w:val="000000" w:themeColor="text1"/>
                <w:spacing w:val="0"/>
                <w:kern w:val="0"/>
                <w:position w:val="0"/>
                <w:sz w:val="24"/>
                <w:szCs w:val="24"/>
                <w:lang w:val="en-US" w:eastAsia="zh-CN"/>
                <w14:textFill>
                  <w14:solidFill>
                    <w14:schemeClr w14:val="tx1"/>
                  </w14:solidFill>
                </w14:textFill>
              </w:rPr>
            </w:pPr>
            <w:r>
              <w:rPr>
                <w:rFonts w:hint="default" w:ascii="Times New Roman" w:hAnsi="Times New Roman" w:cs="Times New Roman"/>
                <w:b/>
                <w:bCs/>
                <w:snapToGrid/>
                <w:color w:val="000000" w:themeColor="text1"/>
                <w:spacing w:val="0"/>
                <w:kern w:val="0"/>
                <w:position w:val="0"/>
                <w:sz w:val="24"/>
                <w:szCs w:val="24"/>
                <w:lang w:val="en-US" w:eastAsia="zh-CN"/>
                <w14:textFill>
                  <w14:solidFill>
                    <w14:schemeClr w14:val="tx1"/>
                  </w14:solidFill>
                </w14:textFill>
              </w:rPr>
              <w:t>监测计划</w:t>
            </w:r>
          </w:p>
          <w:p w14:paraId="3A59DF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
                <w:bCs/>
                <w:snapToGrid/>
                <w:color w:val="000000" w:themeColor="text1"/>
                <w:spacing w:val="0"/>
                <w:kern w:val="0"/>
                <w:position w:val="0"/>
                <w:sz w:val="24"/>
                <w:szCs w:val="24"/>
                <w:lang w:val="en-US" w:eastAsia="zh-CN"/>
                <w14:textFill>
                  <w14:solidFill>
                    <w14:schemeClr w14:val="tx1"/>
                  </w14:solidFill>
                </w14:textFill>
              </w:rPr>
            </w:pPr>
            <w:r>
              <w:rPr>
                <w:rFonts w:hint="default" w:ascii="Times New Roman" w:hAnsi="Times New Roman" w:cs="Times New Roman"/>
                <w:b w:val="0"/>
                <w:bCs w:val="0"/>
                <w:snapToGrid/>
                <w:color w:val="000000" w:themeColor="text1"/>
                <w:spacing w:val="0"/>
                <w:kern w:val="0"/>
                <w:position w:val="0"/>
                <w:sz w:val="24"/>
                <w:szCs w:val="24"/>
                <w:lang w:val="en-US" w:eastAsia="zh-CN"/>
                <w14:textFill>
                  <w14:solidFill>
                    <w14:schemeClr w14:val="tx1"/>
                  </w14:solidFill>
                </w14:textFill>
              </w:rPr>
              <w:t>根据《</w:t>
            </w:r>
            <w:r>
              <w:rPr>
                <w:rFonts w:hint="eastAsia"/>
                <w:color w:val="000000" w:themeColor="text1"/>
                <w:sz w:val="24"/>
                <w:szCs w:val="24"/>
                <w:lang w:val="en-US" w:eastAsia="zh-CN"/>
                <w14:textFill>
                  <w14:solidFill>
                    <w14:schemeClr w14:val="tx1"/>
                  </w14:solidFill>
                </w14:textFill>
              </w:rPr>
              <w:t>排污许可证申请与核发技术规范 工业噪声</w:t>
            </w:r>
            <w:r>
              <w:rPr>
                <w:rFonts w:hint="default" w:ascii="Times New Roman" w:hAnsi="Times New Roman" w:cs="Times New Roman"/>
                <w:b w:val="0"/>
                <w:bCs w:val="0"/>
                <w:snapToGrid/>
                <w:color w:val="000000" w:themeColor="text1"/>
                <w:spacing w:val="0"/>
                <w:kern w:val="0"/>
                <w:position w:val="0"/>
                <w:sz w:val="24"/>
                <w:szCs w:val="24"/>
                <w:lang w:val="en-US" w:eastAsia="zh-CN"/>
                <w14:textFill>
                  <w14:solidFill>
                    <w14:schemeClr w14:val="tx1"/>
                  </w14:solidFill>
                </w14:textFill>
              </w:rPr>
              <w:t>》（HJ 1301-2023），制定本项目噪声监测计划如下：</w:t>
            </w:r>
          </w:p>
          <w:p w14:paraId="2CEE434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center"/>
              <w:textAlignment w:val="auto"/>
              <w:rPr>
                <w:rFonts w:hint="default" w:ascii="Times New Roman" w:hAnsi="Times New Roman" w:cs="Times New Roman"/>
                <w:b/>
                <w:bCs/>
                <w:snapToGrid/>
                <w:color w:val="000000" w:themeColor="text1"/>
                <w:spacing w:val="0"/>
                <w:kern w:val="0"/>
                <w:position w:val="0"/>
                <w:sz w:val="24"/>
                <w:szCs w:val="24"/>
                <w:lang w:val="en-US" w:eastAsia="zh-CN"/>
                <w14:textFill>
                  <w14:solidFill>
                    <w14:schemeClr w14:val="tx1"/>
                  </w14:solidFill>
                </w14:textFill>
              </w:rPr>
            </w:pPr>
            <w:r>
              <w:rPr>
                <w:rFonts w:hint="default" w:ascii="Times New Roman" w:hAnsi="Times New Roman" w:cs="Times New Roman"/>
                <w:b/>
                <w:bCs/>
                <w:snapToGrid/>
                <w:color w:val="000000" w:themeColor="text1"/>
                <w:spacing w:val="0"/>
                <w:kern w:val="0"/>
                <w:position w:val="0"/>
                <w:sz w:val="24"/>
                <w:szCs w:val="24"/>
                <w:lang w:val="en-US" w:eastAsia="zh-CN"/>
                <w14:textFill>
                  <w14:solidFill>
                    <w14:schemeClr w14:val="tx1"/>
                  </w14:solidFill>
                </w14:textFill>
              </w:rPr>
              <w:t>表4.</w:t>
            </w:r>
            <w:r>
              <w:rPr>
                <w:rFonts w:hint="eastAsia" w:cs="Times New Roman"/>
                <w:b/>
                <w:bCs/>
                <w:snapToGrid/>
                <w:color w:val="000000" w:themeColor="text1"/>
                <w:spacing w:val="0"/>
                <w:kern w:val="0"/>
                <w:position w:val="0"/>
                <w:sz w:val="24"/>
                <w:szCs w:val="24"/>
                <w:lang w:val="en-US" w:eastAsia="zh-CN"/>
                <w14:textFill>
                  <w14:solidFill>
                    <w14:schemeClr w14:val="tx1"/>
                  </w14:solidFill>
                </w14:textFill>
              </w:rPr>
              <w:t>12</w:t>
            </w:r>
            <w:r>
              <w:rPr>
                <w:rFonts w:hint="default" w:ascii="Times New Roman" w:hAnsi="Times New Roman" w:cs="Times New Roman"/>
                <w:b/>
                <w:bCs/>
                <w:snapToGrid/>
                <w:color w:val="000000" w:themeColor="text1"/>
                <w:spacing w:val="0"/>
                <w:kern w:val="0"/>
                <w:position w:val="0"/>
                <w:sz w:val="24"/>
                <w:szCs w:val="24"/>
                <w:lang w:val="en-US" w:eastAsia="zh-CN"/>
                <w14:textFill>
                  <w14:solidFill>
                    <w14:schemeClr w14:val="tx1"/>
                  </w14:solidFill>
                </w14:textFill>
              </w:rPr>
              <w:t xml:space="preserve">  噪声监测一览表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3"/>
              <w:gridCol w:w="1500"/>
              <w:gridCol w:w="2540"/>
              <w:gridCol w:w="2739"/>
            </w:tblGrid>
            <w:tr w14:paraId="0CDB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2" w:type="pct"/>
                  <w:noWrap w:val="0"/>
                  <w:vAlign w:val="center"/>
                </w:tcPr>
                <w:p w14:paraId="5DE4FD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000000" w:themeColor="text1"/>
                      <w:spacing w:val="0"/>
                      <w:kern w:val="0"/>
                      <w:position w:val="0"/>
                      <w:sz w:val="21"/>
                      <w:szCs w:val="21"/>
                      <w:lang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eastAsia="zh-CN"/>
                      <w14:textFill>
                        <w14:solidFill>
                          <w14:schemeClr w14:val="tx1"/>
                        </w14:solidFill>
                      </w14:textFill>
                    </w:rPr>
                    <w:t>类别</w:t>
                  </w:r>
                </w:p>
              </w:tc>
              <w:tc>
                <w:tcPr>
                  <w:tcW w:w="913" w:type="pct"/>
                  <w:noWrap w:val="0"/>
                  <w:vAlign w:val="center"/>
                </w:tcPr>
                <w:p w14:paraId="3EB95AD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监测点位</w:t>
                  </w:r>
                </w:p>
              </w:tc>
              <w:tc>
                <w:tcPr>
                  <w:tcW w:w="1546" w:type="pct"/>
                  <w:noWrap w:val="0"/>
                  <w:vAlign w:val="center"/>
                </w:tcPr>
                <w:p w14:paraId="32CBAA2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监测项目</w:t>
                  </w:r>
                </w:p>
              </w:tc>
              <w:tc>
                <w:tcPr>
                  <w:tcW w:w="1667" w:type="pct"/>
                  <w:noWrap w:val="0"/>
                  <w:vAlign w:val="center"/>
                </w:tcPr>
                <w:p w14:paraId="6D1CCC1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000000" w:themeColor="text1"/>
                      <w:spacing w:val="0"/>
                      <w:kern w:val="0"/>
                      <w:position w:val="0"/>
                      <w:sz w:val="21"/>
                      <w:szCs w:val="21"/>
                      <w:lang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eastAsia="zh-CN"/>
                      <w14:textFill>
                        <w14:solidFill>
                          <w14:schemeClr w14:val="tx1"/>
                        </w14:solidFill>
                      </w14:textFill>
                    </w:rPr>
                    <w:t>监测频率</w:t>
                  </w:r>
                </w:p>
              </w:tc>
            </w:tr>
            <w:tr w14:paraId="0DC4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2" w:type="pct"/>
                  <w:noWrap w:val="0"/>
                  <w:vAlign w:val="center"/>
                </w:tcPr>
                <w:p w14:paraId="6BBBCA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000000" w:themeColor="text1"/>
                      <w:spacing w:val="0"/>
                      <w:kern w:val="0"/>
                      <w:position w:val="0"/>
                      <w:sz w:val="21"/>
                      <w:szCs w:val="21"/>
                      <w:lang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eastAsia="zh-CN"/>
                      <w14:textFill>
                        <w14:solidFill>
                          <w14:schemeClr w14:val="tx1"/>
                        </w14:solidFill>
                      </w14:textFill>
                    </w:rPr>
                    <w:t>厂界噪声</w:t>
                  </w:r>
                </w:p>
              </w:tc>
              <w:tc>
                <w:tcPr>
                  <w:tcW w:w="913" w:type="pct"/>
                  <w:noWrap w:val="0"/>
                  <w:vAlign w:val="center"/>
                </w:tcPr>
                <w:p w14:paraId="55D031F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厂界</w:t>
                  </w:r>
                </w:p>
              </w:tc>
              <w:tc>
                <w:tcPr>
                  <w:tcW w:w="1546" w:type="pct"/>
                  <w:noWrap w:val="0"/>
                  <w:vAlign w:val="center"/>
                </w:tcPr>
                <w:p w14:paraId="2757A4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等效连续A声级</w:t>
                  </w:r>
                </w:p>
              </w:tc>
              <w:tc>
                <w:tcPr>
                  <w:tcW w:w="1667" w:type="pct"/>
                  <w:noWrap w:val="0"/>
                  <w:vAlign w:val="center"/>
                </w:tcPr>
                <w:p w14:paraId="592EFEE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pPr>
                  <w:r>
                    <w:rPr>
                      <w:rFonts w:hint="default" w:ascii="Times New Roman" w:hAnsi="Times New Roman" w:eastAsia="宋体" w:cs="Times New Roman"/>
                      <w:snapToGrid/>
                      <w:color w:val="000000" w:themeColor="text1"/>
                      <w:spacing w:val="0"/>
                      <w:kern w:val="0"/>
                      <w:position w:val="0"/>
                      <w:sz w:val="21"/>
                      <w:szCs w:val="21"/>
                      <w:lang w:val="en-US" w:eastAsia="zh-CN"/>
                      <w14:textFill>
                        <w14:solidFill>
                          <w14:schemeClr w14:val="tx1"/>
                        </w14:solidFill>
                      </w14:textFill>
                    </w:rPr>
                    <w:t>1次/季度</w:t>
                  </w:r>
                </w:p>
              </w:tc>
            </w:tr>
          </w:tbl>
          <w:p w14:paraId="069AE583">
            <w:pPr>
              <w:pStyle w:val="36"/>
              <w:keepNext w:val="0"/>
              <w:keepLines w:val="0"/>
              <w:pageBreakBefore w:val="0"/>
              <w:widowControl w:val="0"/>
              <w:kinsoku/>
              <w:wordWrap/>
              <w:overflowPunct/>
              <w:topLinePunct w:val="0"/>
              <w:autoSpaceDE/>
              <w:autoSpaceDN/>
              <w:bidi w:val="0"/>
              <w:adjustRightInd w:val="0"/>
              <w:snapToGrid w:val="0"/>
              <w:spacing w:before="157" w:beforeLines="50" w:beforeAutospacing="0" w:afterAutospacing="0" w:line="360" w:lineRule="auto"/>
              <w:ind w:left="0" w:leftChars="0" w:firstLine="0" w:firstLineChars="0"/>
              <w:jc w:val="both"/>
              <w:textAlignment w:val="auto"/>
              <w:rPr>
                <w:rFonts w:hint="default" w:ascii="Times New Roman" w:hAnsi="Times New Roman" w:cs="Times New Roman"/>
                <w:b/>
                <w:bCs/>
                <w:snapToGrid/>
                <w:color w:val="000000" w:themeColor="text1"/>
                <w:spacing w:val="0"/>
                <w:kern w:val="0"/>
                <w:position w:val="0"/>
                <w:sz w:val="24"/>
                <w:szCs w:val="24"/>
                <w:lang w:val="en-US" w:eastAsia="zh-CN"/>
                <w14:textFill>
                  <w14:solidFill>
                    <w14:schemeClr w14:val="tx1"/>
                  </w14:solidFill>
                </w14:textFill>
              </w:rPr>
            </w:pPr>
            <w:r>
              <w:rPr>
                <w:rFonts w:hint="eastAsia" w:ascii="Times New Roman" w:hAnsi="Times New Roman" w:cs="Times New Roman"/>
                <w:b/>
                <w:bCs/>
                <w:snapToGrid/>
                <w:color w:val="000000" w:themeColor="text1"/>
                <w:spacing w:val="0"/>
                <w:kern w:val="0"/>
                <w:position w:val="0"/>
                <w:sz w:val="24"/>
                <w:szCs w:val="24"/>
                <w:lang w:val="en-US" w:eastAsia="zh-CN"/>
                <w14:textFill>
                  <w14:solidFill>
                    <w14:schemeClr w14:val="tx1"/>
                  </w14:solidFill>
                </w14:textFill>
              </w:rPr>
              <w:t>4.</w:t>
            </w:r>
            <w:r>
              <w:rPr>
                <w:rFonts w:hint="default" w:ascii="Times New Roman" w:hAnsi="Times New Roman" w:eastAsia="宋体" w:cs="Times New Roman"/>
                <w:b/>
                <w:bCs/>
                <w:snapToGrid/>
                <w:color w:val="000000" w:themeColor="text1"/>
                <w:spacing w:val="0"/>
                <w:kern w:val="0"/>
                <w:position w:val="0"/>
                <w:sz w:val="24"/>
                <w:szCs w:val="24"/>
                <w14:textFill>
                  <w14:solidFill>
                    <w14:schemeClr w14:val="tx1"/>
                  </w14:solidFill>
                </w14:textFill>
              </w:rPr>
              <w:t>固</w:t>
            </w:r>
            <w:r>
              <w:rPr>
                <w:rFonts w:hint="default" w:ascii="Times New Roman" w:hAnsi="Times New Roman" w:eastAsia="宋体" w:cs="Times New Roman"/>
                <w:b/>
                <w:bCs/>
                <w:snapToGrid/>
                <w:color w:val="000000" w:themeColor="text1"/>
                <w:spacing w:val="0"/>
                <w:kern w:val="0"/>
                <w:position w:val="0"/>
                <w:sz w:val="24"/>
                <w:szCs w:val="24"/>
                <w:lang w:eastAsia="zh-CN"/>
                <w14:textFill>
                  <w14:solidFill>
                    <w14:schemeClr w14:val="tx1"/>
                  </w14:solidFill>
                </w14:textFill>
              </w:rPr>
              <w:t>体</w:t>
            </w:r>
            <w:r>
              <w:rPr>
                <w:rFonts w:hint="default" w:ascii="Times New Roman" w:hAnsi="Times New Roman" w:eastAsia="宋体" w:cs="Times New Roman"/>
                <w:b/>
                <w:bCs/>
                <w:snapToGrid/>
                <w:color w:val="000000" w:themeColor="text1"/>
                <w:spacing w:val="0"/>
                <w:kern w:val="0"/>
                <w:position w:val="0"/>
                <w:sz w:val="24"/>
                <w:szCs w:val="24"/>
                <w14:textFill>
                  <w14:solidFill>
                    <w14:schemeClr w14:val="tx1"/>
                  </w14:solidFill>
                </w14:textFill>
              </w:rPr>
              <w:t>废</w:t>
            </w:r>
            <w:r>
              <w:rPr>
                <w:rFonts w:hint="default" w:ascii="Times New Roman" w:hAnsi="Times New Roman" w:eastAsia="宋体" w:cs="Times New Roman"/>
                <w:b/>
                <w:bCs/>
                <w:snapToGrid/>
                <w:color w:val="000000" w:themeColor="text1"/>
                <w:spacing w:val="0"/>
                <w:kern w:val="0"/>
                <w:position w:val="0"/>
                <w:sz w:val="24"/>
                <w:szCs w:val="24"/>
                <w:lang w:eastAsia="zh-CN"/>
                <w14:textFill>
                  <w14:solidFill>
                    <w14:schemeClr w14:val="tx1"/>
                  </w14:solidFill>
                </w14:textFill>
              </w:rPr>
              <w:t>物</w:t>
            </w:r>
          </w:p>
          <w:p w14:paraId="74897207">
            <w:pPr>
              <w:pStyle w:val="33"/>
              <w:widowControl/>
              <w:adjustRightInd/>
              <w:spacing w:line="360" w:lineRule="auto"/>
              <w:ind w:firstLine="480" w:firstLineChars="200"/>
              <w:textAlignment w:val="auto"/>
              <w:rPr>
                <w:color w:val="FF0000"/>
                <w:sz w:val="24"/>
                <w:szCs w:val="24"/>
              </w:rPr>
            </w:pPr>
            <w:r>
              <w:rPr>
                <w:sz w:val="24"/>
                <w:szCs w:val="24"/>
              </w:rPr>
              <w:t>项目固体废物主要分为：一般工业固体废物、危险废物和生活垃圾。</w:t>
            </w:r>
          </w:p>
          <w:p w14:paraId="5ECAE2D4">
            <w:pPr>
              <w:pStyle w:val="33"/>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sz w:val="24"/>
                <w:szCs w:val="24"/>
              </w:rPr>
            </w:pPr>
            <w:r>
              <w:rPr>
                <w:sz w:val="24"/>
                <w:szCs w:val="24"/>
              </w:rPr>
              <w:t>（</w:t>
            </w:r>
            <w:r>
              <w:rPr>
                <w:rFonts w:hint="eastAsia"/>
                <w:sz w:val="24"/>
                <w:szCs w:val="24"/>
                <w:lang w:val="en-US" w:eastAsia="zh-CN"/>
              </w:rPr>
              <w:t>1</w:t>
            </w:r>
            <w:r>
              <w:rPr>
                <w:sz w:val="24"/>
                <w:szCs w:val="24"/>
              </w:rPr>
              <w:t>）生活垃圾</w:t>
            </w:r>
          </w:p>
          <w:p w14:paraId="6BF8983E">
            <w:pPr>
              <w:pStyle w:val="33"/>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sz w:val="24"/>
                <w:szCs w:val="24"/>
              </w:rPr>
            </w:pPr>
            <w:r>
              <w:rPr>
                <w:sz w:val="24"/>
                <w:szCs w:val="24"/>
              </w:rPr>
              <w:t>项目劳动定员</w:t>
            </w:r>
            <w:r>
              <w:rPr>
                <w:rFonts w:hint="eastAsia"/>
                <w:sz w:val="24"/>
                <w:szCs w:val="24"/>
                <w:lang w:val="en-US" w:eastAsia="zh-CN"/>
              </w:rPr>
              <w:t>20</w:t>
            </w:r>
            <w:r>
              <w:rPr>
                <w:sz w:val="24"/>
                <w:szCs w:val="24"/>
              </w:rPr>
              <w:t>人，生活垃圾产生系数按0.5kg/（人·d）计，则项目生活垃圾产生量共计</w:t>
            </w:r>
            <w:r>
              <w:rPr>
                <w:rFonts w:hint="eastAsia"/>
                <w:sz w:val="24"/>
                <w:szCs w:val="24"/>
                <w:lang w:val="en-US" w:eastAsia="zh-CN"/>
              </w:rPr>
              <w:t>10</w:t>
            </w:r>
            <w:r>
              <w:rPr>
                <w:sz w:val="24"/>
                <w:szCs w:val="24"/>
              </w:rPr>
              <w:t>kg/d，</w:t>
            </w:r>
            <w:r>
              <w:rPr>
                <w:rFonts w:hint="eastAsia"/>
                <w:sz w:val="24"/>
                <w:szCs w:val="24"/>
                <w:lang w:val="en-US" w:eastAsia="zh-CN"/>
              </w:rPr>
              <w:t>3</w:t>
            </w:r>
            <w:r>
              <w:rPr>
                <w:sz w:val="24"/>
                <w:szCs w:val="24"/>
              </w:rPr>
              <w:t>t/a。垃圾桶收集后由环卫部门统一收集定期清运处理。</w:t>
            </w:r>
          </w:p>
          <w:p w14:paraId="18CA4DDC">
            <w:pPr>
              <w:pStyle w:val="33"/>
              <w:widowControl/>
              <w:adjustRightInd/>
              <w:spacing w:line="360" w:lineRule="auto"/>
              <w:ind w:firstLine="480" w:firstLineChars="200"/>
              <w:textAlignment w:val="auto"/>
              <w:rPr>
                <w:sz w:val="24"/>
                <w:szCs w:val="24"/>
              </w:rPr>
            </w:pPr>
            <w:r>
              <w:rPr>
                <w:sz w:val="24"/>
                <w:szCs w:val="24"/>
              </w:rPr>
              <w:t>（</w:t>
            </w:r>
            <w:r>
              <w:rPr>
                <w:rFonts w:hint="eastAsia"/>
                <w:sz w:val="24"/>
                <w:szCs w:val="24"/>
                <w:lang w:val="en-US" w:eastAsia="zh-CN"/>
              </w:rPr>
              <w:t>2</w:t>
            </w:r>
            <w:r>
              <w:rPr>
                <w:sz w:val="24"/>
                <w:szCs w:val="24"/>
              </w:rPr>
              <w:t>）一般工业固废</w:t>
            </w:r>
          </w:p>
          <w:p w14:paraId="554D335A">
            <w:pPr>
              <w:pStyle w:val="33"/>
              <w:widowControl/>
              <w:tabs>
                <w:tab w:val="center" w:pos="4194"/>
              </w:tabs>
              <w:adjustRightInd/>
              <w:spacing w:line="360" w:lineRule="auto"/>
              <w:ind w:firstLine="480" w:firstLineChars="200"/>
              <w:textAlignment w:val="auto"/>
              <w:rPr>
                <w:rFonts w:hint="eastAsia" w:eastAsia="宋体"/>
                <w:sz w:val="24"/>
                <w:szCs w:val="24"/>
                <w:lang w:val="en-US" w:eastAsia="zh-CN"/>
              </w:rPr>
            </w:pPr>
            <w:r>
              <w:rPr>
                <w:sz w:val="24"/>
                <w:szCs w:val="24"/>
              </w:rPr>
              <w:t>①</w:t>
            </w:r>
            <w:r>
              <w:rPr>
                <w:rFonts w:hint="eastAsia"/>
                <w:sz w:val="24"/>
                <w:szCs w:val="24"/>
                <w:lang w:eastAsia="zh-CN"/>
              </w:rPr>
              <w:t>废包装袋</w:t>
            </w:r>
          </w:p>
          <w:p w14:paraId="52972A58">
            <w:pPr>
              <w:pStyle w:val="33"/>
              <w:widowControl/>
              <w:adjustRightInd/>
              <w:spacing w:line="360" w:lineRule="auto"/>
              <w:ind w:firstLine="480" w:firstLineChars="200"/>
              <w:textAlignment w:val="auto"/>
              <w:rPr>
                <w:rFonts w:hint="default"/>
                <w:color w:val="auto"/>
                <w:sz w:val="24"/>
                <w:szCs w:val="24"/>
                <w:lang w:val="en-US" w:eastAsia="zh-CN"/>
              </w:rPr>
            </w:pPr>
            <w:r>
              <w:rPr>
                <w:rFonts w:hint="eastAsia"/>
                <w:color w:val="auto"/>
                <w:sz w:val="24"/>
                <w:szCs w:val="24"/>
                <w:lang w:eastAsia="zh-CN"/>
              </w:rPr>
              <w:t>项目</w:t>
            </w:r>
            <w:r>
              <w:rPr>
                <w:rFonts w:hint="eastAsia"/>
                <w:color w:val="auto"/>
                <w:sz w:val="24"/>
                <w:szCs w:val="24"/>
                <w:lang w:val="en-US" w:eastAsia="zh-CN"/>
              </w:rPr>
              <w:t>PVC粉、轻钙、发泡剂、PE木塑底料、PE粒子等原辅材料拆包使用后会产生废包装袋，根据企业提供资料废包装袋产生量约0.3t/a，统一收集后外售。</w:t>
            </w:r>
          </w:p>
          <w:p w14:paraId="2BA9FB7A">
            <w:pPr>
              <w:pStyle w:val="33"/>
              <w:widowControl/>
              <w:adjustRightIn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②</w:t>
            </w:r>
            <w:r>
              <w:rPr>
                <w:rFonts w:hint="eastAsia" w:ascii="Times New Roman" w:hAnsi="Times New Roman" w:cs="Times New Roman"/>
                <w:color w:val="auto"/>
                <w:sz w:val="24"/>
                <w:szCs w:val="24"/>
                <w:lang w:val="en-US" w:eastAsia="zh-CN"/>
              </w:rPr>
              <w:t>废边角料</w:t>
            </w:r>
          </w:p>
          <w:p w14:paraId="01A886D2">
            <w:pPr>
              <w:pStyle w:val="33"/>
              <w:widowControl/>
              <w:adjustRightIn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项目牵引切割、精确切割工艺会产生废边角料，根据企业提供资料废边角料产生量约1300t/a，经</w:t>
            </w:r>
            <w:r>
              <w:rPr>
                <w:rFonts w:hint="eastAsia" w:cs="Times New Roman"/>
                <w:color w:val="auto"/>
                <w:sz w:val="24"/>
                <w:szCs w:val="24"/>
                <w:lang w:val="en-US" w:eastAsia="zh-CN"/>
              </w:rPr>
              <w:t>收集</w:t>
            </w:r>
            <w:r>
              <w:rPr>
                <w:rFonts w:hint="eastAsia" w:ascii="Times New Roman" w:hAnsi="Times New Roman" w:cs="Times New Roman"/>
                <w:color w:val="auto"/>
                <w:sz w:val="24"/>
                <w:szCs w:val="24"/>
                <w:lang w:val="en-US" w:eastAsia="zh-CN"/>
              </w:rPr>
              <w:t>后统一外售处理</w:t>
            </w:r>
          </w:p>
          <w:p w14:paraId="0F0E9D92">
            <w:pPr>
              <w:pStyle w:val="33"/>
              <w:widowControl/>
              <w:adjustRightIn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③</w:t>
            </w:r>
            <w:r>
              <w:rPr>
                <w:rFonts w:hint="eastAsia" w:ascii="Times New Roman" w:hAnsi="Times New Roman" w:cs="Times New Roman"/>
                <w:color w:val="auto"/>
                <w:sz w:val="24"/>
                <w:szCs w:val="24"/>
                <w:lang w:val="en-US" w:eastAsia="zh-CN"/>
              </w:rPr>
              <w:t>布袋除尘器收集颗粒物</w:t>
            </w:r>
          </w:p>
          <w:p w14:paraId="77286EBE">
            <w:pPr>
              <w:pStyle w:val="33"/>
              <w:widowControl/>
              <w:adjustRightInd/>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根据工程分析可知，布袋除尘器收集的颗粒物量为</w:t>
            </w:r>
            <w:r>
              <w:rPr>
                <w:rFonts w:hint="eastAsia" w:cs="Times New Roman"/>
                <w:color w:val="auto"/>
                <w:sz w:val="24"/>
                <w:szCs w:val="24"/>
                <w:lang w:val="en-US" w:eastAsia="zh-CN"/>
              </w:rPr>
              <w:t>65.816t/a，经收集后外售处理。</w:t>
            </w:r>
          </w:p>
          <w:p w14:paraId="7F58D8EB">
            <w:pPr>
              <w:pStyle w:val="33"/>
              <w:widowControl/>
              <w:adjustRightInd/>
              <w:spacing w:line="360" w:lineRule="auto"/>
              <w:ind w:firstLine="480" w:firstLineChars="200"/>
              <w:textAlignment w:val="auto"/>
              <w:rPr>
                <w:sz w:val="24"/>
                <w:szCs w:val="24"/>
              </w:rPr>
            </w:pPr>
            <w:r>
              <w:rPr>
                <w:sz w:val="24"/>
                <w:szCs w:val="24"/>
              </w:rPr>
              <w:t>（</w:t>
            </w:r>
            <w:r>
              <w:rPr>
                <w:rFonts w:hint="eastAsia"/>
                <w:sz w:val="24"/>
                <w:szCs w:val="24"/>
                <w:lang w:val="en-US" w:eastAsia="zh-CN"/>
              </w:rPr>
              <w:t>3</w:t>
            </w:r>
            <w:r>
              <w:rPr>
                <w:sz w:val="24"/>
                <w:szCs w:val="24"/>
              </w:rPr>
              <w:t>）危险废物</w:t>
            </w:r>
          </w:p>
          <w:p w14:paraId="46DF657B">
            <w:pPr>
              <w:pStyle w:val="33"/>
              <w:widowControl/>
              <w:adjustRightInd/>
              <w:spacing w:line="360" w:lineRule="auto"/>
              <w:ind w:firstLine="480" w:firstLineChars="200"/>
              <w:textAlignment w:val="auto"/>
              <w:rPr>
                <w:rFonts w:hint="eastAsia" w:eastAsia="宋体"/>
                <w:sz w:val="24"/>
                <w:szCs w:val="24"/>
                <w:lang w:eastAsia="zh-CN"/>
              </w:rPr>
            </w:pPr>
            <w:r>
              <w:rPr>
                <w:sz w:val="24"/>
                <w:szCs w:val="24"/>
              </w:rPr>
              <w:t>①</w:t>
            </w:r>
            <w:r>
              <w:rPr>
                <w:rFonts w:hint="eastAsia"/>
                <w:sz w:val="24"/>
                <w:szCs w:val="24"/>
                <w:lang w:eastAsia="zh-CN"/>
              </w:rPr>
              <w:t>废活性炭</w:t>
            </w:r>
          </w:p>
          <w:p w14:paraId="7DB33A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auto"/>
                <w:spacing w:val="0"/>
                <w:kern w:val="0"/>
                <w:position w:val="0"/>
                <w:sz w:val="24"/>
                <w:szCs w:val="24"/>
                <w:lang w:val="en-US" w:eastAsia="zh-CN"/>
              </w:rPr>
            </w:pPr>
            <w:r>
              <w:rPr>
                <w:rFonts w:hint="default" w:ascii="Times New Roman" w:hAnsi="Times New Roman" w:cs="Times New Roman"/>
                <w:color w:val="auto"/>
                <w:sz w:val="24"/>
                <w:szCs w:val="24"/>
                <w:lang w:val="en-US" w:eastAsia="zh-CN"/>
              </w:rPr>
              <w:t>项目收集的有机废气进入催化燃烧废气处理系统处理，总活性炭填充量约为5m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，活性炭填充密度约为380</w:t>
            </w:r>
            <w:r>
              <w:rPr>
                <w:rFonts w:hint="eastAsia" w:cs="Times New Roman"/>
                <w:color w:val="auto"/>
                <w:sz w:val="24"/>
                <w:szCs w:val="24"/>
                <w:lang w:val="en-US" w:eastAsia="zh-CN"/>
              </w:rPr>
              <w:t>～</w:t>
            </w:r>
            <w:r>
              <w:rPr>
                <w:rFonts w:hint="default" w:ascii="Times New Roman" w:hAnsi="Times New Roman" w:cs="Times New Roman"/>
                <w:color w:val="auto"/>
                <w:sz w:val="24"/>
                <w:szCs w:val="24"/>
                <w:lang w:val="en-US" w:eastAsia="zh-CN"/>
              </w:rPr>
              <w:t>450kg/m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，本次按照平均填充密度400kg/m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lang w:val="en-US" w:eastAsia="zh-CN"/>
              </w:rPr>
              <w:t>计，活性炭1年更换一次，则本项目产生的废活性炭约为2t/a。根据《国家危险废物名录》（2025年版），</w:t>
            </w:r>
            <w:r>
              <w:rPr>
                <w:rFonts w:hint="default" w:ascii="Times New Roman" w:hAnsi="Times New Roman" w:eastAsia="宋体" w:cs="Times New Roman"/>
                <w:b w:val="0"/>
                <w:bCs w:val="0"/>
                <w:snapToGrid/>
                <w:color w:val="auto"/>
                <w:spacing w:val="0"/>
                <w:kern w:val="0"/>
                <w:position w:val="0"/>
                <w:sz w:val="24"/>
                <w:szCs w:val="24"/>
                <w:lang w:val="en-US" w:eastAsia="zh-CN"/>
              </w:rPr>
              <w:t>属于危险废物HW49，危废代码</w:t>
            </w:r>
            <w:r>
              <w:rPr>
                <w:rFonts w:hint="eastAsia" w:cs="Times New Roman"/>
                <w:b w:val="0"/>
                <w:bCs w:val="0"/>
                <w:snapToGrid/>
                <w:color w:val="auto"/>
                <w:spacing w:val="0"/>
                <w:kern w:val="0"/>
                <w:position w:val="0"/>
                <w:sz w:val="24"/>
                <w:szCs w:val="24"/>
                <w:lang w:val="en-US" w:eastAsia="zh-CN"/>
              </w:rPr>
              <w:t>为</w:t>
            </w:r>
            <w:r>
              <w:rPr>
                <w:rFonts w:hint="default" w:ascii="Times New Roman" w:hAnsi="Times New Roman" w:eastAsia="宋体" w:cs="Times New Roman"/>
                <w:b w:val="0"/>
                <w:bCs w:val="0"/>
                <w:snapToGrid/>
                <w:color w:val="auto"/>
                <w:spacing w:val="0"/>
                <w:kern w:val="0"/>
                <w:position w:val="0"/>
                <w:sz w:val="24"/>
                <w:szCs w:val="24"/>
                <w:lang w:val="en-US" w:eastAsia="zh-CN"/>
              </w:rPr>
              <w:t>900-0</w:t>
            </w:r>
            <w:r>
              <w:rPr>
                <w:rFonts w:hint="eastAsia" w:ascii="Times New Roman" w:hAnsi="Times New Roman" w:eastAsia="宋体" w:cs="Times New Roman"/>
                <w:b w:val="0"/>
                <w:bCs w:val="0"/>
                <w:snapToGrid/>
                <w:color w:val="auto"/>
                <w:spacing w:val="0"/>
                <w:kern w:val="0"/>
                <w:position w:val="0"/>
                <w:sz w:val="24"/>
                <w:szCs w:val="24"/>
                <w:lang w:val="en-US" w:eastAsia="zh-CN"/>
              </w:rPr>
              <w:t>39</w:t>
            </w:r>
            <w:r>
              <w:rPr>
                <w:rFonts w:hint="default" w:ascii="Times New Roman" w:hAnsi="Times New Roman" w:eastAsia="宋体" w:cs="Times New Roman"/>
                <w:b w:val="0"/>
                <w:bCs w:val="0"/>
                <w:snapToGrid/>
                <w:color w:val="auto"/>
                <w:spacing w:val="0"/>
                <w:kern w:val="0"/>
                <w:position w:val="0"/>
                <w:sz w:val="24"/>
                <w:szCs w:val="24"/>
                <w:lang w:val="en-US" w:eastAsia="zh-CN"/>
              </w:rPr>
              <w:t>-49。于厂内危废暂存场所暂存后委托有资质单位妥善处置。</w:t>
            </w:r>
          </w:p>
          <w:p w14:paraId="398FBD2B">
            <w:pPr>
              <w:pStyle w:val="33"/>
              <w:widowControl/>
              <w:adjustRightInd/>
              <w:spacing w:line="360" w:lineRule="auto"/>
              <w:ind w:firstLine="480" w:firstLineChars="200"/>
              <w:textAlignment w:val="auto"/>
              <w:rPr>
                <w:rFonts w:hint="eastAsia"/>
                <w:sz w:val="24"/>
                <w:szCs w:val="24"/>
                <w:lang w:eastAsia="zh-CN"/>
              </w:rPr>
            </w:pPr>
            <w:r>
              <w:rPr>
                <w:rFonts w:hint="default" w:ascii="Times New Roman" w:hAnsi="Times New Roman" w:cs="Times New Roman"/>
                <w:color w:val="auto"/>
                <w:sz w:val="24"/>
                <w:szCs w:val="24"/>
                <w:lang w:val="en-US" w:eastAsia="zh-CN"/>
              </w:rPr>
              <w:t>②</w:t>
            </w:r>
            <w:r>
              <w:rPr>
                <w:rFonts w:hint="eastAsia"/>
                <w:sz w:val="24"/>
                <w:szCs w:val="24"/>
                <w:lang w:eastAsia="zh-CN"/>
              </w:rPr>
              <w:t>废催化剂</w:t>
            </w:r>
          </w:p>
          <w:p w14:paraId="18E4F1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auto"/>
                <w:spacing w:val="0"/>
                <w:kern w:val="0"/>
                <w:position w:val="0"/>
                <w:sz w:val="24"/>
                <w:szCs w:val="24"/>
                <w:lang w:val="en-US" w:eastAsia="zh-CN"/>
              </w:rPr>
            </w:pPr>
            <w:r>
              <w:rPr>
                <w:rFonts w:hint="eastAsia"/>
                <w:sz w:val="24"/>
                <w:szCs w:val="24"/>
                <w:lang w:val="en-US" w:eastAsia="zh-CN"/>
              </w:rPr>
              <w:t>本项目有机废气处理装置催化段使用催化燃烧专用催化剂，根据业主提供资料，催化剂</w:t>
            </w:r>
            <w:r>
              <w:rPr>
                <w:rFonts w:hint="eastAsia"/>
                <w:sz w:val="24"/>
                <w:szCs w:val="24"/>
                <w:lang w:eastAsia="zh-CN"/>
              </w:rPr>
              <w:t>约5年更换一次，催化剂装填量共约为</w:t>
            </w:r>
            <w:r>
              <w:rPr>
                <w:rFonts w:hint="eastAsia"/>
                <w:sz w:val="24"/>
                <w:szCs w:val="24"/>
                <w:lang w:val="en-US" w:eastAsia="zh-CN"/>
              </w:rPr>
              <w:t>450kg</w:t>
            </w:r>
            <w:r>
              <w:rPr>
                <w:rFonts w:hint="eastAsia"/>
                <w:sz w:val="24"/>
                <w:szCs w:val="24"/>
                <w:lang w:eastAsia="zh-CN"/>
              </w:rPr>
              <w:t>，则废催化剂产生量为</w:t>
            </w:r>
            <w:r>
              <w:rPr>
                <w:rFonts w:hint="eastAsia"/>
                <w:sz w:val="24"/>
                <w:szCs w:val="24"/>
                <w:lang w:val="en-US" w:eastAsia="zh-CN"/>
              </w:rPr>
              <w:t>0.45t</w:t>
            </w:r>
            <w:r>
              <w:rPr>
                <w:rFonts w:hint="eastAsia"/>
                <w:sz w:val="24"/>
                <w:szCs w:val="24"/>
                <w:lang w:eastAsia="zh-CN"/>
              </w:rPr>
              <w:t>/5a。根据</w:t>
            </w:r>
            <w:r>
              <w:rPr>
                <w:rFonts w:hint="default" w:ascii="Times New Roman" w:hAnsi="Times New Roman" w:cs="Times New Roman"/>
                <w:color w:val="auto"/>
                <w:sz w:val="24"/>
                <w:szCs w:val="24"/>
                <w:lang w:val="en-US" w:eastAsia="zh-CN"/>
              </w:rPr>
              <w:t>《国家危险废物名录》（2025年版），</w:t>
            </w:r>
            <w:r>
              <w:rPr>
                <w:rFonts w:hint="eastAsia"/>
                <w:sz w:val="24"/>
                <w:szCs w:val="24"/>
                <w:lang w:eastAsia="zh-CN"/>
              </w:rPr>
              <w:t>同时参考2024年12月安徽省生态环境厅关于该类危废属于哪种危废代码的回复意见，确定本项目废催化剂</w:t>
            </w:r>
            <w:r>
              <w:rPr>
                <w:rFonts w:hint="default" w:ascii="Times New Roman" w:hAnsi="Times New Roman" w:eastAsia="宋体" w:cs="Times New Roman"/>
                <w:b w:val="0"/>
                <w:bCs w:val="0"/>
                <w:snapToGrid/>
                <w:color w:val="auto"/>
                <w:spacing w:val="0"/>
                <w:kern w:val="0"/>
                <w:position w:val="0"/>
                <w:sz w:val="24"/>
                <w:szCs w:val="24"/>
                <w:lang w:val="en-US" w:eastAsia="zh-CN"/>
              </w:rPr>
              <w:t>属于危险废物</w:t>
            </w:r>
            <w:r>
              <w:rPr>
                <w:rFonts w:hint="eastAsia"/>
                <w:sz w:val="24"/>
                <w:szCs w:val="24"/>
                <w:lang w:eastAsia="zh-CN"/>
              </w:rPr>
              <w:t>HW50，</w:t>
            </w:r>
            <w:r>
              <w:rPr>
                <w:rFonts w:hint="default" w:ascii="Times New Roman" w:hAnsi="Times New Roman" w:eastAsia="宋体" w:cs="Times New Roman"/>
                <w:b w:val="0"/>
                <w:bCs w:val="0"/>
                <w:snapToGrid/>
                <w:color w:val="auto"/>
                <w:spacing w:val="0"/>
                <w:kern w:val="0"/>
                <w:position w:val="0"/>
                <w:sz w:val="24"/>
                <w:szCs w:val="24"/>
                <w:lang w:val="en-US" w:eastAsia="zh-CN"/>
              </w:rPr>
              <w:t>危废代码</w:t>
            </w:r>
            <w:r>
              <w:rPr>
                <w:rFonts w:hint="eastAsia" w:cs="Times New Roman"/>
                <w:b w:val="0"/>
                <w:bCs w:val="0"/>
                <w:snapToGrid/>
                <w:color w:val="auto"/>
                <w:spacing w:val="0"/>
                <w:kern w:val="0"/>
                <w:position w:val="0"/>
                <w:sz w:val="24"/>
                <w:szCs w:val="24"/>
                <w:lang w:val="en-US" w:eastAsia="zh-CN"/>
              </w:rPr>
              <w:t>为</w:t>
            </w:r>
            <w:r>
              <w:rPr>
                <w:rFonts w:hint="eastAsia"/>
                <w:sz w:val="24"/>
                <w:szCs w:val="24"/>
                <w:lang w:eastAsia="zh-CN"/>
              </w:rPr>
              <w:t>900-049-50，</w:t>
            </w:r>
            <w:r>
              <w:rPr>
                <w:rFonts w:hint="default" w:ascii="Times New Roman" w:hAnsi="Times New Roman" w:eastAsia="宋体" w:cs="Times New Roman"/>
                <w:b w:val="0"/>
                <w:bCs w:val="0"/>
                <w:snapToGrid/>
                <w:color w:val="auto"/>
                <w:spacing w:val="0"/>
                <w:kern w:val="0"/>
                <w:position w:val="0"/>
                <w:sz w:val="24"/>
                <w:szCs w:val="24"/>
                <w:lang w:val="en-US" w:eastAsia="zh-CN"/>
              </w:rPr>
              <w:t>于厂内危废暂存场所暂存后委托有资质单位妥善处置。</w:t>
            </w:r>
          </w:p>
          <w:p w14:paraId="3DAAF3DE">
            <w:pPr>
              <w:pStyle w:val="33"/>
              <w:widowControl/>
              <w:adjustRightIn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③</w:t>
            </w:r>
            <w:r>
              <w:rPr>
                <w:rFonts w:hint="eastAsia" w:ascii="Times New Roman" w:hAnsi="Times New Roman" w:cs="Times New Roman"/>
                <w:color w:val="auto"/>
                <w:sz w:val="24"/>
                <w:szCs w:val="24"/>
                <w:lang w:val="en-US" w:eastAsia="zh-CN"/>
              </w:rPr>
              <w:t>废润滑油</w:t>
            </w:r>
          </w:p>
          <w:p w14:paraId="48BB3C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auto"/>
                <w:spacing w:val="0"/>
                <w:kern w:val="0"/>
                <w:position w:val="0"/>
                <w:sz w:val="24"/>
                <w:szCs w:val="24"/>
                <w:lang w:val="en-US" w:eastAsia="zh-CN"/>
              </w:rPr>
            </w:pPr>
            <w:r>
              <w:rPr>
                <w:rFonts w:hint="eastAsia" w:ascii="Times New Roman" w:hAnsi="Times New Roman" w:cs="Times New Roman"/>
                <w:color w:val="auto"/>
                <w:sz w:val="24"/>
                <w:szCs w:val="24"/>
                <w:lang w:val="en-US" w:eastAsia="zh-CN"/>
              </w:rPr>
              <w:t>项目设备定期维护检修，产生废润滑油，根据企业提供资料，废润滑油产生量为0.1t/a，根据《国家危险废物名录》（2025年版），废润滑油属于</w:t>
            </w:r>
            <w:r>
              <w:rPr>
                <w:rFonts w:hint="default" w:ascii="Times New Roman" w:hAnsi="Times New Roman" w:eastAsia="宋体" w:cs="Times New Roman"/>
                <w:b w:val="0"/>
                <w:bCs w:val="0"/>
                <w:snapToGrid/>
                <w:color w:val="auto"/>
                <w:spacing w:val="0"/>
                <w:kern w:val="0"/>
                <w:position w:val="0"/>
                <w:sz w:val="24"/>
                <w:szCs w:val="24"/>
                <w:lang w:val="en-US" w:eastAsia="zh-CN"/>
              </w:rPr>
              <w:t>危险废物</w:t>
            </w:r>
            <w:r>
              <w:rPr>
                <w:rFonts w:hint="eastAsia" w:ascii="Times New Roman" w:hAnsi="Times New Roman" w:cs="Times New Roman"/>
                <w:color w:val="auto"/>
                <w:sz w:val="24"/>
                <w:szCs w:val="24"/>
                <w:lang w:val="en-US" w:eastAsia="zh-CN"/>
              </w:rPr>
              <w:t>HW08，</w:t>
            </w:r>
            <w:r>
              <w:rPr>
                <w:rFonts w:hint="default" w:ascii="Times New Roman" w:hAnsi="Times New Roman" w:eastAsia="宋体" w:cs="Times New Roman"/>
                <w:b w:val="0"/>
                <w:bCs w:val="0"/>
                <w:snapToGrid/>
                <w:color w:val="auto"/>
                <w:spacing w:val="0"/>
                <w:kern w:val="0"/>
                <w:position w:val="0"/>
                <w:sz w:val="24"/>
                <w:szCs w:val="24"/>
                <w:lang w:val="en-US" w:eastAsia="zh-CN"/>
              </w:rPr>
              <w:t>危废代码</w:t>
            </w:r>
            <w:r>
              <w:rPr>
                <w:rFonts w:hint="eastAsia" w:cs="Times New Roman"/>
                <w:b w:val="0"/>
                <w:bCs w:val="0"/>
                <w:snapToGrid/>
                <w:color w:val="auto"/>
                <w:spacing w:val="0"/>
                <w:kern w:val="0"/>
                <w:position w:val="0"/>
                <w:sz w:val="24"/>
                <w:szCs w:val="24"/>
                <w:lang w:val="en-US" w:eastAsia="zh-CN"/>
              </w:rPr>
              <w:t>为</w:t>
            </w:r>
            <w:r>
              <w:rPr>
                <w:rFonts w:hint="eastAsia" w:ascii="Times New Roman" w:hAnsi="Times New Roman" w:cs="Times New Roman"/>
                <w:color w:val="auto"/>
                <w:sz w:val="24"/>
                <w:szCs w:val="24"/>
                <w:lang w:val="en-US" w:eastAsia="zh-CN"/>
              </w:rPr>
              <w:t>900-217-08，</w:t>
            </w:r>
            <w:r>
              <w:rPr>
                <w:rFonts w:hint="default" w:ascii="Times New Roman" w:hAnsi="Times New Roman" w:eastAsia="宋体" w:cs="Times New Roman"/>
                <w:b w:val="0"/>
                <w:bCs w:val="0"/>
                <w:snapToGrid/>
                <w:color w:val="auto"/>
                <w:spacing w:val="0"/>
                <w:kern w:val="0"/>
                <w:position w:val="0"/>
                <w:sz w:val="24"/>
                <w:szCs w:val="24"/>
                <w:lang w:val="en-US" w:eastAsia="zh-CN"/>
              </w:rPr>
              <w:t>于厂内危废暂存场所暂存后委托有资质单位妥善处置。</w:t>
            </w:r>
          </w:p>
          <w:p w14:paraId="4AA64EC3">
            <w:pPr>
              <w:pStyle w:val="33"/>
              <w:widowControl/>
              <w:adjustRightIn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fldChar w:fldCharType="begin"/>
            </w:r>
            <w:r>
              <w:rPr>
                <w:rFonts w:hint="eastAsia" w:ascii="Times New Roman" w:hAnsi="Times New Roman" w:cs="Times New Roman"/>
                <w:color w:val="auto"/>
                <w:sz w:val="24"/>
                <w:szCs w:val="24"/>
                <w:lang w:val="en-US" w:eastAsia="zh-CN"/>
              </w:rPr>
              <w:instrText xml:space="preserve"> = 4 \* GB3 \* MERGEFORMAT </w:instrText>
            </w:r>
            <w:r>
              <w:rPr>
                <w:rFonts w:hint="eastAsia" w:ascii="Times New Roman" w:hAnsi="Times New Roman" w:cs="Times New Roman"/>
                <w:color w:val="auto"/>
                <w:sz w:val="24"/>
                <w:szCs w:val="24"/>
                <w:lang w:val="en-US" w:eastAsia="zh-CN"/>
              </w:rPr>
              <w:fldChar w:fldCharType="separate"/>
            </w:r>
            <w:r>
              <w:t>④</w:t>
            </w:r>
            <w:r>
              <w:rPr>
                <w:rFonts w:hint="eastAsia" w:ascii="Times New Roman" w:hAnsi="Times New Roman" w:cs="Times New Roman"/>
                <w:color w:val="auto"/>
                <w:sz w:val="24"/>
                <w:szCs w:val="24"/>
                <w:lang w:val="en-US" w:eastAsia="zh-CN"/>
              </w:rPr>
              <w:fldChar w:fldCharType="end"/>
            </w:r>
            <w:r>
              <w:rPr>
                <w:rFonts w:hint="eastAsia" w:ascii="Times New Roman" w:hAnsi="Times New Roman" w:cs="Times New Roman"/>
                <w:color w:val="auto"/>
                <w:sz w:val="24"/>
                <w:szCs w:val="24"/>
                <w:lang w:val="en-US" w:eastAsia="zh-CN"/>
              </w:rPr>
              <w:t>废润滑油桶</w:t>
            </w:r>
          </w:p>
          <w:p w14:paraId="1DC675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auto"/>
                <w:spacing w:val="0"/>
                <w:kern w:val="0"/>
                <w:position w:val="0"/>
                <w:sz w:val="24"/>
                <w:szCs w:val="24"/>
                <w:lang w:val="en-US" w:eastAsia="zh-CN"/>
              </w:rPr>
            </w:pPr>
            <w:r>
              <w:rPr>
                <w:rFonts w:hint="eastAsia" w:ascii="Times New Roman" w:hAnsi="Times New Roman" w:cs="Times New Roman"/>
                <w:color w:val="auto"/>
                <w:sz w:val="24"/>
                <w:szCs w:val="24"/>
                <w:lang w:val="en-US" w:eastAsia="zh-CN"/>
              </w:rPr>
              <w:t>本项目预计会产生废润滑油桶约30个（单个空桶约1.0kg）。则项目废包装桶产生量为0.03t/a。根据《国家危险废物名录》（2025年版），废润滑油桶属于</w:t>
            </w:r>
            <w:r>
              <w:rPr>
                <w:rFonts w:hint="default" w:ascii="Times New Roman" w:hAnsi="Times New Roman" w:eastAsia="宋体" w:cs="Times New Roman"/>
                <w:b w:val="0"/>
                <w:bCs w:val="0"/>
                <w:snapToGrid/>
                <w:color w:val="auto"/>
                <w:spacing w:val="0"/>
                <w:kern w:val="0"/>
                <w:position w:val="0"/>
                <w:sz w:val="24"/>
                <w:szCs w:val="24"/>
                <w:lang w:val="en-US" w:eastAsia="zh-CN"/>
              </w:rPr>
              <w:t>危险废物</w:t>
            </w:r>
            <w:r>
              <w:rPr>
                <w:rFonts w:hint="eastAsia" w:ascii="Times New Roman" w:hAnsi="Times New Roman" w:cs="Times New Roman"/>
                <w:color w:val="auto"/>
                <w:sz w:val="24"/>
                <w:szCs w:val="24"/>
                <w:lang w:val="en-US" w:eastAsia="zh-CN"/>
              </w:rPr>
              <w:t>HW08，</w:t>
            </w:r>
            <w:r>
              <w:rPr>
                <w:rFonts w:hint="default" w:ascii="Times New Roman" w:hAnsi="Times New Roman" w:eastAsia="宋体" w:cs="Times New Roman"/>
                <w:b w:val="0"/>
                <w:bCs w:val="0"/>
                <w:snapToGrid/>
                <w:color w:val="auto"/>
                <w:spacing w:val="0"/>
                <w:kern w:val="0"/>
                <w:position w:val="0"/>
                <w:sz w:val="24"/>
                <w:szCs w:val="24"/>
                <w:lang w:val="en-US" w:eastAsia="zh-CN"/>
              </w:rPr>
              <w:t>危废代码</w:t>
            </w:r>
            <w:r>
              <w:rPr>
                <w:rFonts w:hint="eastAsia" w:cs="Times New Roman"/>
                <w:b w:val="0"/>
                <w:bCs w:val="0"/>
                <w:snapToGrid/>
                <w:color w:val="auto"/>
                <w:spacing w:val="0"/>
                <w:kern w:val="0"/>
                <w:position w:val="0"/>
                <w:sz w:val="24"/>
                <w:szCs w:val="24"/>
                <w:lang w:val="en-US" w:eastAsia="zh-CN"/>
              </w:rPr>
              <w:t>为</w:t>
            </w:r>
            <w:r>
              <w:rPr>
                <w:rFonts w:hint="eastAsia" w:ascii="Times New Roman" w:hAnsi="Times New Roman" w:cs="Times New Roman"/>
                <w:color w:val="auto"/>
                <w:sz w:val="24"/>
                <w:szCs w:val="24"/>
                <w:lang w:val="en-US" w:eastAsia="zh-CN"/>
              </w:rPr>
              <w:t>900-249-08。</w:t>
            </w:r>
            <w:r>
              <w:rPr>
                <w:rFonts w:hint="default" w:ascii="Times New Roman" w:hAnsi="Times New Roman" w:eastAsia="宋体" w:cs="Times New Roman"/>
                <w:b w:val="0"/>
                <w:bCs w:val="0"/>
                <w:snapToGrid/>
                <w:color w:val="auto"/>
                <w:spacing w:val="0"/>
                <w:kern w:val="0"/>
                <w:position w:val="0"/>
                <w:sz w:val="24"/>
                <w:szCs w:val="24"/>
                <w:lang w:val="en-US" w:eastAsia="zh-CN"/>
              </w:rPr>
              <w:t>于厂内危废暂存场所暂存后委托有资质单位妥善处置。</w:t>
            </w:r>
          </w:p>
          <w:p w14:paraId="339E8197">
            <w:pPr>
              <w:pStyle w:val="33"/>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fldChar w:fldCharType="begin"/>
            </w:r>
            <w:r>
              <w:rPr>
                <w:rFonts w:hint="default" w:ascii="Times New Roman" w:hAnsi="Times New Roman" w:cs="Times New Roman"/>
                <w:color w:val="auto"/>
                <w:sz w:val="24"/>
                <w:szCs w:val="24"/>
                <w:lang w:val="en-US" w:eastAsia="zh-CN"/>
              </w:rPr>
              <w:instrText xml:space="preserve"> = 5 \* GB3 \* MERGEFORMAT </w:instrText>
            </w:r>
            <w:r>
              <w:rPr>
                <w:rFonts w:hint="default" w:ascii="Times New Roman" w:hAnsi="Times New Roman" w:cs="Times New Roman"/>
                <w:color w:val="auto"/>
                <w:sz w:val="24"/>
                <w:szCs w:val="24"/>
                <w:lang w:val="en-US" w:eastAsia="zh-CN"/>
              </w:rPr>
              <w:fldChar w:fldCharType="separate"/>
            </w:r>
            <w:r>
              <w:rPr>
                <w:color w:val="auto"/>
              </w:rPr>
              <w:t>⑤</w:t>
            </w:r>
            <w:r>
              <w:rPr>
                <w:rFonts w:hint="default" w:ascii="Times New Roman" w:hAnsi="Times New Roman" w:cs="Times New Roman"/>
                <w:color w:val="auto"/>
                <w:sz w:val="24"/>
                <w:szCs w:val="24"/>
                <w:lang w:val="en-US" w:eastAsia="zh-CN"/>
              </w:rPr>
              <w:fldChar w:fldCharType="end"/>
            </w:r>
            <w:r>
              <w:rPr>
                <w:rFonts w:hint="eastAsia" w:cs="Times New Roman"/>
                <w:color w:val="auto"/>
                <w:sz w:val="24"/>
                <w:szCs w:val="24"/>
                <w:lang w:val="en-US" w:eastAsia="zh-CN"/>
              </w:rPr>
              <w:t>喷淋废水</w:t>
            </w:r>
          </w:p>
          <w:p w14:paraId="68D3DA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snapToGrid/>
                <w:color w:val="auto"/>
                <w:spacing w:val="0"/>
                <w:kern w:val="0"/>
                <w:position w:val="0"/>
                <w:sz w:val="24"/>
                <w:szCs w:val="24"/>
                <w:lang w:val="en-US" w:eastAsia="zh-CN"/>
              </w:rPr>
            </w:pPr>
            <w:r>
              <w:rPr>
                <w:rFonts w:hint="eastAsia" w:cs="Times New Roman"/>
                <w:color w:val="auto"/>
                <w:sz w:val="24"/>
                <w:szCs w:val="24"/>
                <w:lang w:val="en-US" w:eastAsia="zh-CN"/>
              </w:rPr>
              <w:t>根据工程分析项目喷淋废水产生量12t/a，</w:t>
            </w:r>
            <w:r>
              <w:rPr>
                <w:rFonts w:hint="eastAsia" w:ascii="Times New Roman" w:hAnsi="Times New Roman" w:cs="Times New Roman"/>
                <w:color w:val="auto"/>
                <w:sz w:val="24"/>
                <w:szCs w:val="24"/>
                <w:lang w:val="en-US" w:eastAsia="zh-CN"/>
              </w:rPr>
              <w:t>根据《国家危险废物名录》（2025年版），</w:t>
            </w:r>
            <w:r>
              <w:rPr>
                <w:rFonts w:hint="eastAsia" w:cs="Times New Roman"/>
                <w:color w:val="auto"/>
                <w:sz w:val="24"/>
                <w:szCs w:val="24"/>
                <w:lang w:val="en-US" w:eastAsia="zh-CN"/>
              </w:rPr>
              <w:t>喷淋废水</w:t>
            </w:r>
            <w:r>
              <w:rPr>
                <w:rFonts w:hint="eastAsia" w:ascii="Times New Roman" w:hAnsi="Times New Roman" w:cs="Times New Roman"/>
                <w:color w:val="auto"/>
                <w:sz w:val="24"/>
                <w:szCs w:val="24"/>
                <w:lang w:val="en-US" w:eastAsia="zh-CN"/>
              </w:rPr>
              <w:t>属于</w:t>
            </w:r>
            <w:r>
              <w:rPr>
                <w:rFonts w:hint="default" w:ascii="Times New Roman" w:hAnsi="Times New Roman" w:eastAsia="宋体" w:cs="Times New Roman"/>
                <w:b w:val="0"/>
                <w:bCs w:val="0"/>
                <w:snapToGrid/>
                <w:color w:val="auto"/>
                <w:spacing w:val="0"/>
                <w:kern w:val="0"/>
                <w:position w:val="0"/>
                <w:sz w:val="24"/>
                <w:szCs w:val="24"/>
                <w:lang w:val="en-US" w:eastAsia="zh-CN"/>
              </w:rPr>
              <w:t>危险废物</w:t>
            </w:r>
            <w:r>
              <w:rPr>
                <w:rFonts w:hint="eastAsia" w:ascii="Times New Roman" w:hAnsi="Times New Roman" w:cs="Times New Roman"/>
                <w:color w:val="auto"/>
                <w:sz w:val="24"/>
                <w:szCs w:val="24"/>
                <w:lang w:val="en-US" w:eastAsia="zh-CN"/>
              </w:rPr>
              <w:t>HW</w:t>
            </w:r>
            <w:r>
              <w:rPr>
                <w:rFonts w:hint="eastAsia" w:cs="Times New Roman"/>
                <w:color w:val="auto"/>
                <w:sz w:val="24"/>
                <w:szCs w:val="24"/>
                <w:lang w:val="en-US" w:eastAsia="zh-CN"/>
              </w:rPr>
              <w:t>49其他废物</w:t>
            </w:r>
            <w:r>
              <w:rPr>
                <w:rFonts w:hint="eastAsia" w:ascii="Times New Roman" w:hAnsi="Times New Roman" w:cs="Times New Roman"/>
                <w:color w:val="auto"/>
                <w:sz w:val="24"/>
                <w:szCs w:val="24"/>
                <w:lang w:val="en-US" w:eastAsia="zh-CN"/>
              </w:rPr>
              <w:t>，</w:t>
            </w:r>
            <w:r>
              <w:rPr>
                <w:rFonts w:hint="default" w:ascii="Times New Roman" w:hAnsi="Times New Roman" w:eastAsia="宋体" w:cs="Times New Roman"/>
                <w:b w:val="0"/>
                <w:bCs w:val="0"/>
                <w:snapToGrid/>
                <w:color w:val="auto"/>
                <w:spacing w:val="0"/>
                <w:kern w:val="0"/>
                <w:position w:val="0"/>
                <w:sz w:val="24"/>
                <w:szCs w:val="24"/>
                <w:lang w:val="en-US" w:eastAsia="zh-CN"/>
              </w:rPr>
              <w:t>危废代码</w:t>
            </w:r>
            <w:r>
              <w:rPr>
                <w:rFonts w:hint="eastAsia" w:cs="Times New Roman"/>
                <w:b w:val="0"/>
                <w:bCs w:val="0"/>
                <w:snapToGrid/>
                <w:color w:val="auto"/>
                <w:spacing w:val="0"/>
                <w:kern w:val="0"/>
                <w:position w:val="0"/>
                <w:sz w:val="24"/>
                <w:szCs w:val="24"/>
                <w:lang w:val="en-US" w:eastAsia="zh-CN"/>
              </w:rPr>
              <w:t>为772-006-49</w:t>
            </w:r>
            <w:r>
              <w:rPr>
                <w:rFonts w:hint="eastAsia" w:ascii="Times New Roman" w:hAnsi="Times New Roman" w:cs="Times New Roman"/>
                <w:color w:val="auto"/>
                <w:sz w:val="24"/>
                <w:szCs w:val="24"/>
                <w:lang w:val="en-US" w:eastAsia="zh-CN"/>
              </w:rPr>
              <w:t>。</w:t>
            </w:r>
            <w:r>
              <w:rPr>
                <w:rFonts w:hint="default" w:ascii="Times New Roman" w:hAnsi="Times New Roman" w:eastAsia="宋体" w:cs="Times New Roman"/>
                <w:b w:val="0"/>
                <w:bCs w:val="0"/>
                <w:snapToGrid/>
                <w:color w:val="auto"/>
                <w:spacing w:val="0"/>
                <w:kern w:val="0"/>
                <w:position w:val="0"/>
                <w:sz w:val="24"/>
                <w:szCs w:val="24"/>
                <w:lang w:val="en-US" w:eastAsia="zh-CN"/>
              </w:rPr>
              <w:t>于厂内危废暂存场所暂存后委托有资质单位妥善处置。</w:t>
            </w:r>
          </w:p>
          <w:p w14:paraId="4EB852E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center"/>
              <w:textAlignment w:val="auto"/>
              <w:rPr>
                <w:rFonts w:hint="default" w:ascii="Times New Roman" w:hAnsi="Times New Roman" w:eastAsia="宋体" w:cs="Times New Roman"/>
                <w:snapToGrid/>
                <w:color w:val="auto"/>
                <w:spacing w:val="0"/>
                <w:kern w:val="0"/>
                <w:position w:val="0"/>
                <w:sz w:val="24"/>
                <w:szCs w:val="24"/>
              </w:rPr>
            </w:pPr>
            <w:r>
              <w:rPr>
                <w:rFonts w:hint="default" w:ascii="Times New Roman" w:hAnsi="Times New Roman" w:eastAsia="宋体" w:cs="Times New Roman"/>
                <w:b/>
                <w:bCs/>
                <w:snapToGrid/>
                <w:color w:val="auto"/>
                <w:spacing w:val="0"/>
                <w:kern w:val="0"/>
                <w:position w:val="0"/>
                <w:sz w:val="24"/>
                <w:szCs w:val="24"/>
              </w:rPr>
              <w:t>表</w:t>
            </w:r>
            <w:r>
              <w:rPr>
                <w:rFonts w:hint="default" w:ascii="Times New Roman" w:hAnsi="Times New Roman" w:eastAsia="宋体" w:cs="Times New Roman"/>
                <w:b/>
                <w:bCs/>
                <w:snapToGrid/>
                <w:color w:val="auto"/>
                <w:spacing w:val="0"/>
                <w:kern w:val="0"/>
                <w:position w:val="0"/>
                <w:sz w:val="24"/>
                <w:szCs w:val="24"/>
                <w:lang w:val="en-US" w:eastAsia="zh-CN"/>
              </w:rPr>
              <w:t>4.</w:t>
            </w:r>
            <w:r>
              <w:rPr>
                <w:rFonts w:hint="eastAsia" w:cs="Times New Roman"/>
                <w:b/>
                <w:bCs/>
                <w:snapToGrid/>
                <w:color w:val="auto"/>
                <w:spacing w:val="0"/>
                <w:kern w:val="0"/>
                <w:position w:val="0"/>
                <w:sz w:val="24"/>
                <w:szCs w:val="24"/>
                <w:lang w:val="en-US" w:eastAsia="zh-CN"/>
              </w:rPr>
              <w:t>13</w:t>
            </w:r>
            <w:r>
              <w:rPr>
                <w:rFonts w:hint="default" w:ascii="Times New Roman" w:hAnsi="Times New Roman" w:eastAsia="宋体" w:cs="Times New Roman"/>
                <w:b/>
                <w:bCs/>
                <w:snapToGrid/>
                <w:color w:val="auto"/>
                <w:spacing w:val="0"/>
                <w:kern w:val="0"/>
                <w:position w:val="0"/>
                <w:sz w:val="24"/>
                <w:szCs w:val="24"/>
              </w:rPr>
              <w:t xml:space="preserve"> </w:t>
            </w:r>
            <w:r>
              <w:rPr>
                <w:rFonts w:hint="eastAsia" w:ascii="Times New Roman" w:hAnsi="Times New Roman" w:eastAsia="宋体" w:cs="Times New Roman"/>
                <w:b/>
                <w:bCs/>
                <w:snapToGrid/>
                <w:color w:val="auto"/>
                <w:spacing w:val="0"/>
                <w:kern w:val="0"/>
                <w:position w:val="0"/>
                <w:sz w:val="24"/>
                <w:szCs w:val="24"/>
                <w:lang w:val="en-US" w:eastAsia="zh-CN"/>
              </w:rPr>
              <w:t xml:space="preserve"> </w:t>
            </w:r>
            <w:r>
              <w:rPr>
                <w:rFonts w:hint="default" w:ascii="Times New Roman" w:hAnsi="Times New Roman" w:eastAsia="宋体" w:cs="Times New Roman"/>
                <w:b/>
                <w:bCs/>
                <w:snapToGrid/>
                <w:color w:val="auto"/>
                <w:spacing w:val="0"/>
                <w:kern w:val="0"/>
                <w:position w:val="0"/>
                <w:sz w:val="24"/>
                <w:szCs w:val="24"/>
              </w:rPr>
              <w:t>项目固体废物产</w:t>
            </w:r>
            <w:r>
              <w:rPr>
                <w:rFonts w:hint="eastAsia" w:ascii="Times New Roman" w:hAnsi="Times New Roman" w:eastAsia="宋体" w:cs="Times New Roman"/>
                <w:b/>
                <w:bCs/>
                <w:snapToGrid/>
                <w:color w:val="auto"/>
                <w:spacing w:val="0"/>
                <w:kern w:val="0"/>
                <w:position w:val="0"/>
                <w:sz w:val="24"/>
                <w:szCs w:val="24"/>
                <w:lang w:eastAsia="zh-CN"/>
              </w:rPr>
              <w:t>排污</w:t>
            </w:r>
            <w:r>
              <w:rPr>
                <w:rFonts w:hint="default" w:ascii="Times New Roman" w:hAnsi="Times New Roman" w:eastAsia="宋体" w:cs="Times New Roman"/>
                <w:b/>
                <w:bCs/>
                <w:snapToGrid/>
                <w:color w:val="auto"/>
                <w:spacing w:val="0"/>
                <w:kern w:val="0"/>
                <w:position w:val="0"/>
                <w:sz w:val="24"/>
                <w:szCs w:val="24"/>
              </w:rPr>
              <w:t>情况</w:t>
            </w:r>
            <w:r>
              <w:rPr>
                <w:rFonts w:hint="eastAsia" w:ascii="Times New Roman" w:hAnsi="Times New Roman" w:eastAsia="宋体" w:cs="Times New Roman"/>
                <w:b/>
                <w:bCs/>
                <w:snapToGrid/>
                <w:color w:val="auto"/>
                <w:spacing w:val="0"/>
                <w:kern w:val="0"/>
                <w:position w:val="0"/>
                <w:sz w:val="24"/>
                <w:szCs w:val="24"/>
                <w:lang w:eastAsia="zh-CN"/>
              </w:rPr>
              <w:t>一览</w:t>
            </w:r>
            <w:r>
              <w:rPr>
                <w:rFonts w:hint="default" w:ascii="Times New Roman" w:hAnsi="Times New Roman" w:eastAsia="宋体" w:cs="Times New Roman"/>
                <w:b/>
                <w:bCs/>
                <w:snapToGrid/>
                <w:color w:val="auto"/>
                <w:spacing w:val="0"/>
                <w:kern w:val="0"/>
                <w:position w:val="0"/>
                <w:sz w:val="24"/>
                <w:szCs w:val="24"/>
              </w:rPr>
              <w:t>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671"/>
              <w:gridCol w:w="661"/>
              <w:gridCol w:w="515"/>
              <w:gridCol w:w="860"/>
              <w:gridCol w:w="515"/>
              <w:gridCol w:w="837"/>
              <w:gridCol w:w="888"/>
              <w:gridCol w:w="460"/>
              <w:gridCol w:w="860"/>
              <w:gridCol w:w="847"/>
              <w:gridCol w:w="669"/>
            </w:tblGrid>
            <w:tr w14:paraId="3FC3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5784576B">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序号</w:t>
                  </w:r>
                </w:p>
              </w:tc>
              <w:tc>
                <w:tcPr>
                  <w:tcW w:w="408" w:type="pct"/>
                  <w:noWrap w:val="0"/>
                  <w:vAlign w:val="center"/>
                </w:tcPr>
                <w:p w14:paraId="0EDA674C">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产生环节</w:t>
                  </w:r>
                </w:p>
              </w:tc>
              <w:tc>
                <w:tcPr>
                  <w:tcW w:w="402" w:type="pct"/>
                  <w:noWrap w:val="0"/>
                  <w:vAlign w:val="center"/>
                </w:tcPr>
                <w:p w14:paraId="06C26E99">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固废名称</w:t>
                  </w:r>
                </w:p>
              </w:tc>
              <w:tc>
                <w:tcPr>
                  <w:tcW w:w="313" w:type="pct"/>
                  <w:noWrap w:val="0"/>
                  <w:vAlign w:val="center"/>
                </w:tcPr>
                <w:p w14:paraId="07ADB6B5">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属性</w:t>
                  </w:r>
                </w:p>
              </w:tc>
              <w:tc>
                <w:tcPr>
                  <w:tcW w:w="523" w:type="pct"/>
                  <w:noWrap w:val="0"/>
                  <w:vAlign w:val="center"/>
                </w:tcPr>
                <w:p w14:paraId="312FA370">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主要有毒有害物质名称</w:t>
                  </w:r>
                </w:p>
              </w:tc>
              <w:tc>
                <w:tcPr>
                  <w:tcW w:w="313" w:type="pct"/>
                  <w:noWrap w:val="0"/>
                  <w:vAlign w:val="center"/>
                </w:tcPr>
                <w:p w14:paraId="2C3D48C8">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物理性状</w:t>
                  </w:r>
                </w:p>
              </w:tc>
              <w:tc>
                <w:tcPr>
                  <w:tcW w:w="509" w:type="pct"/>
                  <w:noWrap w:val="0"/>
                  <w:vAlign w:val="center"/>
                </w:tcPr>
                <w:p w14:paraId="604E4445">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环境危险特性</w:t>
                  </w:r>
                </w:p>
              </w:tc>
              <w:tc>
                <w:tcPr>
                  <w:tcW w:w="540" w:type="pct"/>
                  <w:noWrap w:val="0"/>
                  <w:vAlign w:val="center"/>
                </w:tcPr>
                <w:p w14:paraId="5312B89B">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产生量（</w:t>
                  </w:r>
                  <w:r>
                    <w:rPr>
                      <w:rFonts w:hint="default" w:ascii="Times New Roman" w:hAnsi="Times New Roman" w:eastAsia="宋体" w:cs="Times New Roman"/>
                      <w:snapToGrid/>
                      <w:color w:val="auto"/>
                      <w:spacing w:val="0"/>
                      <w:kern w:val="0"/>
                      <w:position w:val="0"/>
                      <w:sz w:val="21"/>
                      <w:szCs w:val="21"/>
                      <w:lang w:val="en-US" w:eastAsia="zh-CN"/>
                    </w:rPr>
                    <w:t>t/a</w:t>
                  </w:r>
                  <w:r>
                    <w:rPr>
                      <w:rFonts w:hint="default" w:ascii="Times New Roman" w:hAnsi="Times New Roman" w:eastAsia="宋体" w:cs="Times New Roman"/>
                      <w:snapToGrid/>
                      <w:color w:val="auto"/>
                      <w:spacing w:val="0"/>
                      <w:kern w:val="0"/>
                      <w:position w:val="0"/>
                      <w:sz w:val="21"/>
                      <w:szCs w:val="21"/>
                      <w:lang w:eastAsia="zh-CN"/>
                    </w:rPr>
                    <w:t>）</w:t>
                  </w:r>
                </w:p>
              </w:tc>
              <w:tc>
                <w:tcPr>
                  <w:tcW w:w="280" w:type="pct"/>
                  <w:noWrap w:val="0"/>
                  <w:vAlign w:val="center"/>
                </w:tcPr>
                <w:p w14:paraId="140BAD09">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贮存方式</w:t>
                  </w:r>
                </w:p>
              </w:tc>
              <w:tc>
                <w:tcPr>
                  <w:tcW w:w="523" w:type="pct"/>
                  <w:noWrap w:val="0"/>
                  <w:vAlign w:val="center"/>
                </w:tcPr>
                <w:p w14:paraId="0F0C3FEC">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利用处置方式和去向</w:t>
                  </w:r>
                </w:p>
              </w:tc>
              <w:tc>
                <w:tcPr>
                  <w:tcW w:w="515" w:type="pct"/>
                  <w:noWrap w:val="0"/>
                  <w:vAlign w:val="center"/>
                </w:tcPr>
                <w:p w14:paraId="4AC9826F">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利用量或处置量（</w:t>
                  </w:r>
                  <w:r>
                    <w:rPr>
                      <w:rFonts w:hint="default" w:ascii="Times New Roman" w:hAnsi="Times New Roman" w:eastAsia="宋体" w:cs="Times New Roman"/>
                      <w:snapToGrid/>
                      <w:color w:val="auto"/>
                      <w:spacing w:val="0"/>
                      <w:kern w:val="0"/>
                      <w:position w:val="0"/>
                      <w:sz w:val="21"/>
                      <w:szCs w:val="21"/>
                      <w:lang w:val="en-US" w:eastAsia="zh-CN"/>
                    </w:rPr>
                    <w:t>t/a</w:t>
                  </w:r>
                  <w:r>
                    <w:rPr>
                      <w:rFonts w:hint="default" w:ascii="Times New Roman" w:hAnsi="Times New Roman" w:eastAsia="宋体" w:cs="Times New Roman"/>
                      <w:snapToGrid/>
                      <w:color w:val="auto"/>
                      <w:spacing w:val="0"/>
                      <w:kern w:val="0"/>
                      <w:position w:val="0"/>
                      <w:sz w:val="21"/>
                      <w:szCs w:val="21"/>
                      <w:lang w:eastAsia="zh-CN"/>
                    </w:rPr>
                    <w:t>）</w:t>
                  </w:r>
                </w:p>
              </w:tc>
              <w:tc>
                <w:tcPr>
                  <w:tcW w:w="407" w:type="pct"/>
                  <w:noWrap w:val="0"/>
                  <w:vAlign w:val="center"/>
                </w:tcPr>
                <w:p w14:paraId="0DACF4AF">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环境管理要求</w:t>
                  </w:r>
                </w:p>
              </w:tc>
            </w:tr>
            <w:tr w14:paraId="3586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6536C824">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1</w:t>
                  </w:r>
                </w:p>
              </w:tc>
              <w:tc>
                <w:tcPr>
                  <w:tcW w:w="408" w:type="pct"/>
                  <w:noWrap w:val="0"/>
                  <w:vAlign w:val="center"/>
                </w:tcPr>
                <w:p w14:paraId="12AECA9A">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default" w:ascii="Times New Roman" w:hAnsi="Times New Roman" w:eastAsia="宋体" w:cs="Times New Roman"/>
                      <w:b w:val="0"/>
                      <w:bCs w:val="0"/>
                      <w:snapToGrid/>
                      <w:color w:val="auto"/>
                      <w:spacing w:val="0"/>
                      <w:kern w:val="0"/>
                      <w:position w:val="0"/>
                      <w:sz w:val="21"/>
                      <w:szCs w:val="21"/>
                      <w:vertAlign w:val="baseline"/>
                      <w:lang w:eastAsia="zh-CN"/>
                    </w:rPr>
                    <w:t>职工生活</w:t>
                  </w:r>
                </w:p>
              </w:tc>
              <w:tc>
                <w:tcPr>
                  <w:tcW w:w="402" w:type="pct"/>
                  <w:noWrap w:val="0"/>
                  <w:vAlign w:val="center"/>
                </w:tcPr>
                <w:p w14:paraId="3FDE676F">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default" w:ascii="Times New Roman" w:hAnsi="Times New Roman" w:eastAsia="宋体" w:cs="Times New Roman"/>
                      <w:b w:val="0"/>
                      <w:bCs w:val="0"/>
                      <w:snapToGrid/>
                      <w:color w:val="auto"/>
                      <w:spacing w:val="0"/>
                      <w:kern w:val="0"/>
                      <w:position w:val="0"/>
                      <w:sz w:val="21"/>
                      <w:szCs w:val="21"/>
                      <w:vertAlign w:val="baseline"/>
                      <w:lang w:eastAsia="zh-CN"/>
                    </w:rPr>
                    <w:t>生活垃圾</w:t>
                  </w:r>
                </w:p>
              </w:tc>
              <w:tc>
                <w:tcPr>
                  <w:tcW w:w="313" w:type="pct"/>
                  <w:vMerge w:val="restart"/>
                  <w:noWrap w:val="0"/>
                  <w:vAlign w:val="center"/>
                </w:tcPr>
                <w:p w14:paraId="31CA660F">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一般</w:t>
                  </w:r>
                </w:p>
                <w:p w14:paraId="4CF05E73">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固废</w:t>
                  </w:r>
                </w:p>
              </w:tc>
              <w:tc>
                <w:tcPr>
                  <w:tcW w:w="523" w:type="pct"/>
                  <w:noWrap w:val="0"/>
                  <w:vAlign w:val="center"/>
                </w:tcPr>
                <w:p w14:paraId="64021872">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w:t>
                  </w:r>
                </w:p>
              </w:tc>
              <w:tc>
                <w:tcPr>
                  <w:tcW w:w="313" w:type="pct"/>
                  <w:noWrap w:val="0"/>
                  <w:vAlign w:val="center"/>
                </w:tcPr>
                <w:p w14:paraId="3EFCA564">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固态</w:t>
                  </w:r>
                </w:p>
              </w:tc>
              <w:tc>
                <w:tcPr>
                  <w:tcW w:w="509" w:type="pct"/>
                  <w:noWrap w:val="0"/>
                  <w:vAlign w:val="center"/>
                </w:tcPr>
                <w:p w14:paraId="6FF2CA2F">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w:t>
                  </w:r>
                </w:p>
              </w:tc>
              <w:tc>
                <w:tcPr>
                  <w:tcW w:w="540" w:type="pct"/>
                  <w:noWrap w:val="0"/>
                  <w:vAlign w:val="center"/>
                </w:tcPr>
                <w:p w14:paraId="4478B939">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cs="Times New Roman"/>
                      <w:snapToGrid/>
                      <w:color w:val="auto"/>
                      <w:spacing w:val="0"/>
                      <w:kern w:val="0"/>
                      <w:position w:val="0"/>
                      <w:sz w:val="21"/>
                      <w:szCs w:val="21"/>
                      <w:lang w:val="en-US" w:eastAsia="zh-CN"/>
                    </w:rPr>
                    <w:t>3</w:t>
                  </w:r>
                </w:p>
              </w:tc>
              <w:tc>
                <w:tcPr>
                  <w:tcW w:w="280" w:type="pct"/>
                  <w:noWrap w:val="0"/>
                  <w:vAlign w:val="center"/>
                </w:tcPr>
                <w:p w14:paraId="3F85AF18">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val="en-US" w:eastAsia="zh-CN"/>
                    </w:rPr>
                    <w:t>袋装</w:t>
                  </w:r>
                </w:p>
              </w:tc>
              <w:tc>
                <w:tcPr>
                  <w:tcW w:w="523" w:type="pct"/>
                  <w:noWrap w:val="0"/>
                  <w:vAlign w:val="center"/>
                </w:tcPr>
                <w:p w14:paraId="5C503086">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snapToGrid/>
                      <w:color w:val="auto"/>
                      <w:spacing w:val="0"/>
                      <w:kern w:val="0"/>
                      <w:position w:val="0"/>
                      <w:sz w:val="21"/>
                      <w:szCs w:val="21"/>
                    </w:rPr>
                    <w:t>环卫部门</w:t>
                  </w:r>
                </w:p>
              </w:tc>
              <w:tc>
                <w:tcPr>
                  <w:tcW w:w="515" w:type="pct"/>
                  <w:noWrap w:val="0"/>
                  <w:vAlign w:val="center"/>
                </w:tcPr>
                <w:p w14:paraId="67B15AD9">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cs="Times New Roman"/>
                      <w:snapToGrid/>
                      <w:color w:val="auto"/>
                      <w:spacing w:val="0"/>
                      <w:kern w:val="0"/>
                      <w:position w:val="0"/>
                      <w:sz w:val="21"/>
                      <w:szCs w:val="21"/>
                      <w:lang w:val="en-US" w:eastAsia="zh-CN"/>
                    </w:rPr>
                    <w:t>3</w:t>
                  </w:r>
                </w:p>
              </w:tc>
              <w:tc>
                <w:tcPr>
                  <w:tcW w:w="407" w:type="pct"/>
                  <w:noWrap w:val="0"/>
                  <w:vAlign w:val="center"/>
                </w:tcPr>
                <w:p w14:paraId="747385F8">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垃圾桶</w:t>
                  </w:r>
                </w:p>
              </w:tc>
            </w:tr>
            <w:tr w14:paraId="36729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0A6FADE9">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2</w:t>
                  </w:r>
                </w:p>
              </w:tc>
              <w:tc>
                <w:tcPr>
                  <w:tcW w:w="408" w:type="pct"/>
                  <w:noWrap w:val="0"/>
                  <w:vAlign w:val="center"/>
                </w:tcPr>
                <w:p w14:paraId="570B2A65">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eastAsia="宋体" w:cs="Times New Roman"/>
                      <w:b w:val="0"/>
                      <w:bCs w:val="0"/>
                      <w:snapToGrid/>
                      <w:color w:val="auto"/>
                      <w:spacing w:val="0"/>
                      <w:kern w:val="0"/>
                      <w:position w:val="0"/>
                      <w:sz w:val="21"/>
                      <w:szCs w:val="21"/>
                      <w:vertAlign w:val="baseline"/>
                      <w:lang w:val="en-US" w:eastAsia="zh-CN" w:bidi="ar-SA"/>
                    </w:rPr>
                    <w:t>物料使用</w:t>
                  </w:r>
                </w:p>
              </w:tc>
              <w:tc>
                <w:tcPr>
                  <w:tcW w:w="402" w:type="pct"/>
                  <w:noWrap w:val="0"/>
                  <w:vAlign w:val="center"/>
                </w:tcPr>
                <w:p w14:paraId="1055E9AC">
                  <w:pPr>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eastAsia="宋体" w:cs="Times New Roman"/>
                      <w:b w:val="0"/>
                      <w:bCs w:val="0"/>
                      <w:snapToGrid/>
                      <w:color w:val="auto"/>
                      <w:spacing w:val="0"/>
                      <w:kern w:val="0"/>
                      <w:position w:val="0"/>
                      <w:sz w:val="21"/>
                      <w:szCs w:val="21"/>
                      <w:vertAlign w:val="baseline"/>
                      <w:lang w:val="en-US" w:eastAsia="zh-CN" w:bidi="ar-SA"/>
                    </w:rPr>
                    <w:t>废包装袋</w:t>
                  </w:r>
                </w:p>
              </w:tc>
              <w:tc>
                <w:tcPr>
                  <w:tcW w:w="313" w:type="pct"/>
                  <w:vMerge w:val="continue"/>
                  <w:noWrap w:val="0"/>
                  <w:vAlign w:val="center"/>
                </w:tcPr>
                <w:p w14:paraId="60ACC29B">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c>
                <w:tcPr>
                  <w:tcW w:w="523" w:type="pct"/>
                  <w:noWrap w:val="0"/>
                  <w:vAlign w:val="center"/>
                </w:tcPr>
                <w:p w14:paraId="667B4630">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snapToGrid/>
                      <w:color w:val="auto"/>
                      <w:spacing w:val="0"/>
                      <w:kern w:val="0"/>
                      <w:position w:val="0"/>
                      <w:sz w:val="21"/>
                      <w:szCs w:val="21"/>
                      <w:lang w:val="en-US" w:eastAsia="zh-CN"/>
                    </w:rPr>
                    <w:t>/</w:t>
                  </w:r>
                </w:p>
              </w:tc>
              <w:tc>
                <w:tcPr>
                  <w:tcW w:w="313" w:type="pct"/>
                  <w:noWrap w:val="0"/>
                  <w:vAlign w:val="center"/>
                </w:tcPr>
                <w:p w14:paraId="68553313">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snapToGrid/>
                      <w:color w:val="auto"/>
                      <w:spacing w:val="0"/>
                      <w:kern w:val="0"/>
                      <w:position w:val="0"/>
                      <w:sz w:val="21"/>
                      <w:szCs w:val="21"/>
                      <w:lang w:val="en-US" w:eastAsia="zh-CN"/>
                    </w:rPr>
                    <w:t>固态</w:t>
                  </w:r>
                </w:p>
              </w:tc>
              <w:tc>
                <w:tcPr>
                  <w:tcW w:w="509" w:type="pct"/>
                  <w:noWrap w:val="0"/>
                  <w:vAlign w:val="center"/>
                </w:tcPr>
                <w:p w14:paraId="4B1BAE7A">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snapToGrid/>
                      <w:color w:val="auto"/>
                      <w:spacing w:val="0"/>
                      <w:kern w:val="0"/>
                      <w:position w:val="0"/>
                      <w:sz w:val="21"/>
                      <w:szCs w:val="21"/>
                      <w:lang w:val="en-US" w:eastAsia="zh-CN"/>
                    </w:rPr>
                    <w:t>/</w:t>
                  </w:r>
                </w:p>
              </w:tc>
              <w:tc>
                <w:tcPr>
                  <w:tcW w:w="540" w:type="pct"/>
                  <w:noWrap w:val="0"/>
                  <w:vAlign w:val="center"/>
                </w:tcPr>
                <w:p w14:paraId="79443F83">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eastAsia="宋体" w:cs="Times New Roman"/>
                      <w:b w:val="0"/>
                      <w:bCs w:val="0"/>
                      <w:snapToGrid/>
                      <w:color w:val="auto"/>
                      <w:spacing w:val="0"/>
                      <w:kern w:val="0"/>
                      <w:position w:val="0"/>
                      <w:sz w:val="21"/>
                      <w:szCs w:val="21"/>
                      <w:vertAlign w:val="baseline"/>
                      <w:lang w:val="en-US" w:eastAsia="zh-CN" w:bidi="ar-SA"/>
                    </w:rPr>
                    <w:t>0.3</w:t>
                  </w:r>
                </w:p>
              </w:tc>
              <w:tc>
                <w:tcPr>
                  <w:tcW w:w="280" w:type="pct"/>
                  <w:noWrap w:val="0"/>
                  <w:vAlign w:val="center"/>
                </w:tcPr>
                <w:p w14:paraId="202096F3">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snapToGrid/>
                      <w:color w:val="auto"/>
                      <w:spacing w:val="0"/>
                      <w:kern w:val="0"/>
                      <w:position w:val="0"/>
                      <w:sz w:val="21"/>
                      <w:szCs w:val="21"/>
                      <w:lang w:val="en-US" w:eastAsia="zh-CN"/>
                    </w:rPr>
                    <w:t>袋装</w:t>
                  </w:r>
                </w:p>
              </w:tc>
              <w:tc>
                <w:tcPr>
                  <w:tcW w:w="523" w:type="pct"/>
                  <w:vMerge w:val="restart"/>
                  <w:noWrap w:val="0"/>
                  <w:vAlign w:val="center"/>
                </w:tcPr>
                <w:p w14:paraId="497733F2">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snapToGrid/>
                      <w:color w:val="auto"/>
                      <w:spacing w:val="0"/>
                      <w:kern w:val="0"/>
                      <w:position w:val="0"/>
                      <w:sz w:val="21"/>
                      <w:szCs w:val="21"/>
                      <w:lang w:val="en-US" w:eastAsia="zh-CN" w:bidi="ar-SA"/>
                    </w:rPr>
                    <w:t>物资回收部门回收利用</w:t>
                  </w:r>
                </w:p>
              </w:tc>
              <w:tc>
                <w:tcPr>
                  <w:tcW w:w="515" w:type="pct"/>
                  <w:noWrap w:val="0"/>
                  <w:vAlign w:val="center"/>
                </w:tcPr>
                <w:p w14:paraId="2E47EB77">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eastAsia="宋体" w:cs="Times New Roman"/>
                      <w:b w:val="0"/>
                      <w:bCs w:val="0"/>
                      <w:snapToGrid/>
                      <w:color w:val="auto"/>
                      <w:spacing w:val="0"/>
                      <w:kern w:val="0"/>
                      <w:position w:val="0"/>
                      <w:sz w:val="21"/>
                      <w:szCs w:val="21"/>
                      <w:vertAlign w:val="baseline"/>
                      <w:lang w:val="en-US" w:eastAsia="zh-CN" w:bidi="ar-SA"/>
                    </w:rPr>
                    <w:t>0.3</w:t>
                  </w:r>
                </w:p>
              </w:tc>
              <w:tc>
                <w:tcPr>
                  <w:tcW w:w="407" w:type="pct"/>
                  <w:vMerge w:val="restart"/>
                  <w:noWrap w:val="0"/>
                  <w:vAlign w:val="center"/>
                </w:tcPr>
                <w:p w14:paraId="2D86A0C1">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固废暂存间</w:t>
                  </w:r>
                </w:p>
              </w:tc>
            </w:tr>
            <w:tr w14:paraId="7EBDF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1D444581">
                  <w:pPr>
                    <w:adjustRightInd w:val="0"/>
                    <w:snapToGrid w:val="0"/>
                    <w:jc w:val="center"/>
                    <w:rPr>
                      <w:rFonts w:hint="eastAsia" w:cs="Times New Roman"/>
                      <w:snapToGrid/>
                      <w:color w:val="auto"/>
                      <w:spacing w:val="0"/>
                      <w:kern w:val="0"/>
                      <w:position w:val="0"/>
                      <w:sz w:val="21"/>
                      <w:szCs w:val="21"/>
                      <w:lang w:val="en-US" w:eastAsia="zh-CN" w:bidi="ar-SA"/>
                    </w:rPr>
                  </w:pPr>
                  <w:r>
                    <w:rPr>
                      <w:rFonts w:hint="eastAsia" w:ascii="Times New Roman" w:hAnsi="Times New Roman" w:eastAsia="宋体" w:cs="Times New Roman"/>
                      <w:snapToGrid/>
                      <w:color w:val="auto"/>
                      <w:spacing w:val="0"/>
                      <w:kern w:val="0"/>
                      <w:position w:val="0"/>
                      <w:sz w:val="21"/>
                      <w:szCs w:val="21"/>
                      <w:lang w:val="en-US" w:eastAsia="zh-CN" w:bidi="ar-SA"/>
                    </w:rPr>
                    <w:t>3</w:t>
                  </w:r>
                </w:p>
              </w:tc>
              <w:tc>
                <w:tcPr>
                  <w:tcW w:w="408" w:type="pct"/>
                  <w:noWrap w:val="0"/>
                  <w:vAlign w:val="center"/>
                </w:tcPr>
                <w:p w14:paraId="2052382F">
                  <w:pPr>
                    <w:spacing w:line="240" w:lineRule="auto"/>
                    <w:jc w:val="center"/>
                    <w:rPr>
                      <w:rFonts w:hint="eastAsia"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eastAsia="宋体" w:cs="Times New Roman"/>
                      <w:b w:val="0"/>
                      <w:bCs w:val="0"/>
                      <w:snapToGrid/>
                      <w:color w:val="auto"/>
                      <w:spacing w:val="0"/>
                      <w:kern w:val="0"/>
                      <w:position w:val="0"/>
                      <w:sz w:val="21"/>
                      <w:szCs w:val="21"/>
                      <w:vertAlign w:val="baseline"/>
                      <w:lang w:val="en-US" w:eastAsia="zh-CN" w:bidi="ar-SA"/>
                    </w:rPr>
                    <w:t>牵引切割、精确切割</w:t>
                  </w:r>
                </w:p>
              </w:tc>
              <w:tc>
                <w:tcPr>
                  <w:tcW w:w="402" w:type="pct"/>
                  <w:noWrap w:val="0"/>
                  <w:vAlign w:val="center"/>
                </w:tcPr>
                <w:p w14:paraId="13B2C188">
                  <w:pPr>
                    <w:jc w:val="center"/>
                    <w:rPr>
                      <w:rFonts w:hint="eastAsia" w:ascii="Times New Roman" w:hAnsi="Times New Roman" w:eastAsia="宋体" w:cs="Times New Roman"/>
                      <w:snapToGrid/>
                      <w:color w:val="auto"/>
                      <w:spacing w:val="0"/>
                      <w:kern w:val="0"/>
                      <w:position w:val="0"/>
                      <w:sz w:val="21"/>
                      <w:szCs w:val="21"/>
                      <w:lang w:eastAsia="zh-CN"/>
                    </w:rPr>
                  </w:pPr>
                  <w:r>
                    <w:rPr>
                      <w:rFonts w:hint="eastAsia" w:ascii="Times New Roman" w:hAnsi="Times New Roman" w:eastAsia="宋体" w:cs="Times New Roman"/>
                      <w:snapToGrid/>
                      <w:color w:val="auto"/>
                      <w:spacing w:val="0"/>
                      <w:kern w:val="0"/>
                      <w:position w:val="0"/>
                      <w:sz w:val="21"/>
                      <w:szCs w:val="21"/>
                      <w:lang w:eastAsia="zh-CN"/>
                    </w:rPr>
                    <w:t>废边角料</w:t>
                  </w:r>
                </w:p>
              </w:tc>
              <w:tc>
                <w:tcPr>
                  <w:tcW w:w="313" w:type="pct"/>
                  <w:vMerge w:val="continue"/>
                  <w:noWrap w:val="0"/>
                  <w:vAlign w:val="center"/>
                </w:tcPr>
                <w:p w14:paraId="5CA74F0F">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c>
                <w:tcPr>
                  <w:tcW w:w="523" w:type="pct"/>
                  <w:noWrap w:val="0"/>
                  <w:vAlign w:val="center"/>
                </w:tcPr>
                <w:p w14:paraId="5B593D34">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w:t>
                  </w:r>
                </w:p>
              </w:tc>
              <w:tc>
                <w:tcPr>
                  <w:tcW w:w="313" w:type="pct"/>
                  <w:noWrap w:val="0"/>
                  <w:vAlign w:val="center"/>
                </w:tcPr>
                <w:p w14:paraId="79D3B55C">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固态</w:t>
                  </w:r>
                </w:p>
              </w:tc>
              <w:tc>
                <w:tcPr>
                  <w:tcW w:w="509" w:type="pct"/>
                  <w:noWrap w:val="0"/>
                  <w:vAlign w:val="center"/>
                </w:tcPr>
                <w:p w14:paraId="5E91CE7B">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w:t>
                  </w:r>
                </w:p>
              </w:tc>
              <w:tc>
                <w:tcPr>
                  <w:tcW w:w="540" w:type="pct"/>
                  <w:noWrap w:val="0"/>
                  <w:vAlign w:val="center"/>
                </w:tcPr>
                <w:p w14:paraId="5347E500">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cs="Times New Roman"/>
                      <w:color w:val="auto"/>
                      <w:sz w:val="21"/>
                      <w:szCs w:val="21"/>
                      <w:lang w:val="en-US" w:eastAsia="zh-CN"/>
                    </w:rPr>
                    <w:t>1300</w:t>
                  </w:r>
                </w:p>
              </w:tc>
              <w:tc>
                <w:tcPr>
                  <w:tcW w:w="280" w:type="pct"/>
                  <w:noWrap w:val="0"/>
                  <w:vAlign w:val="center"/>
                </w:tcPr>
                <w:p w14:paraId="046933AD">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袋装</w:t>
                  </w:r>
                </w:p>
              </w:tc>
              <w:tc>
                <w:tcPr>
                  <w:tcW w:w="523" w:type="pct"/>
                  <w:vMerge w:val="continue"/>
                  <w:noWrap w:val="0"/>
                  <w:vAlign w:val="center"/>
                </w:tcPr>
                <w:p w14:paraId="2A4256AD">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p>
              </w:tc>
              <w:tc>
                <w:tcPr>
                  <w:tcW w:w="515" w:type="pct"/>
                  <w:noWrap w:val="0"/>
                  <w:vAlign w:val="center"/>
                </w:tcPr>
                <w:p w14:paraId="4CF19339">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cs="Times New Roman"/>
                      <w:color w:val="auto"/>
                      <w:sz w:val="21"/>
                      <w:szCs w:val="21"/>
                      <w:lang w:val="en-US" w:eastAsia="zh-CN"/>
                    </w:rPr>
                    <w:t>1300</w:t>
                  </w:r>
                </w:p>
              </w:tc>
              <w:tc>
                <w:tcPr>
                  <w:tcW w:w="407" w:type="pct"/>
                  <w:vMerge w:val="continue"/>
                  <w:noWrap w:val="0"/>
                  <w:vAlign w:val="center"/>
                </w:tcPr>
                <w:p w14:paraId="5448A6ED">
                  <w:pPr>
                    <w:adjustRightInd w:val="0"/>
                    <w:snapToGrid w:val="0"/>
                    <w:jc w:val="center"/>
                    <w:rPr>
                      <w:rFonts w:hint="eastAsia" w:cs="Times New Roman"/>
                      <w:snapToGrid/>
                      <w:color w:val="auto"/>
                      <w:spacing w:val="0"/>
                      <w:kern w:val="0"/>
                      <w:position w:val="0"/>
                      <w:sz w:val="21"/>
                      <w:szCs w:val="21"/>
                      <w:lang w:val="en-US" w:eastAsia="zh-CN"/>
                    </w:rPr>
                  </w:pPr>
                </w:p>
              </w:tc>
            </w:tr>
            <w:tr w14:paraId="6AC36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5AA11CAB">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ascii="Times New Roman" w:hAnsi="Times New Roman" w:eastAsia="宋体" w:cs="Times New Roman"/>
                      <w:snapToGrid/>
                      <w:color w:val="auto"/>
                      <w:spacing w:val="0"/>
                      <w:kern w:val="0"/>
                      <w:position w:val="0"/>
                      <w:sz w:val="21"/>
                      <w:szCs w:val="21"/>
                      <w:lang w:val="en-US" w:eastAsia="zh-CN" w:bidi="ar-SA"/>
                    </w:rPr>
                    <w:t>4</w:t>
                  </w:r>
                </w:p>
              </w:tc>
              <w:tc>
                <w:tcPr>
                  <w:tcW w:w="408" w:type="pct"/>
                  <w:noWrap w:val="0"/>
                  <w:vAlign w:val="center"/>
                </w:tcPr>
                <w:p w14:paraId="1B1DF94E">
                  <w:pPr>
                    <w:spacing w:line="240" w:lineRule="auto"/>
                    <w:jc w:val="center"/>
                    <w:rPr>
                      <w:rFonts w:hint="eastAsia"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ascii="Times New Roman" w:hAnsi="Times New Roman" w:eastAsia="宋体" w:cs="Times New Roman"/>
                      <w:snapToGrid/>
                      <w:color w:val="auto"/>
                      <w:spacing w:val="0"/>
                      <w:kern w:val="0"/>
                      <w:position w:val="0"/>
                      <w:sz w:val="21"/>
                      <w:szCs w:val="21"/>
                      <w:lang w:eastAsia="zh-CN"/>
                    </w:rPr>
                    <w:t>废气处理</w:t>
                  </w:r>
                </w:p>
              </w:tc>
              <w:tc>
                <w:tcPr>
                  <w:tcW w:w="402" w:type="pct"/>
                  <w:noWrap w:val="0"/>
                  <w:vAlign w:val="center"/>
                </w:tcPr>
                <w:p w14:paraId="6F8BF4D0">
                  <w:pPr>
                    <w:jc w:val="center"/>
                    <w:rPr>
                      <w:rFonts w:hint="eastAsia" w:ascii="Times New Roman" w:hAnsi="Times New Roman" w:eastAsia="宋体" w:cs="Times New Roman"/>
                      <w:snapToGrid/>
                      <w:color w:val="auto"/>
                      <w:spacing w:val="0"/>
                      <w:kern w:val="0"/>
                      <w:position w:val="0"/>
                      <w:sz w:val="21"/>
                      <w:szCs w:val="21"/>
                      <w:lang w:eastAsia="zh-CN"/>
                    </w:rPr>
                  </w:pPr>
                  <w:r>
                    <w:rPr>
                      <w:rFonts w:hint="eastAsia" w:eastAsia="宋体" w:cs="Times New Roman"/>
                      <w:snapToGrid/>
                      <w:color w:val="auto"/>
                      <w:spacing w:val="0"/>
                      <w:kern w:val="0"/>
                      <w:position w:val="0"/>
                      <w:sz w:val="21"/>
                      <w:szCs w:val="21"/>
                      <w:lang w:eastAsia="zh-CN"/>
                    </w:rPr>
                    <w:t>布袋除尘器收集颗粒物</w:t>
                  </w:r>
                </w:p>
              </w:tc>
              <w:tc>
                <w:tcPr>
                  <w:tcW w:w="313" w:type="pct"/>
                  <w:vMerge w:val="continue"/>
                  <w:noWrap w:val="0"/>
                  <w:vAlign w:val="center"/>
                </w:tcPr>
                <w:p w14:paraId="72F1751B">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c>
                <w:tcPr>
                  <w:tcW w:w="523" w:type="pct"/>
                  <w:noWrap w:val="0"/>
                  <w:vAlign w:val="center"/>
                </w:tcPr>
                <w:p w14:paraId="0D4F516E">
                  <w:pPr>
                    <w:adjustRightInd w:val="0"/>
                    <w:snapToGrid w:val="0"/>
                    <w:jc w:val="center"/>
                    <w:rPr>
                      <w:rFonts w:hint="eastAsia"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w:t>
                  </w:r>
                </w:p>
              </w:tc>
              <w:tc>
                <w:tcPr>
                  <w:tcW w:w="313" w:type="pct"/>
                  <w:noWrap w:val="0"/>
                  <w:vAlign w:val="center"/>
                </w:tcPr>
                <w:p w14:paraId="46446564">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固态</w:t>
                  </w:r>
                </w:p>
              </w:tc>
              <w:tc>
                <w:tcPr>
                  <w:tcW w:w="509" w:type="pct"/>
                  <w:noWrap w:val="0"/>
                  <w:vAlign w:val="center"/>
                </w:tcPr>
                <w:p w14:paraId="40063BF8">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w:t>
                  </w:r>
                </w:p>
              </w:tc>
              <w:tc>
                <w:tcPr>
                  <w:tcW w:w="540" w:type="pct"/>
                  <w:noWrap w:val="0"/>
                  <w:vAlign w:val="center"/>
                </w:tcPr>
                <w:p w14:paraId="3EDDD46D">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ascii="Times New Roman" w:hAnsi="Times New Roman" w:eastAsia="宋体" w:cs="Times New Roman"/>
                      <w:snapToGrid/>
                      <w:color w:val="auto"/>
                      <w:spacing w:val="0"/>
                      <w:kern w:val="0"/>
                      <w:position w:val="0"/>
                      <w:sz w:val="21"/>
                      <w:szCs w:val="21"/>
                      <w:lang w:val="en-US" w:eastAsia="zh-CN"/>
                    </w:rPr>
                    <w:t>12</w:t>
                  </w:r>
                </w:p>
              </w:tc>
              <w:tc>
                <w:tcPr>
                  <w:tcW w:w="280" w:type="pct"/>
                  <w:noWrap w:val="0"/>
                  <w:vAlign w:val="center"/>
                </w:tcPr>
                <w:p w14:paraId="7234A6E5">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袋装</w:t>
                  </w:r>
                </w:p>
              </w:tc>
              <w:tc>
                <w:tcPr>
                  <w:tcW w:w="523" w:type="pct"/>
                  <w:vMerge w:val="continue"/>
                  <w:noWrap w:val="0"/>
                  <w:vAlign w:val="center"/>
                </w:tcPr>
                <w:p w14:paraId="2FE78496">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p>
              </w:tc>
              <w:tc>
                <w:tcPr>
                  <w:tcW w:w="515" w:type="pct"/>
                  <w:noWrap w:val="0"/>
                  <w:vAlign w:val="center"/>
                </w:tcPr>
                <w:p w14:paraId="77801D10">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ascii="Times New Roman" w:hAnsi="Times New Roman" w:eastAsia="宋体" w:cs="Times New Roman"/>
                      <w:snapToGrid/>
                      <w:color w:val="auto"/>
                      <w:spacing w:val="0"/>
                      <w:kern w:val="0"/>
                      <w:position w:val="0"/>
                      <w:sz w:val="21"/>
                      <w:szCs w:val="21"/>
                      <w:lang w:val="en-US" w:eastAsia="zh-CN"/>
                    </w:rPr>
                    <w:t>12</w:t>
                  </w:r>
                </w:p>
              </w:tc>
              <w:tc>
                <w:tcPr>
                  <w:tcW w:w="407" w:type="pct"/>
                  <w:vMerge w:val="continue"/>
                  <w:noWrap w:val="0"/>
                  <w:vAlign w:val="center"/>
                </w:tcPr>
                <w:p w14:paraId="399A173C">
                  <w:pPr>
                    <w:adjustRightInd w:val="0"/>
                    <w:snapToGrid w:val="0"/>
                    <w:jc w:val="center"/>
                    <w:rPr>
                      <w:rFonts w:hint="eastAsia" w:cs="Times New Roman"/>
                      <w:snapToGrid/>
                      <w:color w:val="auto"/>
                      <w:spacing w:val="0"/>
                      <w:kern w:val="0"/>
                      <w:position w:val="0"/>
                      <w:sz w:val="21"/>
                      <w:szCs w:val="21"/>
                      <w:lang w:val="en-US" w:eastAsia="zh-CN"/>
                    </w:rPr>
                  </w:pPr>
                </w:p>
              </w:tc>
            </w:tr>
            <w:tr w14:paraId="0FF1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567B5442">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default" w:ascii="Times New Roman" w:hAnsi="Times New Roman" w:eastAsia="宋体" w:cs="Times New Roman"/>
                      <w:snapToGrid/>
                      <w:color w:val="auto"/>
                      <w:spacing w:val="0"/>
                      <w:kern w:val="0"/>
                      <w:position w:val="0"/>
                      <w:sz w:val="21"/>
                      <w:szCs w:val="21"/>
                      <w:lang w:val="en-US" w:eastAsia="zh-CN"/>
                    </w:rPr>
                    <w:t>1</w:t>
                  </w:r>
                </w:p>
              </w:tc>
              <w:tc>
                <w:tcPr>
                  <w:tcW w:w="408" w:type="pct"/>
                  <w:noWrap w:val="0"/>
                  <w:vAlign w:val="center"/>
                </w:tcPr>
                <w:p w14:paraId="47AC4005">
                  <w:pPr>
                    <w:spacing w:line="240" w:lineRule="auto"/>
                    <w:jc w:val="center"/>
                    <w:rPr>
                      <w:rFonts w:hint="default" w:ascii="Times New Roman" w:hAnsi="Times New Roman" w:eastAsia="宋体" w:cs="Times New Roman"/>
                      <w:snapToGrid/>
                      <w:color w:val="auto"/>
                      <w:spacing w:val="0"/>
                      <w:kern w:val="0"/>
                      <w:position w:val="0"/>
                      <w:sz w:val="21"/>
                      <w:szCs w:val="21"/>
                      <w:lang w:eastAsia="zh-CN"/>
                    </w:rPr>
                  </w:pPr>
                  <w:r>
                    <w:rPr>
                      <w:rFonts w:hint="eastAsia" w:ascii="Times New Roman" w:hAnsi="Times New Roman" w:eastAsia="宋体" w:cs="Times New Roman"/>
                      <w:snapToGrid/>
                      <w:color w:val="auto"/>
                      <w:spacing w:val="0"/>
                      <w:kern w:val="0"/>
                      <w:position w:val="0"/>
                      <w:sz w:val="21"/>
                      <w:szCs w:val="21"/>
                      <w:lang w:eastAsia="zh-CN"/>
                    </w:rPr>
                    <w:t>废气处理</w:t>
                  </w:r>
                </w:p>
              </w:tc>
              <w:tc>
                <w:tcPr>
                  <w:tcW w:w="402" w:type="pct"/>
                  <w:noWrap w:val="0"/>
                  <w:vAlign w:val="center"/>
                </w:tcPr>
                <w:p w14:paraId="75B7CB1E">
                  <w:pPr>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eastAsia="宋体" w:cs="Times New Roman"/>
                      <w:bCs/>
                      <w:snapToGrid/>
                      <w:color w:val="auto"/>
                      <w:spacing w:val="0"/>
                      <w:kern w:val="0"/>
                      <w:position w:val="0"/>
                      <w:sz w:val="21"/>
                      <w:szCs w:val="21"/>
                      <w:lang w:val="en-US" w:eastAsia="zh-CN"/>
                    </w:rPr>
                    <w:t>废活性炭</w:t>
                  </w:r>
                </w:p>
              </w:tc>
              <w:tc>
                <w:tcPr>
                  <w:tcW w:w="313" w:type="pct"/>
                  <w:vMerge w:val="restart"/>
                  <w:noWrap w:val="0"/>
                  <w:vAlign w:val="center"/>
                </w:tcPr>
                <w:p w14:paraId="5CA65643">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危险</w:t>
                  </w:r>
                </w:p>
                <w:p w14:paraId="16EC7455">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废物</w:t>
                  </w:r>
                </w:p>
              </w:tc>
              <w:tc>
                <w:tcPr>
                  <w:tcW w:w="523" w:type="pct"/>
                  <w:noWrap w:val="0"/>
                  <w:vAlign w:val="center"/>
                </w:tcPr>
                <w:p w14:paraId="669F4A7B">
                  <w:pPr>
                    <w:adjustRightInd w:val="0"/>
                    <w:snapToGrid w:val="0"/>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eastAsia="宋体" w:cs="Times New Roman"/>
                      <w:bCs/>
                      <w:snapToGrid/>
                      <w:color w:val="auto"/>
                      <w:spacing w:val="0"/>
                      <w:kern w:val="0"/>
                      <w:position w:val="0"/>
                      <w:sz w:val="21"/>
                      <w:szCs w:val="21"/>
                      <w:lang w:val="en-US" w:eastAsia="zh-CN"/>
                    </w:rPr>
                    <w:t>/</w:t>
                  </w:r>
                </w:p>
              </w:tc>
              <w:tc>
                <w:tcPr>
                  <w:tcW w:w="313" w:type="pct"/>
                  <w:noWrap w:val="0"/>
                  <w:vAlign w:val="center"/>
                </w:tcPr>
                <w:p w14:paraId="4E9FC285">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eastAsia="zh-CN"/>
                    </w:rPr>
                    <w:t>固态</w:t>
                  </w:r>
                </w:p>
              </w:tc>
              <w:tc>
                <w:tcPr>
                  <w:tcW w:w="509" w:type="pct"/>
                  <w:noWrap w:val="0"/>
                  <w:vAlign w:val="center"/>
                </w:tcPr>
                <w:p w14:paraId="55690C7B">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p>
              </w:tc>
              <w:tc>
                <w:tcPr>
                  <w:tcW w:w="540" w:type="pct"/>
                  <w:noWrap w:val="0"/>
                  <w:vAlign w:val="center"/>
                </w:tcPr>
                <w:p w14:paraId="45D83226">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2</w:t>
                  </w:r>
                </w:p>
              </w:tc>
              <w:tc>
                <w:tcPr>
                  <w:tcW w:w="280" w:type="pct"/>
                  <w:noWrap w:val="0"/>
                  <w:vAlign w:val="center"/>
                </w:tcPr>
                <w:p w14:paraId="18DC4D2D">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桶装</w:t>
                  </w:r>
                </w:p>
              </w:tc>
              <w:tc>
                <w:tcPr>
                  <w:tcW w:w="523" w:type="pct"/>
                  <w:vMerge w:val="restart"/>
                  <w:noWrap w:val="0"/>
                  <w:vAlign w:val="center"/>
                </w:tcPr>
                <w:p w14:paraId="2BA7161F">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委托有资质单位处理</w:t>
                  </w:r>
                </w:p>
              </w:tc>
              <w:tc>
                <w:tcPr>
                  <w:tcW w:w="847" w:type="dxa"/>
                  <w:noWrap w:val="0"/>
                  <w:vAlign w:val="center"/>
                </w:tcPr>
                <w:p w14:paraId="21D6B1B8">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2</w:t>
                  </w:r>
                </w:p>
              </w:tc>
              <w:tc>
                <w:tcPr>
                  <w:tcW w:w="407" w:type="pct"/>
                  <w:vMerge w:val="restart"/>
                  <w:noWrap w:val="0"/>
                  <w:vAlign w:val="center"/>
                </w:tcPr>
                <w:p w14:paraId="49A65DBF">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危废暂存间</w:t>
                  </w:r>
                </w:p>
              </w:tc>
            </w:tr>
            <w:tr w14:paraId="6B0DA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0746A801">
                  <w:pPr>
                    <w:adjustRightInd w:val="0"/>
                    <w:snapToGrid w:val="0"/>
                    <w:jc w:val="center"/>
                    <w:rPr>
                      <w:rFonts w:hint="default" w:cs="Times New Roman"/>
                      <w:snapToGrid/>
                      <w:color w:val="auto"/>
                      <w:spacing w:val="0"/>
                      <w:kern w:val="0"/>
                      <w:position w:val="0"/>
                      <w:sz w:val="21"/>
                      <w:szCs w:val="21"/>
                      <w:lang w:val="en-US" w:eastAsia="zh-CN" w:bidi="ar-SA"/>
                    </w:rPr>
                  </w:pPr>
                  <w:r>
                    <w:rPr>
                      <w:rFonts w:hint="eastAsia" w:cs="Times New Roman"/>
                      <w:snapToGrid/>
                      <w:color w:val="auto"/>
                      <w:spacing w:val="0"/>
                      <w:kern w:val="0"/>
                      <w:position w:val="0"/>
                      <w:sz w:val="21"/>
                      <w:szCs w:val="21"/>
                      <w:lang w:val="en-US" w:eastAsia="zh-CN" w:bidi="ar-SA"/>
                    </w:rPr>
                    <w:t>2</w:t>
                  </w:r>
                </w:p>
              </w:tc>
              <w:tc>
                <w:tcPr>
                  <w:tcW w:w="408" w:type="pct"/>
                  <w:noWrap w:val="0"/>
                  <w:vAlign w:val="center"/>
                </w:tcPr>
                <w:p w14:paraId="7B4E1119">
                  <w:pPr>
                    <w:spacing w:line="240" w:lineRule="auto"/>
                    <w:jc w:val="center"/>
                    <w:rPr>
                      <w:rFonts w:hint="default" w:ascii="Times New Roman" w:hAnsi="Times New Roman" w:eastAsia="宋体" w:cs="Times New Roman"/>
                      <w:snapToGrid/>
                      <w:color w:val="auto"/>
                      <w:spacing w:val="0"/>
                      <w:kern w:val="0"/>
                      <w:position w:val="0"/>
                      <w:sz w:val="21"/>
                      <w:szCs w:val="21"/>
                      <w:lang w:eastAsia="zh-CN"/>
                    </w:rPr>
                  </w:pPr>
                  <w:r>
                    <w:rPr>
                      <w:rFonts w:hint="eastAsia" w:ascii="Times New Roman" w:hAnsi="Times New Roman" w:eastAsia="宋体" w:cs="Times New Roman"/>
                      <w:snapToGrid/>
                      <w:color w:val="auto"/>
                      <w:spacing w:val="0"/>
                      <w:kern w:val="0"/>
                      <w:position w:val="0"/>
                      <w:sz w:val="21"/>
                      <w:szCs w:val="21"/>
                      <w:lang w:eastAsia="zh-CN"/>
                    </w:rPr>
                    <w:t>废气处理</w:t>
                  </w:r>
                </w:p>
              </w:tc>
              <w:tc>
                <w:tcPr>
                  <w:tcW w:w="402" w:type="pct"/>
                  <w:noWrap w:val="0"/>
                  <w:vAlign w:val="center"/>
                </w:tcPr>
                <w:p w14:paraId="2D5D085E">
                  <w:pPr>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eastAsia="宋体" w:cs="Times New Roman"/>
                      <w:bCs/>
                      <w:snapToGrid/>
                      <w:color w:val="auto"/>
                      <w:spacing w:val="0"/>
                      <w:kern w:val="0"/>
                      <w:position w:val="0"/>
                      <w:sz w:val="21"/>
                      <w:szCs w:val="21"/>
                      <w:lang w:val="en-US" w:eastAsia="zh-CN"/>
                    </w:rPr>
                    <w:t>废催化剂</w:t>
                  </w:r>
                </w:p>
              </w:tc>
              <w:tc>
                <w:tcPr>
                  <w:tcW w:w="313" w:type="pct"/>
                  <w:vMerge w:val="continue"/>
                  <w:noWrap w:val="0"/>
                  <w:vAlign w:val="center"/>
                </w:tcPr>
                <w:p w14:paraId="3424D1FF">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c>
                <w:tcPr>
                  <w:tcW w:w="523" w:type="pct"/>
                  <w:noWrap w:val="0"/>
                  <w:vAlign w:val="center"/>
                </w:tcPr>
                <w:p w14:paraId="0D2A098A">
                  <w:pPr>
                    <w:adjustRightInd w:val="0"/>
                    <w:snapToGrid w:val="0"/>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eastAsia="zh-CN"/>
                    </w:rPr>
                    <w:t>废催化剂</w:t>
                  </w:r>
                </w:p>
              </w:tc>
              <w:tc>
                <w:tcPr>
                  <w:tcW w:w="313" w:type="pct"/>
                  <w:noWrap w:val="0"/>
                  <w:vAlign w:val="center"/>
                </w:tcPr>
                <w:p w14:paraId="051ABDF2">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eastAsia="zh-CN"/>
                    </w:rPr>
                    <w:t>固态</w:t>
                  </w:r>
                </w:p>
              </w:tc>
              <w:tc>
                <w:tcPr>
                  <w:tcW w:w="509" w:type="pct"/>
                  <w:noWrap w:val="0"/>
                  <w:vAlign w:val="center"/>
                </w:tcPr>
                <w:p w14:paraId="5F4CDE59">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p>
              </w:tc>
              <w:tc>
                <w:tcPr>
                  <w:tcW w:w="540" w:type="pct"/>
                  <w:noWrap w:val="0"/>
                  <w:vAlign w:val="center"/>
                </w:tcPr>
                <w:p w14:paraId="4E57BEF6">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0.09</w:t>
                  </w:r>
                </w:p>
              </w:tc>
              <w:tc>
                <w:tcPr>
                  <w:tcW w:w="280" w:type="pct"/>
                  <w:noWrap w:val="0"/>
                  <w:vAlign w:val="center"/>
                </w:tcPr>
                <w:p w14:paraId="25E90FC1">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袋装</w:t>
                  </w:r>
                </w:p>
              </w:tc>
              <w:tc>
                <w:tcPr>
                  <w:tcW w:w="523" w:type="pct"/>
                  <w:vMerge w:val="continue"/>
                  <w:noWrap w:val="0"/>
                  <w:vAlign w:val="center"/>
                </w:tcPr>
                <w:p w14:paraId="57448480">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c>
                <w:tcPr>
                  <w:tcW w:w="847" w:type="dxa"/>
                  <w:noWrap w:val="0"/>
                  <w:vAlign w:val="center"/>
                </w:tcPr>
                <w:p w14:paraId="18CCCEF4">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0.09</w:t>
                  </w:r>
                </w:p>
              </w:tc>
              <w:tc>
                <w:tcPr>
                  <w:tcW w:w="407" w:type="pct"/>
                  <w:vMerge w:val="continue"/>
                  <w:noWrap w:val="0"/>
                  <w:vAlign w:val="center"/>
                </w:tcPr>
                <w:p w14:paraId="56668D31">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r>
            <w:tr w14:paraId="77A67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6D1B96DE">
                  <w:pPr>
                    <w:adjustRightInd w:val="0"/>
                    <w:snapToGrid w:val="0"/>
                    <w:jc w:val="center"/>
                    <w:rPr>
                      <w:rFonts w:hint="default" w:cs="Times New Roman"/>
                      <w:snapToGrid/>
                      <w:color w:val="auto"/>
                      <w:spacing w:val="0"/>
                      <w:kern w:val="0"/>
                      <w:position w:val="0"/>
                      <w:sz w:val="21"/>
                      <w:szCs w:val="21"/>
                      <w:lang w:val="en-US" w:eastAsia="zh-CN" w:bidi="ar-SA"/>
                    </w:rPr>
                  </w:pPr>
                  <w:r>
                    <w:rPr>
                      <w:rFonts w:hint="eastAsia" w:ascii="Times New Roman" w:hAnsi="Times New Roman" w:eastAsia="宋体" w:cs="Times New Roman"/>
                      <w:snapToGrid/>
                      <w:color w:val="auto"/>
                      <w:spacing w:val="0"/>
                      <w:kern w:val="0"/>
                      <w:position w:val="0"/>
                      <w:sz w:val="21"/>
                      <w:szCs w:val="21"/>
                      <w:lang w:val="en-US" w:eastAsia="zh-CN" w:bidi="ar-SA"/>
                    </w:rPr>
                    <w:t>3</w:t>
                  </w:r>
                </w:p>
              </w:tc>
              <w:tc>
                <w:tcPr>
                  <w:tcW w:w="408" w:type="pct"/>
                  <w:noWrap w:val="0"/>
                  <w:vAlign w:val="center"/>
                </w:tcPr>
                <w:p w14:paraId="2D7EC2F3">
                  <w:pPr>
                    <w:spacing w:line="240" w:lineRule="auto"/>
                    <w:jc w:val="center"/>
                    <w:rPr>
                      <w:rFonts w:hint="eastAsia" w:ascii="Times New Roman" w:hAnsi="Times New Roman" w:eastAsia="宋体" w:cs="Times New Roman"/>
                      <w:snapToGrid/>
                      <w:color w:val="auto"/>
                      <w:spacing w:val="0"/>
                      <w:kern w:val="0"/>
                      <w:position w:val="0"/>
                      <w:sz w:val="21"/>
                      <w:szCs w:val="21"/>
                      <w:lang w:eastAsia="zh-CN"/>
                    </w:rPr>
                  </w:pPr>
                  <w:r>
                    <w:rPr>
                      <w:rFonts w:hint="eastAsia" w:ascii="Times New Roman" w:hAnsi="Times New Roman" w:eastAsia="宋体" w:cs="Times New Roman"/>
                      <w:snapToGrid/>
                      <w:color w:val="auto"/>
                      <w:spacing w:val="0"/>
                      <w:kern w:val="0"/>
                      <w:position w:val="0"/>
                      <w:sz w:val="21"/>
                      <w:szCs w:val="21"/>
                      <w:lang w:eastAsia="zh-CN"/>
                    </w:rPr>
                    <w:t>废气处理</w:t>
                  </w:r>
                </w:p>
              </w:tc>
              <w:tc>
                <w:tcPr>
                  <w:tcW w:w="402" w:type="pct"/>
                  <w:noWrap w:val="0"/>
                  <w:vAlign w:val="center"/>
                </w:tcPr>
                <w:p w14:paraId="2B541FBD">
                  <w:pPr>
                    <w:jc w:val="center"/>
                    <w:rPr>
                      <w:rFonts w:hint="eastAsia" w:ascii="Times New Roman" w:hAnsi="Times New Roman" w:eastAsia="宋体" w:cs="Times New Roman"/>
                      <w:bCs/>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eastAsia="zh-CN"/>
                    </w:rPr>
                    <w:t>废润滑油</w:t>
                  </w:r>
                </w:p>
              </w:tc>
              <w:tc>
                <w:tcPr>
                  <w:tcW w:w="313" w:type="pct"/>
                  <w:vMerge w:val="continue"/>
                  <w:noWrap w:val="0"/>
                  <w:vAlign w:val="center"/>
                </w:tcPr>
                <w:p w14:paraId="68D4CF76">
                  <w:pPr>
                    <w:adjustRightInd w:val="0"/>
                    <w:snapToGrid w:val="0"/>
                    <w:jc w:val="center"/>
                    <w:rPr>
                      <w:rFonts w:hint="eastAsia" w:ascii="Times New Roman" w:hAnsi="Times New Roman" w:eastAsia="宋体" w:cs="Times New Roman"/>
                      <w:snapToGrid/>
                      <w:color w:val="auto"/>
                      <w:spacing w:val="0"/>
                      <w:kern w:val="0"/>
                      <w:position w:val="0"/>
                      <w:sz w:val="21"/>
                      <w:szCs w:val="21"/>
                      <w:lang w:eastAsia="zh-CN"/>
                    </w:rPr>
                  </w:pPr>
                </w:p>
              </w:tc>
              <w:tc>
                <w:tcPr>
                  <w:tcW w:w="523" w:type="pct"/>
                  <w:noWrap w:val="0"/>
                  <w:vAlign w:val="center"/>
                </w:tcPr>
                <w:p w14:paraId="0B7F80A4">
                  <w:pPr>
                    <w:adjustRightInd w:val="0"/>
                    <w:snapToGrid w:val="0"/>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eastAsia="zh-CN"/>
                    </w:rPr>
                    <w:t>润滑油</w:t>
                  </w:r>
                </w:p>
              </w:tc>
              <w:tc>
                <w:tcPr>
                  <w:tcW w:w="313" w:type="pct"/>
                  <w:noWrap w:val="0"/>
                  <w:vAlign w:val="center"/>
                </w:tcPr>
                <w:p w14:paraId="2EE502EC">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液态</w:t>
                  </w:r>
                </w:p>
              </w:tc>
              <w:tc>
                <w:tcPr>
                  <w:tcW w:w="509" w:type="pct"/>
                  <w:noWrap w:val="0"/>
                  <w:vAlign w:val="center"/>
                </w:tcPr>
                <w:p w14:paraId="783F6C14">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r>
                    <w:rPr>
                      <w:rFonts w:hint="eastAsia" w:cs="Times New Roman"/>
                      <w:snapToGrid/>
                      <w:color w:val="auto"/>
                      <w:spacing w:val="0"/>
                      <w:kern w:val="0"/>
                      <w:position w:val="0"/>
                      <w:sz w:val="21"/>
                      <w:szCs w:val="21"/>
                      <w:lang w:val="en-US" w:eastAsia="zh-CN"/>
                    </w:rPr>
                    <w:t xml:space="preserve">, </w:t>
                  </w:r>
                  <w:r>
                    <w:rPr>
                      <w:rFonts w:hint="default" w:ascii="Times New Roman" w:hAnsi="Times New Roman" w:eastAsia="宋体" w:cs="Times New Roman"/>
                      <w:snapToGrid/>
                      <w:color w:val="auto"/>
                      <w:spacing w:val="0"/>
                      <w:kern w:val="0"/>
                      <w:position w:val="0"/>
                      <w:sz w:val="21"/>
                      <w:szCs w:val="21"/>
                      <w:lang w:val="en-US" w:eastAsia="zh-CN"/>
                    </w:rPr>
                    <w:t>I</w:t>
                  </w:r>
                </w:p>
              </w:tc>
              <w:tc>
                <w:tcPr>
                  <w:tcW w:w="540" w:type="pct"/>
                  <w:noWrap w:val="0"/>
                  <w:vAlign w:val="center"/>
                </w:tcPr>
                <w:p w14:paraId="419291B2">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0.1</w:t>
                  </w:r>
                </w:p>
              </w:tc>
              <w:tc>
                <w:tcPr>
                  <w:tcW w:w="280" w:type="pct"/>
                  <w:noWrap w:val="0"/>
                  <w:vAlign w:val="center"/>
                </w:tcPr>
                <w:p w14:paraId="001B4BFC">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袋装</w:t>
                  </w:r>
                </w:p>
              </w:tc>
              <w:tc>
                <w:tcPr>
                  <w:tcW w:w="523" w:type="pct"/>
                  <w:vMerge w:val="continue"/>
                  <w:noWrap w:val="0"/>
                  <w:vAlign w:val="center"/>
                </w:tcPr>
                <w:p w14:paraId="13166E24">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c>
                <w:tcPr>
                  <w:tcW w:w="847" w:type="dxa"/>
                  <w:noWrap w:val="0"/>
                  <w:vAlign w:val="center"/>
                </w:tcPr>
                <w:p w14:paraId="3698F143">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0.1</w:t>
                  </w:r>
                </w:p>
              </w:tc>
              <w:tc>
                <w:tcPr>
                  <w:tcW w:w="407" w:type="pct"/>
                  <w:vMerge w:val="continue"/>
                  <w:noWrap w:val="0"/>
                  <w:vAlign w:val="center"/>
                </w:tcPr>
                <w:p w14:paraId="0C0ACDC9">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r>
            <w:tr w14:paraId="67D5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4355B183">
                  <w:pPr>
                    <w:adjustRightInd w:val="0"/>
                    <w:snapToGrid w:val="0"/>
                    <w:jc w:val="center"/>
                    <w:rPr>
                      <w:rFonts w:hint="default" w:cs="Times New Roman"/>
                      <w:snapToGrid/>
                      <w:color w:val="auto"/>
                      <w:spacing w:val="0"/>
                      <w:kern w:val="0"/>
                      <w:position w:val="0"/>
                      <w:sz w:val="21"/>
                      <w:szCs w:val="21"/>
                      <w:lang w:val="en-US" w:eastAsia="zh-CN" w:bidi="ar-SA"/>
                    </w:rPr>
                  </w:pPr>
                  <w:r>
                    <w:rPr>
                      <w:rFonts w:hint="eastAsia" w:ascii="Times New Roman" w:hAnsi="Times New Roman" w:eastAsia="宋体" w:cs="Times New Roman"/>
                      <w:snapToGrid/>
                      <w:color w:val="auto"/>
                      <w:spacing w:val="0"/>
                      <w:kern w:val="0"/>
                      <w:position w:val="0"/>
                      <w:sz w:val="21"/>
                      <w:szCs w:val="21"/>
                      <w:lang w:val="en-US" w:eastAsia="zh-CN" w:bidi="ar-SA"/>
                    </w:rPr>
                    <w:t>4</w:t>
                  </w:r>
                </w:p>
              </w:tc>
              <w:tc>
                <w:tcPr>
                  <w:tcW w:w="408" w:type="pct"/>
                  <w:noWrap w:val="0"/>
                  <w:vAlign w:val="center"/>
                </w:tcPr>
                <w:p w14:paraId="74539ECD">
                  <w:pPr>
                    <w:spacing w:line="240" w:lineRule="auto"/>
                    <w:jc w:val="center"/>
                    <w:rPr>
                      <w:rFonts w:hint="eastAsia" w:ascii="Times New Roman" w:hAnsi="Times New Roman" w:eastAsia="宋体" w:cs="Times New Roman"/>
                      <w:snapToGrid/>
                      <w:color w:val="auto"/>
                      <w:spacing w:val="0"/>
                      <w:kern w:val="0"/>
                      <w:position w:val="0"/>
                      <w:sz w:val="21"/>
                      <w:szCs w:val="21"/>
                      <w:lang w:eastAsia="zh-CN"/>
                    </w:rPr>
                  </w:pPr>
                  <w:r>
                    <w:rPr>
                      <w:rFonts w:hint="eastAsia" w:eastAsia="宋体" w:cs="Times New Roman"/>
                      <w:snapToGrid/>
                      <w:color w:val="auto"/>
                      <w:spacing w:val="0"/>
                      <w:kern w:val="0"/>
                      <w:position w:val="0"/>
                      <w:sz w:val="21"/>
                      <w:szCs w:val="21"/>
                      <w:lang w:eastAsia="zh-CN"/>
                    </w:rPr>
                    <w:t>设备维护</w:t>
                  </w:r>
                </w:p>
              </w:tc>
              <w:tc>
                <w:tcPr>
                  <w:tcW w:w="402" w:type="pct"/>
                  <w:noWrap w:val="0"/>
                  <w:vAlign w:val="center"/>
                </w:tcPr>
                <w:p w14:paraId="00D106A7">
                  <w:pPr>
                    <w:jc w:val="both"/>
                    <w:rPr>
                      <w:rFonts w:hint="eastAsia"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废润滑油桶</w:t>
                  </w:r>
                </w:p>
              </w:tc>
              <w:tc>
                <w:tcPr>
                  <w:tcW w:w="313" w:type="pct"/>
                  <w:vMerge w:val="continue"/>
                  <w:noWrap w:val="0"/>
                  <w:vAlign w:val="center"/>
                </w:tcPr>
                <w:p w14:paraId="2E2A8E75">
                  <w:pPr>
                    <w:adjustRightInd w:val="0"/>
                    <w:snapToGrid w:val="0"/>
                    <w:jc w:val="center"/>
                    <w:rPr>
                      <w:rFonts w:hint="eastAsia" w:ascii="Times New Roman" w:hAnsi="Times New Roman" w:eastAsia="宋体" w:cs="Times New Roman"/>
                      <w:snapToGrid/>
                      <w:color w:val="auto"/>
                      <w:spacing w:val="0"/>
                      <w:kern w:val="0"/>
                      <w:position w:val="0"/>
                      <w:sz w:val="21"/>
                      <w:szCs w:val="21"/>
                      <w:lang w:eastAsia="zh-CN"/>
                    </w:rPr>
                  </w:pPr>
                </w:p>
              </w:tc>
              <w:tc>
                <w:tcPr>
                  <w:tcW w:w="523" w:type="pct"/>
                  <w:noWrap w:val="0"/>
                  <w:vAlign w:val="center"/>
                </w:tcPr>
                <w:p w14:paraId="06845205">
                  <w:pPr>
                    <w:adjustRightInd w:val="0"/>
                    <w:snapToGrid w:val="0"/>
                    <w:jc w:val="center"/>
                    <w:rPr>
                      <w:rFonts w:hint="eastAsia" w:ascii="Times New Roman" w:hAnsi="Times New Roman" w:eastAsia="宋体" w:cs="Times New Roman"/>
                      <w:snapToGrid/>
                      <w:color w:val="auto"/>
                      <w:spacing w:val="0"/>
                      <w:kern w:val="0"/>
                      <w:position w:val="0"/>
                      <w:sz w:val="21"/>
                      <w:szCs w:val="21"/>
                      <w:lang w:eastAsia="zh-CN"/>
                    </w:rPr>
                  </w:pPr>
                  <w:r>
                    <w:rPr>
                      <w:rFonts w:hint="eastAsia" w:eastAsia="宋体" w:cs="Times New Roman"/>
                      <w:snapToGrid/>
                      <w:color w:val="auto"/>
                      <w:spacing w:val="0"/>
                      <w:kern w:val="0"/>
                      <w:position w:val="0"/>
                      <w:sz w:val="21"/>
                      <w:szCs w:val="21"/>
                      <w:lang w:eastAsia="zh-CN"/>
                    </w:rPr>
                    <w:t>润滑油</w:t>
                  </w:r>
                </w:p>
              </w:tc>
              <w:tc>
                <w:tcPr>
                  <w:tcW w:w="313" w:type="pct"/>
                  <w:noWrap w:val="0"/>
                  <w:vAlign w:val="center"/>
                </w:tcPr>
                <w:p w14:paraId="556CB5A6">
                  <w:pPr>
                    <w:adjustRightInd w:val="0"/>
                    <w:snapToGrid w:val="0"/>
                    <w:jc w:val="center"/>
                    <w:rPr>
                      <w:rFonts w:hint="eastAsia" w:ascii="Times New Roman" w:hAnsi="Times New Roman" w:eastAsia="宋体" w:cs="Times New Roman"/>
                      <w:snapToGrid/>
                      <w:color w:val="auto"/>
                      <w:spacing w:val="0"/>
                      <w:kern w:val="0"/>
                      <w:position w:val="0"/>
                      <w:sz w:val="21"/>
                      <w:szCs w:val="21"/>
                      <w:lang w:eastAsia="zh-CN"/>
                    </w:rPr>
                  </w:pPr>
                  <w:r>
                    <w:rPr>
                      <w:rFonts w:hint="eastAsia" w:ascii="Times New Roman" w:hAnsi="Times New Roman" w:eastAsia="宋体" w:cs="Times New Roman"/>
                      <w:snapToGrid/>
                      <w:color w:val="auto"/>
                      <w:spacing w:val="0"/>
                      <w:kern w:val="0"/>
                      <w:position w:val="0"/>
                      <w:sz w:val="21"/>
                      <w:szCs w:val="21"/>
                      <w:lang w:eastAsia="zh-CN"/>
                    </w:rPr>
                    <w:t>固态</w:t>
                  </w:r>
                </w:p>
              </w:tc>
              <w:tc>
                <w:tcPr>
                  <w:tcW w:w="509" w:type="pct"/>
                  <w:noWrap w:val="0"/>
                  <w:vAlign w:val="center"/>
                </w:tcPr>
                <w:p w14:paraId="3FA19F3E">
                  <w:pPr>
                    <w:numPr>
                      <w:ilvl w:val="0"/>
                      <w:numId w:val="0"/>
                    </w:num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r>
                    <w:rPr>
                      <w:rFonts w:hint="eastAsia" w:cs="Times New Roman"/>
                      <w:snapToGrid/>
                      <w:color w:val="auto"/>
                      <w:spacing w:val="0"/>
                      <w:kern w:val="0"/>
                      <w:position w:val="0"/>
                      <w:sz w:val="21"/>
                      <w:szCs w:val="21"/>
                      <w:lang w:val="en-US" w:eastAsia="zh-CN"/>
                    </w:rPr>
                    <w:t xml:space="preserve">, </w:t>
                  </w:r>
                  <w:r>
                    <w:rPr>
                      <w:rFonts w:hint="default" w:ascii="Times New Roman" w:hAnsi="Times New Roman" w:eastAsia="宋体" w:cs="Times New Roman"/>
                      <w:snapToGrid/>
                      <w:color w:val="auto"/>
                      <w:spacing w:val="0"/>
                      <w:kern w:val="0"/>
                      <w:position w:val="0"/>
                      <w:sz w:val="21"/>
                      <w:szCs w:val="21"/>
                      <w:lang w:val="en-US" w:eastAsia="zh-CN"/>
                    </w:rPr>
                    <w:t>I</w:t>
                  </w:r>
                </w:p>
              </w:tc>
              <w:tc>
                <w:tcPr>
                  <w:tcW w:w="540" w:type="pct"/>
                  <w:noWrap w:val="0"/>
                  <w:vAlign w:val="center"/>
                </w:tcPr>
                <w:p w14:paraId="3C14ABA4">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0.03</w:t>
                  </w:r>
                </w:p>
              </w:tc>
              <w:tc>
                <w:tcPr>
                  <w:tcW w:w="280" w:type="pct"/>
                  <w:noWrap w:val="0"/>
                  <w:vAlign w:val="center"/>
                </w:tcPr>
                <w:p w14:paraId="79D3E896">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桶装</w:t>
                  </w:r>
                </w:p>
              </w:tc>
              <w:tc>
                <w:tcPr>
                  <w:tcW w:w="523" w:type="pct"/>
                  <w:vMerge w:val="continue"/>
                  <w:noWrap w:val="0"/>
                  <w:vAlign w:val="center"/>
                </w:tcPr>
                <w:p w14:paraId="523E211E">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c>
                <w:tcPr>
                  <w:tcW w:w="847" w:type="dxa"/>
                  <w:noWrap w:val="0"/>
                  <w:vAlign w:val="center"/>
                </w:tcPr>
                <w:p w14:paraId="67266399">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0.03</w:t>
                  </w:r>
                </w:p>
              </w:tc>
              <w:tc>
                <w:tcPr>
                  <w:tcW w:w="407" w:type="pct"/>
                  <w:vMerge w:val="continue"/>
                  <w:noWrap w:val="0"/>
                  <w:vAlign w:val="center"/>
                </w:tcPr>
                <w:p w14:paraId="3E85F728">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r>
            <w:tr w14:paraId="7AD3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66833BE8">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bidi="ar-SA"/>
                    </w:rPr>
                  </w:pPr>
                  <w:r>
                    <w:rPr>
                      <w:rFonts w:hint="eastAsia" w:ascii="Times New Roman" w:hAnsi="Times New Roman" w:eastAsia="宋体" w:cs="Times New Roman"/>
                      <w:snapToGrid/>
                      <w:color w:val="auto"/>
                      <w:spacing w:val="0"/>
                      <w:kern w:val="0"/>
                      <w:position w:val="0"/>
                      <w:sz w:val="21"/>
                      <w:szCs w:val="21"/>
                      <w:lang w:val="en-US" w:eastAsia="zh-CN" w:bidi="ar-SA"/>
                    </w:rPr>
                    <w:t>5</w:t>
                  </w:r>
                </w:p>
              </w:tc>
              <w:tc>
                <w:tcPr>
                  <w:tcW w:w="408" w:type="pct"/>
                  <w:noWrap w:val="0"/>
                  <w:vAlign w:val="center"/>
                </w:tcPr>
                <w:p w14:paraId="27F459B5">
                  <w:pPr>
                    <w:spacing w:line="240" w:lineRule="auto"/>
                    <w:jc w:val="center"/>
                    <w:rPr>
                      <w:rFonts w:hint="eastAsia" w:ascii="Times New Roman" w:hAnsi="Times New Roman" w:eastAsia="宋体" w:cs="Times New Roman"/>
                      <w:snapToGrid/>
                      <w:color w:val="auto"/>
                      <w:spacing w:val="0"/>
                      <w:kern w:val="0"/>
                      <w:position w:val="0"/>
                      <w:sz w:val="21"/>
                      <w:szCs w:val="21"/>
                      <w:lang w:eastAsia="zh-CN"/>
                    </w:rPr>
                  </w:pPr>
                  <w:r>
                    <w:rPr>
                      <w:rFonts w:hint="eastAsia" w:eastAsia="宋体" w:cs="Times New Roman"/>
                      <w:snapToGrid/>
                      <w:color w:val="auto"/>
                      <w:spacing w:val="0"/>
                      <w:kern w:val="0"/>
                      <w:position w:val="0"/>
                      <w:sz w:val="21"/>
                      <w:szCs w:val="21"/>
                      <w:lang w:eastAsia="zh-CN"/>
                    </w:rPr>
                    <w:t>废</w:t>
                  </w:r>
                  <w:r>
                    <w:rPr>
                      <w:rFonts w:hint="eastAsia" w:cs="Times New Roman"/>
                      <w:snapToGrid/>
                      <w:color w:val="auto"/>
                      <w:spacing w:val="0"/>
                      <w:kern w:val="0"/>
                      <w:position w:val="0"/>
                      <w:sz w:val="21"/>
                      <w:szCs w:val="21"/>
                      <w:lang w:eastAsia="zh-CN"/>
                    </w:rPr>
                    <w:t>气</w:t>
                  </w:r>
                  <w:r>
                    <w:rPr>
                      <w:rFonts w:hint="eastAsia" w:eastAsia="宋体" w:cs="Times New Roman"/>
                      <w:snapToGrid/>
                      <w:color w:val="auto"/>
                      <w:spacing w:val="0"/>
                      <w:kern w:val="0"/>
                      <w:position w:val="0"/>
                      <w:sz w:val="21"/>
                      <w:szCs w:val="21"/>
                      <w:lang w:eastAsia="zh-CN"/>
                    </w:rPr>
                    <w:t>治理</w:t>
                  </w:r>
                </w:p>
              </w:tc>
              <w:tc>
                <w:tcPr>
                  <w:tcW w:w="402" w:type="pct"/>
                  <w:noWrap w:val="0"/>
                  <w:vAlign w:val="center"/>
                </w:tcPr>
                <w:p w14:paraId="6AB2EB88">
                  <w:pPr>
                    <w:jc w:val="both"/>
                    <w:rPr>
                      <w:rFonts w:hint="eastAsia"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喷淋废水</w:t>
                  </w:r>
                </w:p>
              </w:tc>
              <w:tc>
                <w:tcPr>
                  <w:tcW w:w="313" w:type="pct"/>
                  <w:vMerge w:val="continue"/>
                  <w:noWrap w:val="0"/>
                  <w:vAlign w:val="center"/>
                </w:tcPr>
                <w:p w14:paraId="4ED0EF64">
                  <w:pPr>
                    <w:adjustRightInd w:val="0"/>
                    <w:snapToGrid w:val="0"/>
                    <w:jc w:val="center"/>
                    <w:rPr>
                      <w:rFonts w:hint="eastAsia" w:ascii="Times New Roman" w:hAnsi="Times New Roman" w:eastAsia="宋体" w:cs="Times New Roman"/>
                      <w:snapToGrid/>
                      <w:color w:val="auto"/>
                      <w:spacing w:val="0"/>
                      <w:kern w:val="0"/>
                      <w:position w:val="0"/>
                      <w:sz w:val="21"/>
                      <w:szCs w:val="21"/>
                      <w:lang w:eastAsia="zh-CN"/>
                    </w:rPr>
                  </w:pPr>
                </w:p>
              </w:tc>
              <w:tc>
                <w:tcPr>
                  <w:tcW w:w="523" w:type="pct"/>
                  <w:noWrap w:val="0"/>
                  <w:vAlign w:val="center"/>
                </w:tcPr>
                <w:p w14:paraId="1965A1CC">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w:t>
                  </w:r>
                </w:p>
              </w:tc>
              <w:tc>
                <w:tcPr>
                  <w:tcW w:w="313" w:type="pct"/>
                  <w:noWrap w:val="0"/>
                  <w:vAlign w:val="center"/>
                </w:tcPr>
                <w:p w14:paraId="399642CD">
                  <w:pPr>
                    <w:adjustRightInd w:val="0"/>
                    <w:snapToGrid w:val="0"/>
                    <w:jc w:val="center"/>
                    <w:rPr>
                      <w:rFonts w:hint="eastAsia" w:ascii="Times New Roman" w:hAnsi="Times New Roman" w:eastAsia="宋体" w:cs="Times New Roman"/>
                      <w:snapToGrid/>
                      <w:color w:val="auto"/>
                      <w:spacing w:val="0"/>
                      <w:kern w:val="0"/>
                      <w:position w:val="0"/>
                      <w:sz w:val="21"/>
                      <w:szCs w:val="21"/>
                      <w:lang w:eastAsia="zh-CN"/>
                    </w:rPr>
                  </w:pPr>
                  <w:r>
                    <w:rPr>
                      <w:rFonts w:hint="eastAsia" w:ascii="Times New Roman" w:hAnsi="Times New Roman" w:eastAsia="宋体" w:cs="Times New Roman"/>
                      <w:snapToGrid/>
                      <w:color w:val="auto"/>
                      <w:spacing w:val="0"/>
                      <w:kern w:val="0"/>
                      <w:position w:val="0"/>
                      <w:sz w:val="21"/>
                      <w:szCs w:val="21"/>
                      <w:lang w:eastAsia="zh-CN"/>
                    </w:rPr>
                    <w:t>固态</w:t>
                  </w:r>
                </w:p>
              </w:tc>
              <w:tc>
                <w:tcPr>
                  <w:tcW w:w="509" w:type="pct"/>
                  <w:noWrap w:val="0"/>
                  <w:vAlign w:val="center"/>
                </w:tcPr>
                <w:p w14:paraId="1C3A43D1">
                  <w:pPr>
                    <w:numPr>
                      <w:ilvl w:val="0"/>
                      <w:numId w:val="0"/>
                    </w:num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p>
              </w:tc>
              <w:tc>
                <w:tcPr>
                  <w:tcW w:w="540" w:type="pct"/>
                  <w:noWrap w:val="0"/>
                  <w:vAlign w:val="center"/>
                </w:tcPr>
                <w:p w14:paraId="74D40410">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12</w:t>
                  </w:r>
                </w:p>
              </w:tc>
              <w:tc>
                <w:tcPr>
                  <w:tcW w:w="280" w:type="pct"/>
                  <w:noWrap w:val="0"/>
                  <w:vAlign w:val="center"/>
                </w:tcPr>
                <w:p w14:paraId="24D2A0DC">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w:t>
                  </w:r>
                </w:p>
              </w:tc>
              <w:tc>
                <w:tcPr>
                  <w:tcW w:w="523" w:type="pct"/>
                  <w:vMerge w:val="continue"/>
                  <w:noWrap w:val="0"/>
                  <w:vAlign w:val="center"/>
                </w:tcPr>
                <w:p w14:paraId="29140014">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c>
                <w:tcPr>
                  <w:tcW w:w="515" w:type="pct"/>
                  <w:noWrap w:val="0"/>
                  <w:vAlign w:val="center"/>
                </w:tcPr>
                <w:p w14:paraId="46DA1CB1">
                  <w:pPr>
                    <w:spacing w:line="240" w:lineRule="exact"/>
                    <w:jc w:val="center"/>
                    <w:rPr>
                      <w:rFonts w:hint="eastAsia"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12</w:t>
                  </w:r>
                </w:p>
              </w:tc>
              <w:tc>
                <w:tcPr>
                  <w:tcW w:w="407" w:type="pct"/>
                  <w:vMerge w:val="continue"/>
                  <w:noWrap w:val="0"/>
                  <w:vAlign w:val="center"/>
                </w:tcPr>
                <w:p w14:paraId="504246F8">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r>
          </w:tbl>
          <w:p w14:paraId="5FF59B06">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0" w:firstLineChars="0"/>
              <w:jc w:val="center"/>
              <w:textAlignment w:val="auto"/>
              <w:rPr>
                <w:rFonts w:hint="eastAsia"/>
                <w:color w:val="auto"/>
                <w:lang w:val="en-US" w:eastAsia="zh-CN"/>
              </w:rPr>
            </w:pPr>
            <w:r>
              <w:rPr>
                <w:rFonts w:hint="default" w:ascii="Times New Roman" w:hAnsi="Times New Roman" w:eastAsia="宋体" w:cs="Times New Roman"/>
                <w:b/>
                <w:bCs/>
                <w:color w:val="auto"/>
                <w:sz w:val="24"/>
                <w:szCs w:val="24"/>
              </w:rPr>
              <w:t>表</w:t>
            </w:r>
            <w:r>
              <w:rPr>
                <w:rFonts w:hint="default" w:ascii="Times New Roman" w:hAnsi="Times New Roman" w:eastAsia="宋体" w:cs="Times New Roman"/>
                <w:b/>
                <w:bCs/>
                <w:color w:val="auto"/>
                <w:sz w:val="24"/>
                <w:szCs w:val="24"/>
                <w:lang w:val="en-US" w:eastAsia="zh-CN"/>
              </w:rPr>
              <w:t>4.</w:t>
            </w:r>
            <w:r>
              <w:rPr>
                <w:rFonts w:hint="eastAsia" w:cs="Times New Roman"/>
                <w:b/>
                <w:bCs/>
                <w:color w:val="auto"/>
                <w:sz w:val="24"/>
                <w:szCs w:val="24"/>
                <w:lang w:val="en-US" w:eastAsia="zh-CN"/>
              </w:rPr>
              <w:t xml:space="preserve">14 </w:t>
            </w:r>
            <w:r>
              <w:rPr>
                <w:rFonts w:hint="default" w:ascii="Times New Roman" w:hAnsi="Times New Roman" w:eastAsia="宋体" w:cs="Times New Roman"/>
                <w:b/>
                <w:bCs/>
                <w:color w:val="auto"/>
                <w:sz w:val="24"/>
                <w:szCs w:val="24"/>
              </w:rPr>
              <w:t xml:space="preserve"> 项目</w:t>
            </w:r>
            <w:r>
              <w:rPr>
                <w:rFonts w:hint="eastAsia" w:ascii="Times New Roman" w:hAnsi="Times New Roman" w:eastAsia="宋体" w:cs="Times New Roman"/>
                <w:b/>
                <w:bCs/>
                <w:color w:val="auto"/>
                <w:sz w:val="24"/>
                <w:szCs w:val="24"/>
                <w:lang w:eastAsia="zh-CN"/>
              </w:rPr>
              <w:t>一般工业固体废物</w:t>
            </w:r>
            <w:r>
              <w:rPr>
                <w:rFonts w:hint="default" w:ascii="Times New Roman" w:hAnsi="Times New Roman" w:eastAsia="宋体" w:cs="Times New Roman"/>
                <w:b/>
                <w:bCs/>
                <w:color w:val="auto"/>
                <w:sz w:val="24"/>
                <w:szCs w:val="24"/>
              </w:rPr>
              <w:t>产</w:t>
            </w:r>
            <w:r>
              <w:rPr>
                <w:rFonts w:hint="eastAsia" w:ascii="Times New Roman" w:hAnsi="Times New Roman" w:eastAsia="宋体" w:cs="Times New Roman"/>
                <w:b/>
                <w:bCs/>
                <w:color w:val="auto"/>
                <w:sz w:val="24"/>
                <w:szCs w:val="24"/>
                <w:lang w:eastAsia="zh-CN"/>
              </w:rPr>
              <w:t>生及处置统计一览</w:t>
            </w:r>
            <w:r>
              <w:rPr>
                <w:rFonts w:hint="default" w:ascii="Times New Roman" w:hAnsi="Times New Roman" w:eastAsia="宋体" w:cs="Times New Roman"/>
                <w:b/>
                <w:bCs/>
                <w:color w:val="auto"/>
                <w:sz w:val="24"/>
                <w:szCs w:val="24"/>
              </w:rPr>
              <w:t>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111"/>
              <w:gridCol w:w="772"/>
              <w:gridCol w:w="1313"/>
              <w:gridCol w:w="846"/>
              <w:gridCol w:w="828"/>
              <w:gridCol w:w="426"/>
              <w:gridCol w:w="753"/>
              <w:gridCol w:w="659"/>
              <w:gridCol w:w="1075"/>
            </w:tblGrid>
            <w:tr w14:paraId="6262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1D2DAF58">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序号</w:t>
                  </w:r>
                </w:p>
              </w:tc>
              <w:tc>
                <w:tcPr>
                  <w:tcW w:w="676" w:type="pct"/>
                  <w:noWrap w:val="0"/>
                  <w:vAlign w:val="center"/>
                </w:tcPr>
                <w:p w14:paraId="15BE3A6C">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一般工业固体废物</w:t>
                  </w:r>
                </w:p>
              </w:tc>
              <w:tc>
                <w:tcPr>
                  <w:tcW w:w="470" w:type="pct"/>
                  <w:noWrap w:val="0"/>
                  <w:vAlign w:val="center"/>
                </w:tcPr>
                <w:p w14:paraId="62D982E9">
                  <w:pPr>
                    <w:adjustRightInd w:val="0"/>
                    <w:snapToGrid w:val="0"/>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废物</w:t>
                  </w:r>
                </w:p>
                <w:p w14:paraId="38D89D1F">
                  <w:pPr>
                    <w:adjustRightInd w:val="0"/>
                    <w:snapToGrid w:val="0"/>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类别</w:t>
                  </w:r>
                </w:p>
              </w:tc>
              <w:tc>
                <w:tcPr>
                  <w:tcW w:w="799" w:type="pct"/>
                  <w:noWrap w:val="0"/>
                  <w:vAlign w:val="center"/>
                </w:tcPr>
                <w:p w14:paraId="022B947D">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废物</w:t>
                  </w:r>
                </w:p>
                <w:p w14:paraId="27CAA88E">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代码</w:t>
                  </w:r>
                </w:p>
              </w:tc>
              <w:tc>
                <w:tcPr>
                  <w:tcW w:w="515" w:type="pct"/>
                  <w:noWrap w:val="0"/>
                  <w:vAlign w:val="center"/>
                </w:tcPr>
                <w:p w14:paraId="1A0C2925">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产生量（</w:t>
                  </w:r>
                  <w:r>
                    <w:rPr>
                      <w:rFonts w:hint="default" w:ascii="Times New Roman" w:hAnsi="Times New Roman" w:eastAsia="宋体" w:cs="Times New Roman"/>
                      <w:color w:val="auto"/>
                      <w:sz w:val="21"/>
                      <w:szCs w:val="21"/>
                      <w:lang w:val="en-US" w:eastAsia="zh-CN"/>
                    </w:rPr>
                    <w:t>t/a</w:t>
                  </w:r>
                  <w:r>
                    <w:rPr>
                      <w:rFonts w:hint="default" w:ascii="Times New Roman" w:hAnsi="Times New Roman" w:eastAsia="宋体" w:cs="Times New Roman"/>
                      <w:color w:val="auto"/>
                      <w:sz w:val="21"/>
                      <w:szCs w:val="21"/>
                      <w:lang w:eastAsia="zh-CN"/>
                    </w:rPr>
                    <w:t>）</w:t>
                  </w:r>
                </w:p>
              </w:tc>
              <w:tc>
                <w:tcPr>
                  <w:tcW w:w="504" w:type="pct"/>
                  <w:noWrap w:val="0"/>
                  <w:vAlign w:val="center"/>
                </w:tcPr>
                <w:p w14:paraId="2CA697A7">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产生工序及装置</w:t>
                  </w:r>
                </w:p>
              </w:tc>
              <w:tc>
                <w:tcPr>
                  <w:tcW w:w="259" w:type="pct"/>
                  <w:noWrap w:val="0"/>
                  <w:vAlign w:val="center"/>
                </w:tcPr>
                <w:p w14:paraId="719859B9">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形态</w:t>
                  </w:r>
                </w:p>
              </w:tc>
              <w:tc>
                <w:tcPr>
                  <w:tcW w:w="458" w:type="pct"/>
                  <w:noWrap w:val="0"/>
                  <w:vAlign w:val="center"/>
                </w:tcPr>
                <w:p w14:paraId="20F03774">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主要</w:t>
                  </w:r>
                </w:p>
                <w:p w14:paraId="694A36F5">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成分</w:t>
                  </w:r>
                </w:p>
              </w:tc>
              <w:tc>
                <w:tcPr>
                  <w:tcW w:w="401" w:type="pct"/>
                  <w:noWrap w:val="0"/>
                  <w:vAlign w:val="center"/>
                </w:tcPr>
                <w:p w14:paraId="1C41611E">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产废周期</w:t>
                  </w:r>
                </w:p>
              </w:tc>
              <w:tc>
                <w:tcPr>
                  <w:tcW w:w="654" w:type="pct"/>
                  <w:noWrap w:val="0"/>
                  <w:vAlign w:val="center"/>
                </w:tcPr>
                <w:p w14:paraId="64B1DD0F">
                  <w:pPr>
                    <w:adjustRightInd w:val="0"/>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防治措施</w:t>
                  </w:r>
                </w:p>
              </w:tc>
            </w:tr>
            <w:tr w14:paraId="708AC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128D8BE8">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676" w:type="pct"/>
                  <w:noWrap w:val="0"/>
                  <w:vAlign w:val="center"/>
                </w:tcPr>
                <w:p w14:paraId="0A0DBB39">
                  <w:pPr>
                    <w:spacing w:line="240" w:lineRule="auto"/>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snapToGrid/>
                      <w:color w:val="auto"/>
                      <w:spacing w:val="0"/>
                      <w:kern w:val="0"/>
                      <w:position w:val="0"/>
                      <w:sz w:val="21"/>
                      <w:szCs w:val="21"/>
                      <w:vertAlign w:val="baseline"/>
                      <w:lang w:eastAsia="zh-CN"/>
                    </w:rPr>
                    <w:t>生活垃圾</w:t>
                  </w:r>
                </w:p>
              </w:tc>
              <w:tc>
                <w:tcPr>
                  <w:tcW w:w="470" w:type="pct"/>
                  <w:noWrap w:val="0"/>
                  <w:vAlign w:val="center"/>
                </w:tcPr>
                <w:p w14:paraId="2B04BAB0">
                  <w:pPr>
                    <w:spacing w:line="240" w:lineRule="auto"/>
                    <w:jc w:val="center"/>
                    <w:rPr>
                      <w:rFonts w:hint="eastAsia" w:cs="Times New Roman"/>
                      <w:color w:val="auto"/>
                      <w:kern w:val="0"/>
                      <w:sz w:val="21"/>
                      <w:szCs w:val="21"/>
                      <w:lang w:val="en-US" w:eastAsia="zh-CN" w:bidi="ar"/>
                    </w:rPr>
                  </w:pPr>
                  <w:r>
                    <w:rPr>
                      <w:rFonts w:hint="default" w:ascii="Times New Roman" w:hAnsi="Times New Roman" w:eastAsia="宋体" w:cs="Times New Roman"/>
                      <w:b w:val="0"/>
                      <w:bCs w:val="0"/>
                      <w:color w:val="auto"/>
                      <w:sz w:val="21"/>
                      <w:szCs w:val="21"/>
                      <w:vertAlign w:val="baseline"/>
                      <w:lang w:eastAsia="zh-CN"/>
                    </w:rPr>
                    <w:t>SW64</w:t>
                  </w:r>
                </w:p>
              </w:tc>
              <w:tc>
                <w:tcPr>
                  <w:tcW w:w="799" w:type="pct"/>
                  <w:noWrap w:val="0"/>
                  <w:vAlign w:val="center"/>
                </w:tcPr>
                <w:p w14:paraId="7EBCEE7D">
                  <w:pPr>
                    <w:keepNext w:val="0"/>
                    <w:keepLines w:val="0"/>
                    <w:widowControl/>
                    <w:suppressLineNumbers w:val="0"/>
                    <w:jc w:val="center"/>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kern w:val="2"/>
                      <w:sz w:val="21"/>
                      <w:szCs w:val="24"/>
                      <w:lang w:val="en-US" w:eastAsia="zh-CN" w:bidi="ar-SA"/>
                    </w:rPr>
                    <w:t>900-001-S64</w:t>
                  </w:r>
                </w:p>
              </w:tc>
              <w:tc>
                <w:tcPr>
                  <w:tcW w:w="515" w:type="pct"/>
                  <w:noWrap w:val="0"/>
                  <w:vAlign w:val="center"/>
                </w:tcPr>
                <w:p w14:paraId="32F08D0B">
                  <w:pPr>
                    <w:spacing w:line="240" w:lineRule="auto"/>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eastAsia" w:cs="Times New Roman"/>
                      <w:snapToGrid/>
                      <w:color w:val="auto"/>
                      <w:spacing w:val="0"/>
                      <w:kern w:val="0"/>
                      <w:position w:val="0"/>
                      <w:sz w:val="21"/>
                      <w:szCs w:val="21"/>
                      <w:lang w:val="en-US" w:eastAsia="zh-CN"/>
                    </w:rPr>
                    <w:t>3</w:t>
                  </w:r>
                </w:p>
              </w:tc>
              <w:tc>
                <w:tcPr>
                  <w:tcW w:w="504" w:type="pct"/>
                  <w:noWrap w:val="0"/>
                  <w:vAlign w:val="center"/>
                </w:tcPr>
                <w:p w14:paraId="30E0738E">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eastAsia="zh-CN"/>
                    </w:rPr>
                  </w:pPr>
                  <w:r>
                    <w:rPr>
                      <w:rFonts w:hint="default" w:ascii="Times New Roman" w:hAnsi="Times New Roman" w:eastAsia="宋体" w:cs="Times New Roman"/>
                      <w:b w:val="0"/>
                      <w:bCs w:val="0"/>
                      <w:snapToGrid/>
                      <w:color w:val="auto"/>
                      <w:spacing w:val="0"/>
                      <w:kern w:val="0"/>
                      <w:position w:val="0"/>
                      <w:sz w:val="21"/>
                      <w:szCs w:val="21"/>
                      <w:vertAlign w:val="baseline"/>
                      <w:lang w:eastAsia="zh-CN"/>
                    </w:rPr>
                    <w:t>职工</w:t>
                  </w:r>
                </w:p>
                <w:p w14:paraId="7B7C987B">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default" w:ascii="Times New Roman" w:hAnsi="Times New Roman" w:eastAsia="宋体" w:cs="Times New Roman"/>
                      <w:b w:val="0"/>
                      <w:bCs w:val="0"/>
                      <w:snapToGrid/>
                      <w:color w:val="auto"/>
                      <w:spacing w:val="0"/>
                      <w:kern w:val="0"/>
                      <w:position w:val="0"/>
                      <w:sz w:val="21"/>
                      <w:szCs w:val="21"/>
                      <w:vertAlign w:val="baseline"/>
                      <w:lang w:eastAsia="zh-CN"/>
                    </w:rPr>
                    <w:t>生活</w:t>
                  </w:r>
                </w:p>
              </w:tc>
              <w:tc>
                <w:tcPr>
                  <w:tcW w:w="259" w:type="pct"/>
                  <w:noWrap w:val="0"/>
                  <w:vAlign w:val="center"/>
                </w:tcPr>
                <w:p w14:paraId="26BC6E9E">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固态</w:t>
                  </w:r>
                </w:p>
              </w:tc>
              <w:tc>
                <w:tcPr>
                  <w:tcW w:w="458" w:type="pct"/>
                  <w:noWrap w:val="0"/>
                  <w:vAlign w:val="center"/>
                </w:tcPr>
                <w:p w14:paraId="097BE48C">
                  <w:pPr>
                    <w:adjustRightInd w:val="0"/>
                    <w:snapToGrid w:val="0"/>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b w:val="0"/>
                      <w:bCs w:val="0"/>
                      <w:color w:val="auto"/>
                      <w:sz w:val="21"/>
                      <w:szCs w:val="21"/>
                      <w:vertAlign w:val="baseline"/>
                      <w:lang w:val="en-US" w:eastAsia="zh-CN"/>
                    </w:rPr>
                    <w:t>废纸等</w:t>
                  </w:r>
                </w:p>
              </w:tc>
              <w:tc>
                <w:tcPr>
                  <w:tcW w:w="401" w:type="pct"/>
                  <w:noWrap w:val="0"/>
                  <w:vAlign w:val="center"/>
                </w:tcPr>
                <w:p w14:paraId="40446DC4">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1天</w:t>
                  </w:r>
                </w:p>
              </w:tc>
              <w:tc>
                <w:tcPr>
                  <w:tcW w:w="654" w:type="pct"/>
                  <w:noWrap w:val="0"/>
                  <w:vAlign w:val="center"/>
                </w:tcPr>
                <w:p w14:paraId="22BD1679">
                  <w:pPr>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环卫部门</w:t>
                  </w:r>
                </w:p>
              </w:tc>
            </w:tr>
            <w:tr w14:paraId="37E87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70DAE03A">
                  <w:pPr>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w:t>
                  </w:r>
                </w:p>
              </w:tc>
              <w:tc>
                <w:tcPr>
                  <w:tcW w:w="676" w:type="pct"/>
                  <w:noWrap w:val="0"/>
                  <w:vAlign w:val="center"/>
                </w:tcPr>
                <w:p w14:paraId="6C8B67B9">
                  <w:pPr>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eastAsia" w:eastAsia="宋体" w:cs="Times New Roman"/>
                      <w:b w:val="0"/>
                      <w:bCs w:val="0"/>
                      <w:snapToGrid/>
                      <w:color w:val="auto"/>
                      <w:spacing w:val="0"/>
                      <w:kern w:val="0"/>
                      <w:position w:val="0"/>
                      <w:sz w:val="21"/>
                      <w:szCs w:val="21"/>
                      <w:vertAlign w:val="baseline"/>
                      <w:lang w:val="en-US" w:eastAsia="zh-CN" w:bidi="ar-SA"/>
                    </w:rPr>
                    <w:t>废包装袋</w:t>
                  </w:r>
                </w:p>
              </w:tc>
              <w:tc>
                <w:tcPr>
                  <w:tcW w:w="772" w:type="dxa"/>
                  <w:noWrap w:val="0"/>
                  <w:vAlign w:val="center"/>
                </w:tcPr>
                <w:p w14:paraId="0839EAE8">
                  <w:pPr>
                    <w:adjustRightInd w:val="0"/>
                    <w:snapToGrid w:val="0"/>
                    <w:jc w:val="center"/>
                    <w:rPr>
                      <w:rFonts w:hint="eastAsia" w:cs="Times New Roman"/>
                      <w:color w:val="auto"/>
                      <w:kern w:val="2"/>
                      <w:sz w:val="21"/>
                      <w:szCs w:val="24"/>
                      <w:lang w:val="en-US" w:eastAsia="zh-CN" w:bidi="ar-SA"/>
                    </w:rPr>
                  </w:pPr>
                  <w:r>
                    <w:rPr>
                      <w:rFonts w:hint="default" w:ascii="Times New Roman" w:hAnsi="Times New Roman" w:eastAsia="宋体" w:cs="Times New Roman"/>
                      <w:b w:val="0"/>
                      <w:bCs w:val="0"/>
                      <w:color w:val="auto"/>
                      <w:sz w:val="21"/>
                      <w:szCs w:val="21"/>
                      <w:vertAlign w:val="baseline"/>
                      <w:lang w:eastAsia="zh-CN"/>
                    </w:rPr>
                    <w:t>SW</w:t>
                  </w:r>
                  <w:r>
                    <w:rPr>
                      <w:rFonts w:hint="eastAsia" w:eastAsia="宋体" w:cs="Times New Roman"/>
                      <w:b w:val="0"/>
                      <w:bCs w:val="0"/>
                      <w:color w:val="auto"/>
                      <w:sz w:val="21"/>
                      <w:szCs w:val="21"/>
                      <w:vertAlign w:val="baseline"/>
                      <w:lang w:val="en-US" w:eastAsia="zh-CN"/>
                    </w:rPr>
                    <w:t>17</w:t>
                  </w:r>
                </w:p>
              </w:tc>
              <w:tc>
                <w:tcPr>
                  <w:tcW w:w="1313" w:type="dxa"/>
                  <w:noWrap w:val="0"/>
                  <w:vAlign w:val="center"/>
                </w:tcPr>
                <w:p w14:paraId="5161A83B">
                  <w:pPr>
                    <w:keepNext w:val="0"/>
                    <w:keepLines w:val="0"/>
                    <w:widowControl/>
                    <w:suppressLineNumbers w:val="0"/>
                    <w:jc w:val="center"/>
                    <w:rPr>
                      <w:rFonts w:hint="default" w:ascii="Times New Roman" w:hAnsi="Times New Roman" w:eastAsia="宋体" w:cs="Times New Roman"/>
                      <w:color w:val="auto"/>
                      <w:kern w:val="2"/>
                      <w:sz w:val="21"/>
                      <w:szCs w:val="24"/>
                      <w:lang w:val="en-US" w:eastAsia="zh-CN" w:bidi="ar-SA"/>
                    </w:rPr>
                  </w:pPr>
                  <w:r>
                    <w:rPr>
                      <w:rFonts w:hint="eastAsia" w:ascii="Times New Roman" w:hAnsi="Times New Roman" w:eastAsia="宋体" w:cs="Times New Roman"/>
                      <w:color w:val="auto"/>
                      <w:kern w:val="0"/>
                      <w:sz w:val="21"/>
                      <w:szCs w:val="21"/>
                      <w:lang w:val="en-US" w:eastAsia="zh-CN" w:bidi="ar"/>
                    </w:rPr>
                    <w:t>900-003-S17</w:t>
                  </w:r>
                </w:p>
              </w:tc>
              <w:tc>
                <w:tcPr>
                  <w:tcW w:w="515" w:type="pct"/>
                  <w:noWrap w:val="0"/>
                  <w:vAlign w:val="center"/>
                </w:tcPr>
                <w:p w14:paraId="0520CCBC">
                  <w:pPr>
                    <w:spacing w:line="240" w:lineRule="auto"/>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0.3</w:t>
                  </w:r>
                </w:p>
              </w:tc>
              <w:tc>
                <w:tcPr>
                  <w:tcW w:w="504" w:type="pct"/>
                  <w:noWrap w:val="0"/>
                  <w:vAlign w:val="center"/>
                </w:tcPr>
                <w:p w14:paraId="2808FA5F">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cs="Times New Roman"/>
                      <w:b w:val="0"/>
                      <w:bCs w:val="0"/>
                      <w:snapToGrid/>
                      <w:color w:val="auto"/>
                      <w:spacing w:val="0"/>
                      <w:kern w:val="0"/>
                      <w:position w:val="0"/>
                      <w:sz w:val="21"/>
                      <w:szCs w:val="21"/>
                      <w:vertAlign w:val="baseline"/>
                      <w:lang w:val="en-US" w:eastAsia="zh-CN" w:bidi="ar-SA"/>
                    </w:rPr>
                    <w:t>物料使用</w:t>
                  </w:r>
                </w:p>
              </w:tc>
              <w:tc>
                <w:tcPr>
                  <w:tcW w:w="259" w:type="pct"/>
                  <w:noWrap w:val="0"/>
                  <w:vAlign w:val="center"/>
                </w:tcPr>
                <w:p w14:paraId="29D55101">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固态</w:t>
                  </w:r>
                </w:p>
              </w:tc>
              <w:tc>
                <w:tcPr>
                  <w:tcW w:w="458" w:type="pct"/>
                  <w:noWrap w:val="0"/>
                  <w:vAlign w:val="center"/>
                </w:tcPr>
                <w:p w14:paraId="217246C6">
                  <w:pPr>
                    <w:adjustRightInd w:val="0"/>
                    <w:snapToGrid w:val="0"/>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废塑料</w:t>
                  </w:r>
                </w:p>
              </w:tc>
              <w:tc>
                <w:tcPr>
                  <w:tcW w:w="401" w:type="pct"/>
                  <w:noWrap w:val="0"/>
                  <w:vAlign w:val="center"/>
                </w:tcPr>
                <w:p w14:paraId="0AB5A985">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1天</w:t>
                  </w:r>
                </w:p>
              </w:tc>
              <w:tc>
                <w:tcPr>
                  <w:tcW w:w="654" w:type="pct"/>
                  <w:vMerge w:val="restart"/>
                  <w:noWrap w:val="0"/>
                  <w:vAlign w:val="center"/>
                </w:tcPr>
                <w:p w14:paraId="5EBB28DC">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交由物资回收部门回收利用</w:t>
                  </w:r>
                </w:p>
              </w:tc>
            </w:tr>
            <w:tr w14:paraId="0F41A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04CE8E77">
                  <w:pPr>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3</w:t>
                  </w:r>
                </w:p>
              </w:tc>
              <w:tc>
                <w:tcPr>
                  <w:tcW w:w="676" w:type="pct"/>
                  <w:noWrap w:val="0"/>
                  <w:vAlign w:val="center"/>
                </w:tcPr>
                <w:p w14:paraId="6E0F0700">
                  <w:pPr>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eastAsia" w:ascii="Times New Roman" w:hAnsi="Times New Roman" w:eastAsia="宋体" w:cs="Times New Roman"/>
                      <w:snapToGrid/>
                      <w:color w:val="auto"/>
                      <w:spacing w:val="0"/>
                      <w:kern w:val="0"/>
                      <w:position w:val="0"/>
                      <w:sz w:val="21"/>
                      <w:szCs w:val="21"/>
                      <w:lang w:eastAsia="zh-CN"/>
                    </w:rPr>
                    <w:t>废边角料</w:t>
                  </w:r>
                </w:p>
              </w:tc>
              <w:tc>
                <w:tcPr>
                  <w:tcW w:w="470" w:type="pct"/>
                  <w:noWrap w:val="0"/>
                  <w:vAlign w:val="center"/>
                </w:tcPr>
                <w:p w14:paraId="502C6C2B">
                  <w:pPr>
                    <w:adjustRightInd w:val="0"/>
                    <w:snapToGrid w:val="0"/>
                    <w:jc w:val="center"/>
                    <w:rPr>
                      <w:rFonts w:hint="default" w:cs="Times New Roman"/>
                      <w:color w:val="auto"/>
                      <w:kern w:val="0"/>
                      <w:sz w:val="21"/>
                      <w:szCs w:val="21"/>
                      <w:lang w:val="en-US" w:eastAsia="zh-CN" w:bidi="ar"/>
                    </w:rPr>
                  </w:pPr>
                  <w:r>
                    <w:rPr>
                      <w:rFonts w:hint="default" w:ascii="Times New Roman" w:hAnsi="Times New Roman" w:eastAsia="宋体" w:cs="Times New Roman"/>
                      <w:b w:val="0"/>
                      <w:bCs w:val="0"/>
                      <w:color w:val="auto"/>
                      <w:sz w:val="21"/>
                      <w:szCs w:val="21"/>
                      <w:vertAlign w:val="baseline"/>
                      <w:lang w:eastAsia="zh-CN"/>
                    </w:rPr>
                    <w:t>SW</w:t>
                  </w:r>
                  <w:r>
                    <w:rPr>
                      <w:rFonts w:hint="eastAsia" w:eastAsia="宋体" w:cs="Times New Roman"/>
                      <w:b w:val="0"/>
                      <w:bCs w:val="0"/>
                      <w:color w:val="auto"/>
                      <w:sz w:val="21"/>
                      <w:szCs w:val="21"/>
                      <w:vertAlign w:val="baseline"/>
                      <w:lang w:val="en-US" w:eastAsia="zh-CN"/>
                    </w:rPr>
                    <w:t>17</w:t>
                  </w:r>
                </w:p>
              </w:tc>
              <w:tc>
                <w:tcPr>
                  <w:tcW w:w="799" w:type="pct"/>
                  <w:noWrap w:val="0"/>
                  <w:vAlign w:val="center"/>
                </w:tcPr>
                <w:p w14:paraId="3B95C03F">
                  <w:pPr>
                    <w:keepNext w:val="0"/>
                    <w:keepLines w:val="0"/>
                    <w:widowControl/>
                    <w:suppressLineNumbers w:val="0"/>
                    <w:jc w:val="center"/>
                    <w:rPr>
                      <w:rFonts w:hint="eastAsia" w:ascii="Times New Roman" w:hAnsi="Times New Roman" w:eastAsia="宋体"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900-003-S17</w:t>
                  </w:r>
                </w:p>
              </w:tc>
              <w:tc>
                <w:tcPr>
                  <w:tcW w:w="515" w:type="pct"/>
                  <w:noWrap w:val="0"/>
                  <w:vAlign w:val="center"/>
                </w:tcPr>
                <w:p w14:paraId="7D6A2FBC">
                  <w:pPr>
                    <w:spacing w:line="240" w:lineRule="auto"/>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1300</w:t>
                  </w:r>
                </w:p>
              </w:tc>
              <w:tc>
                <w:tcPr>
                  <w:tcW w:w="504" w:type="pct"/>
                  <w:noWrap w:val="0"/>
                  <w:vAlign w:val="center"/>
                </w:tcPr>
                <w:p w14:paraId="7CFDF594">
                  <w:pPr>
                    <w:spacing w:line="240" w:lineRule="auto"/>
                    <w:jc w:val="center"/>
                    <w:rPr>
                      <w:rFonts w:hint="default" w:ascii="Times New Roman" w:hAnsi="Times New Roman" w:eastAsia="宋体" w:cs="Times New Roman"/>
                      <w:color w:val="auto"/>
                      <w:spacing w:val="0"/>
                      <w:kern w:val="2"/>
                      <w:sz w:val="21"/>
                      <w:szCs w:val="24"/>
                      <w:lang w:val="en-US" w:eastAsia="zh-CN" w:bidi="ar-SA"/>
                    </w:rPr>
                  </w:pPr>
                  <w:r>
                    <w:rPr>
                      <w:rFonts w:hint="eastAsia" w:cs="Times New Roman"/>
                      <w:color w:val="auto"/>
                      <w:spacing w:val="0"/>
                      <w:kern w:val="2"/>
                      <w:sz w:val="21"/>
                      <w:szCs w:val="24"/>
                      <w:lang w:val="en-US" w:eastAsia="zh-CN" w:bidi="ar-SA"/>
                    </w:rPr>
                    <w:t>生产过程</w:t>
                  </w:r>
                </w:p>
              </w:tc>
              <w:tc>
                <w:tcPr>
                  <w:tcW w:w="259" w:type="pct"/>
                  <w:noWrap w:val="0"/>
                  <w:vAlign w:val="center"/>
                </w:tcPr>
                <w:p w14:paraId="417600D1">
                  <w:pPr>
                    <w:adjustRightInd w:val="0"/>
                    <w:snapToGrid w:val="0"/>
                    <w:jc w:val="center"/>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color w:val="auto"/>
                      <w:sz w:val="21"/>
                      <w:szCs w:val="21"/>
                      <w:lang w:val="en-US" w:eastAsia="zh-CN"/>
                    </w:rPr>
                    <w:t>固态</w:t>
                  </w:r>
                </w:p>
              </w:tc>
              <w:tc>
                <w:tcPr>
                  <w:tcW w:w="458" w:type="pct"/>
                  <w:noWrap w:val="0"/>
                  <w:vAlign w:val="center"/>
                </w:tcPr>
                <w:p w14:paraId="01622A2C">
                  <w:pPr>
                    <w:spacing w:line="240" w:lineRule="auto"/>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废塑料</w:t>
                  </w:r>
                </w:p>
              </w:tc>
              <w:tc>
                <w:tcPr>
                  <w:tcW w:w="401" w:type="pct"/>
                  <w:noWrap w:val="0"/>
                  <w:vAlign w:val="center"/>
                </w:tcPr>
                <w:p w14:paraId="48E31C36">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1天</w:t>
                  </w:r>
                </w:p>
              </w:tc>
              <w:tc>
                <w:tcPr>
                  <w:tcW w:w="654" w:type="pct"/>
                  <w:vMerge w:val="continue"/>
                  <w:noWrap w:val="0"/>
                  <w:vAlign w:val="center"/>
                </w:tcPr>
                <w:p w14:paraId="1FC6F217">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r>
            <w:tr w14:paraId="7F0A2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276B1F3C">
                  <w:pPr>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4</w:t>
                  </w:r>
                </w:p>
              </w:tc>
              <w:tc>
                <w:tcPr>
                  <w:tcW w:w="676" w:type="pct"/>
                  <w:noWrap w:val="0"/>
                  <w:vAlign w:val="center"/>
                </w:tcPr>
                <w:p w14:paraId="1DC0856B">
                  <w:pPr>
                    <w:jc w:val="center"/>
                    <w:rPr>
                      <w:rFonts w:hint="default" w:ascii="Times New Roman" w:hAnsi="Times New Roman" w:eastAsia="宋体" w:cs="Times New Roman"/>
                      <w:b w:val="0"/>
                      <w:bCs w:val="0"/>
                      <w:color w:val="auto"/>
                      <w:kern w:val="2"/>
                      <w:sz w:val="21"/>
                      <w:szCs w:val="21"/>
                      <w:vertAlign w:val="baseline"/>
                      <w:lang w:val="en-US" w:eastAsia="zh-CN" w:bidi="ar-SA"/>
                    </w:rPr>
                  </w:pPr>
                  <w:r>
                    <w:rPr>
                      <w:rFonts w:hint="eastAsia" w:eastAsia="宋体" w:cs="Times New Roman"/>
                      <w:snapToGrid/>
                      <w:color w:val="auto"/>
                      <w:spacing w:val="0"/>
                      <w:kern w:val="0"/>
                      <w:position w:val="0"/>
                      <w:sz w:val="21"/>
                      <w:szCs w:val="21"/>
                      <w:lang w:eastAsia="zh-CN"/>
                    </w:rPr>
                    <w:t>布袋除尘器收集颗粒物</w:t>
                  </w:r>
                </w:p>
              </w:tc>
              <w:tc>
                <w:tcPr>
                  <w:tcW w:w="772" w:type="dxa"/>
                  <w:noWrap w:val="0"/>
                  <w:vAlign w:val="center"/>
                </w:tcPr>
                <w:p w14:paraId="6DD87888">
                  <w:pPr>
                    <w:adjustRightInd w:val="0"/>
                    <w:snapToGrid w:val="0"/>
                    <w:jc w:val="center"/>
                    <w:rPr>
                      <w:rFonts w:hint="eastAsia" w:cs="Times New Roman"/>
                      <w:color w:val="auto"/>
                      <w:kern w:val="0"/>
                      <w:sz w:val="21"/>
                      <w:szCs w:val="21"/>
                      <w:lang w:val="en-US" w:eastAsia="zh-CN" w:bidi="ar"/>
                    </w:rPr>
                  </w:pPr>
                  <w:r>
                    <w:rPr>
                      <w:rFonts w:hint="default" w:ascii="Times New Roman" w:hAnsi="Times New Roman" w:eastAsia="宋体" w:cs="Times New Roman"/>
                      <w:b w:val="0"/>
                      <w:bCs w:val="0"/>
                      <w:color w:val="auto"/>
                      <w:sz w:val="21"/>
                      <w:szCs w:val="21"/>
                      <w:vertAlign w:val="baseline"/>
                      <w:lang w:eastAsia="zh-CN"/>
                    </w:rPr>
                    <w:t>SW</w:t>
                  </w:r>
                  <w:r>
                    <w:rPr>
                      <w:rFonts w:hint="eastAsia" w:eastAsia="宋体" w:cs="Times New Roman"/>
                      <w:b w:val="0"/>
                      <w:bCs w:val="0"/>
                      <w:color w:val="auto"/>
                      <w:sz w:val="21"/>
                      <w:szCs w:val="21"/>
                      <w:vertAlign w:val="baseline"/>
                      <w:lang w:val="en-US" w:eastAsia="zh-CN"/>
                    </w:rPr>
                    <w:t>17</w:t>
                  </w:r>
                </w:p>
              </w:tc>
              <w:tc>
                <w:tcPr>
                  <w:tcW w:w="1313" w:type="dxa"/>
                  <w:noWrap w:val="0"/>
                  <w:vAlign w:val="center"/>
                </w:tcPr>
                <w:p w14:paraId="6DE14C72">
                  <w:pPr>
                    <w:keepNext w:val="0"/>
                    <w:keepLines w:val="0"/>
                    <w:widowControl/>
                    <w:suppressLineNumbers w:val="0"/>
                    <w:jc w:val="center"/>
                    <w:rPr>
                      <w:rFonts w:hint="eastAsia" w:cs="Times New Roman"/>
                      <w:color w:val="auto"/>
                      <w:kern w:val="0"/>
                      <w:sz w:val="21"/>
                      <w:szCs w:val="21"/>
                      <w:lang w:val="en-US" w:eastAsia="zh-CN" w:bidi="ar"/>
                    </w:rPr>
                  </w:pPr>
                  <w:r>
                    <w:rPr>
                      <w:rFonts w:hint="eastAsia" w:ascii="Times New Roman" w:hAnsi="Times New Roman" w:eastAsia="宋体" w:cs="Times New Roman"/>
                      <w:color w:val="auto"/>
                      <w:kern w:val="0"/>
                      <w:sz w:val="21"/>
                      <w:szCs w:val="21"/>
                      <w:lang w:val="en-US" w:eastAsia="zh-CN" w:bidi="ar"/>
                    </w:rPr>
                    <w:t>900-003-S17</w:t>
                  </w:r>
                </w:p>
              </w:tc>
              <w:tc>
                <w:tcPr>
                  <w:tcW w:w="515" w:type="pct"/>
                  <w:noWrap w:val="0"/>
                  <w:vAlign w:val="center"/>
                </w:tcPr>
                <w:p w14:paraId="1BE4C270">
                  <w:pPr>
                    <w:spacing w:line="240" w:lineRule="auto"/>
                    <w:jc w:val="center"/>
                    <w:rPr>
                      <w:rFonts w:hint="default" w:ascii="Times New Roman" w:hAnsi="Times New Roman" w:eastAsia="宋体" w:cs="Times New Roman"/>
                      <w:b w:val="0"/>
                      <w:bCs w:val="0"/>
                      <w:snapToGrid/>
                      <w:color w:val="auto"/>
                      <w:spacing w:val="0"/>
                      <w:kern w:val="0"/>
                      <w:position w:val="0"/>
                      <w:sz w:val="21"/>
                      <w:szCs w:val="21"/>
                      <w:vertAlign w:val="baseline"/>
                      <w:lang w:val="en-US" w:eastAsia="zh-CN" w:bidi="ar-SA"/>
                    </w:rPr>
                  </w:pPr>
                  <w:r>
                    <w:rPr>
                      <w:rFonts w:hint="eastAsia" w:cs="Times New Roman"/>
                      <w:b w:val="0"/>
                      <w:bCs w:val="0"/>
                      <w:snapToGrid/>
                      <w:color w:val="auto"/>
                      <w:spacing w:val="0"/>
                      <w:kern w:val="0"/>
                      <w:position w:val="0"/>
                      <w:sz w:val="21"/>
                      <w:szCs w:val="21"/>
                      <w:vertAlign w:val="baseline"/>
                      <w:lang w:val="en-US" w:eastAsia="zh-CN" w:bidi="ar-SA"/>
                    </w:rPr>
                    <w:t>12</w:t>
                  </w:r>
                </w:p>
              </w:tc>
              <w:tc>
                <w:tcPr>
                  <w:tcW w:w="504" w:type="pct"/>
                  <w:noWrap w:val="0"/>
                  <w:vAlign w:val="center"/>
                </w:tcPr>
                <w:p w14:paraId="1F5AADFB">
                  <w:pPr>
                    <w:spacing w:line="240" w:lineRule="auto"/>
                    <w:jc w:val="center"/>
                    <w:rPr>
                      <w:rFonts w:hint="default" w:ascii="Times New Roman" w:hAnsi="Times New Roman" w:eastAsia="宋体" w:cs="Times New Roman"/>
                      <w:color w:val="auto"/>
                      <w:spacing w:val="0"/>
                      <w:lang w:val="en-US" w:eastAsia="zh-CN"/>
                    </w:rPr>
                  </w:pPr>
                  <w:r>
                    <w:rPr>
                      <w:rFonts w:hint="eastAsia" w:cs="Times New Roman"/>
                      <w:color w:val="auto"/>
                      <w:spacing w:val="0"/>
                      <w:lang w:val="en-US" w:eastAsia="zh-CN"/>
                    </w:rPr>
                    <w:t>废气治理</w:t>
                  </w:r>
                </w:p>
              </w:tc>
              <w:tc>
                <w:tcPr>
                  <w:tcW w:w="259" w:type="pct"/>
                  <w:noWrap w:val="0"/>
                  <w:vAlign w:val="center"/>
                </w:tcPr>
                <w:p w14:paraId="79E370BE">
                  <w:pPr>
                    <w:adjustRightInd w:val="0"/>
                    <w:snapToGrid w:val="0"/>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sz w:val="21"/>
                      <w:szCs w:val="21"/>
                      <w:lang w:val="en-US" w:eastAsia="zh-CN"/>
                    </w:rPr>
                    <w:t>固态</w:t>
                  </w:r>
                </w:p>
              </w:tc>
              <w:tc>
                <w:tcPr>
                  <w:tcW w:w="458" w:type="pct"/>
                  <w:noWrap w:val="0"/>
                  <w:vAlign w:val="center"/>
                </w:tcPr>
                <w:p w14:paraId="41C4C09F">
                  <w:pPr>
                    <w:spacing w:line="240" w:lineRule="auto"/>
                    <w:jc w:val="center"/>
                    <w:rPr>
                      <w:rFonts w:hint="eastAsia" w:ascii="Times New Roman" w:hAnsi="Times New Roman" w:eastAsia="宋体" w:cs="Times New Roman"/>
                      <w:b w:val="0"/>
                      <w:bCs w:val="0"/>
                      <w:color w:val="auto"/>
                      <w:kern w:val="2"/>
                      <w:sz w:val="21"/>
                      <w:szCs w:val="21"/>
                      <w:vertAlign w:val="baseline"/>
                      <w:lang w:val="en-US" w:eastAsia="zh-CN" w:bidi="ar-SA"/>
                    </w:rPr>
                  </w:pPr>
                  <w:r>
                    <w:rPr>
                      <w:rFonts w:hint="eastAsia" w:cs="Times New Roman"/>
                      <w:b w:val="0"/>
                      <w:bCs w:val="0"/>
                      <w:color w:val="auto"/>
                      <w:kern w:val="2"/>
                      <w:sz w:val="21"/>
                      <w:szCs w:val="21"/>
                      <w:vertAlign w:val="baseline"/>
                      <w:lang w:val="en-US" w:eastAsia="zh-CN" w:bidi="ar-SA"/>
                    </w:rPr>
                    <w:t>废塑料</w:t>
                  </w:r>
                </w:p>
              </w:tc>
              <w:tc>
                <w:tcPr>
                  <w:tcW w:w="401" w:type="pct"/>
                  <w:noWrap w:val="0"/>
                  <w:vAlign w:val="center"/>
                </w:tcPr>
                <w:p w14:paraId="35630569">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1天</w:t>
                  </w:r>
                </w:p>
              </w:tc>
              <w:tc>
                <w:tcPr>
                  <w:tcW w:w="654" w:type="pct"/>
                  <w:vMerge w:val="continue"/>
                  <w:noWrap w:val="0"/>
                  <w:vAlign w:val="center"/>
                </w:tcPr>
                <w:p w14:paraId="3129E917">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p>
              </w:tc>
            </w:tr>
          </w:tbl>
          <w:p w14:paraId="3D89487C">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0" w:firstLineChars="0"/>
              <w:jc w:val="center"/>
              <w:textAlignment w:val="auto"/>
              <w:rPr>
                <w:rFonts w:hint="eastAsia"/>
                <w:snapToGrid/>
                <w:color w:val="auto"/>
                <w:spacing w:val="0"/>
                <w:kern w:val="0"/>
                <w:position w:val="0"/>
                <w:lang w:val="en-US" w:eastAsia="zh-CN"/>
              </w:rPr>
            </w:pPr>
            <w:r>
              <w:rPr>
                <w:rFonts w:hint="default" w:ascii="Times New Roman" w:hAnsi="Times New Roman" w:eastAsia="宋体" w:cs="Times New Roman"/>
                <w:b/>
                <w:bCs/>
                <w:snapToGrid/>
                <w:color w:val="auto"/>
                <w:spacing w:val="0"/>
                <w:kern w:val="0"/>
                <w:position w:val="0"/>
                <w:sz w:val="24"/>
                <w:szCs w:val="24"/>
              </w:rPr>
              <w:t>表</w:t>
            </w:r>
            <w:r>
              <w:rPr>
                <w:rFonts w:hint="default" w:ascii="Times New Roman" w:hAnsi="Times New Roman" w:eastAsia="宋体" w:cs="Times New Roman"/>
                <w:b/>
                <w:bCs/>
                <w:snapToGrid/>
                <w:color w:val="auto"/>
                <w:spacing w:val="0"/>
                <w:kern w:val="0"/>
                <w:position w:val="0"/>
                <w:sz w:val="24"/>
                <w:szCs w:val="24"/>
                <w:lang w:val="en-US" w:eastAsia="zh-CN"/>
              </w:rPr>
              <w:t>4.</w:t>
            </w:r>
            <w:r>
              <w:rPr>
                <w:rFonts w:hint="eastAsia" w:cs="Times New Roman"/>
                <w:b/>
                <w:bCs/>
                <w:snapToGrid/>
                <w:color w:val="auto"/>
                <w:spacing w:val="0"/>
                <w:kern w:val="0"/>
                <w:position w:val="0"/>
                <w:sz w:val="24"/>
                <w:szCs w:val="24"/>
                <w:lang w:val="en-US" w:eastAsia="zh-CN"/>
              </w:rPr>
              <w:t>15</w:t>
            </w:r>
            <w:r>
              <w:rPr>
                <w:rFonts w:hint="eastAsia" w:ascii="Times New Roman" w:hAnsi="Times New Roman" w:eastAsia="宋体" w:cs="Times New Roman"/>
                <w:b/>
                <w:bCs/>
                <w:snapToGrid/>
                <w:color w:val="auto"/>
                <w:spacing w:val="0"/>
                <w:kern w:val="0"/>
                <w:position w:val="0"/>
                <w:sz w:val="24"/>
                <w:szCs w:val="24"/>
                <w:lang w:val="en-US" w:eastAsia="zh-CN"/>
              </w:rPr>
              <w:t xml:space="preserve"> </w:t>
            </w:r>
            <w:r>
              <w:rPr>
                <w:rFonts w:hint="default" w:ascii="Times New Roman" w:hAnsi="Times New Roman" w:eastAsia="宋体" w:cs="Times New Roman"/>
                <w:b/>
                <w:bCs/>
                <w:snapToGrid/>
                <w:color w:val="auto"/>
                <w:spacing w:val="0"/>
                <w:kern w:val="0"/>
                <w:position w:val="0"/>
                <w:sz w:val="24"/>
                <w:szCs w:val="24"/>
              </w:rPr>
              <w:t xml:space="preserve"> 项目</w:t>
            </w:r>
            <w:r>
              <w:rPr>
                <w:rFonts w:hint="eastAsia" w:ascii="Times New Roman" w:hAnsi="Times New Roman" w:eastAsia="宋体" w:cs="Times New Roman"/>
                <w:b/>
                <w:bCs/>
                <w:snapToGrid/>
                <w:color w:val="auto"/>
                <w:spacing w:val="0"/>
                <w:kern w:val="0"/>
                <w:position w:val="0"/>
                <w:sz w:val="24"/>
                <w:szCs w:val="24"/>
                <w:lang w:eastAsia="zh-CN"/>
              </w:rPr>
              <w:t>危险</w:t>
            </w:r>
            <w:r>
              <w:rPr>
                <w:rFonts w:hint="default" w:ascii="Times New Roman" w:hAnsi="Times New Roman" w:eastAsia="宋体" w:cs="Times New Roman"/>
                <w:b/>
                <w:bCs/>
                <w:snapToGrid/>
                <w:color w:val="auto"/>
                <w:spacing w:val="0"/>
                <w:kern w:val="0"/>
                <w:position w:val="0"/>
                <w:sz w:val="24"/>
                <w:szCs w:val="24"/>
              </w:rPr>
              <w:t>废物产</w:t>
            </w:r>
            <w:r>
              <w:rPr>
                <w:rFonts w:hint="eastAsia" w:ascii="Times New Roman" w:hAnsi="Times New Roman" w:eastAsia="宋体" w:cs="Times New Roman"/>
                <w:b/>
                <w:bCs/>
                <w:snapToGrid/>
                <w:color w:val="auto"/>
                <w:spacing w:val="0"/>
                <w:kern w:val="0"/>
                <w:position w:val="0"/>
                <w:sz w:val="24"/>
                <w:szCs w:val="24"/>
                <w:lang w:eastAsia="zh-CN"/>
              </w:rPr>
              <w:t>生及处置统计一览</w:t>
            </w:r>
            <w:r>
              <w:rPr>
                <w:rFonts w:hint="default" w:ascii="Times New Roman" w:hAnsi="Times New Roman" w:eastAsia="宋体" w:cs="Times New Roman"/>
                <w:b/>
                <w:bCs/>
                <w:snapToGrid/>
                <w:color w:val="auto"/>
                <w:spacing w:val="0"/>
                <w:kern w:val="0"/>
                <w:position w:val="0"/>
                <w:sz w:val="24"/>
                <w:szCs w:val="24"/>
              </w:rPr>
              <w:t>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18"/>
              <w:gridCol w:w="866"/>
              <w:gridCol w:w="1197"/>
              <w:gridCol w:w="847"/>
              <w:gridCol w:w="807"/>
              <w:gridCol w:w="426"/>
              <w:gridCol w:w="741"/>
              <w:gridCol w:w="651"/>
              <w:gridCol w:w="700"/>
              <w:gridCol w:w="833"/>
            </w:tblGrid>
            <w:tr w14:paraId="362A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14229697">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序号</w:t>
                  </w:r>
                </w:p>
              </w:tc>
              <w:tc>
                <w:tcPr>
                  <w:tcW w:w="437" w:type="pct"/>
                  <w:noWrap w:val="0"/>
                  <w:vAlign w:val="center"/>
                </w:tcPr>
                <w:p w14:paraId="046C8BE8">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危险废物</w:t>
                  </w:r>
                </w:p>
              </w:tc>
              <w:tc>
                <w:tcPr>
                  <w:tcW w:w="527" w:type="pct"/>
                  <w:noWrap w:val="0"/>
                  <w:vAlign w:val="center"/>
                </w:tcPr>
                <w:p w14:paraId="3D6BA9D8">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危险废物类别</w:t>
                  </w:r>
                </w:p>
              </w:tc>
              <w:tc>
                <w:tcPr>
                  <w:tcW w:w="728" w:type="pct"/>
                  <w:noWrap w:val="0"/>
                  <w:vAlign w:val="center"/>
                </w:tcPr>
                <w:p w14:paraId="14A9FAAF">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废物代码</w:t>
                  </w:r>
                </w:p>
              </w:tc>
              <w:tc>
                <w:tcPr>
                  <w:tcW w:w="515" w:type="pct"/>
                  <w:noWrap w:val="0"/>
                  <w:vAlign w:val="center"/>
                </w:tcPr>
                <w:p w14:paraId="087E51E6">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产生量（</w:t>
                  </w:r>
                  <w:r>
                    <w:rPr>
                      <w:rFonts w:hint="default" w:ascii="Times New Roman" w:hAnsi="Times New Roman" w:eastAsia="宋体" w:cs="Times New Roman"/>
                      <w:snapToGrid/>
                      <w:color w:val="auto"/>
                      <w:spacing w:val="0"/>
                      <w:kern w:val="0"/>
                      <w:position w:val="0"/>
                      <w:sz w:val="21"/>
                      <w:szCs w:val="21"/>
                      <w:lang w:val="en-US" w:eastAsia="zh-CN"/>
                    </w:rPr>
                    <w:t>t/a</w:t>
                  </w:r>
                  <w:r>
                    <w:rPr>
                      <w:rFonts w:hint="default" w:ascii="Times New Roman" w:hAnsi="Times New Roman" w:eastAsia="宋体" w:cs="Times New Roman"/>
                      <w:snapToGrid/>
                      <w:color w:val="auto"/>
                      <w:spacing w:val="0"/>
                      <w:kern w:val="0"/>
                      <w:position w:val="0"/>
                      <w:sz w:val="21"/>
                      <w:szCs w:val="21"/>
                      <w:lang w:eastAsia="zh-CN"/>
                    </w:rPr>
                    <w:t>）</w:t>
                  </w:r>
                </w:p>
              </w:tc>
              <w:tc>
                <w:tcPr>
                  <w:tcW w:w="491" w:type="pct"/>
                  <w:noWrap w:val="0"/>
                  <w:vAlign w:val="center"/>
                </w:tcPr>
                <w:p w14:paraId="2B388EBD">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产生工序及装置</w:t>
                  </w:r>
                </w:p>
              </w:tc>
              <w:tc>
                <w:tcPr>
                  <w:tcW w:w="259" w:type="pct"/>
                  <w:noWrap w:val="0"/>
                  <w:vAlign w:val="center"/>
                </w:tcPr>
                <w:p w14:paraId="26867F64">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形态</w:t>
                  </w:r>
                </w:p>
              </w:tc>
              <w:tc>
                <w:tcPr>
                  <w:tcW w:w="451" w:type="pct"/>
                  <w:noWrap w:val="0"/>
                  <w:vAlign w:val="center"/>
                </w:tcPr>
                <w:p w14:paraId="79DF4A29">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主要成分</w:t>
                  </w:r>
                </w:p>
              </w:tc>
              <w:tc>
                <w:tcPr>
                  <w:tcW w:w="396" w:type="pct"/>
                  <w:noWrap w:val="0"/>
                  <w:vAlign w:val="center"/>
                </w:tcPr>
                <w:p w14:paraId="34C95BB0">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产废周期</w:t>
                  </w:r>
                </w:p>
              </w:tc>
              <w:tc>
                <w:tcPr>
                  <w:tcW w:w="426" w:type="pct"/>
                  <w:noWrap w:val="0"/>
                  <w:vAlign w:val="center"/>
                </w:tcPr>
                <w:p w14:paraId="1FF59061">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危险特性</w:t>
                  </w:r>
                </w:p>
              </w:tc>
              <w:tc>
                <w:tcPr>
                  <w:tcW w:w="507" w:type="pct"/>
                  <w:noWrap w:val="0"/>
                  <w:vAlign w:val="center"/>
                </w:tcPr>
                <w:p w14:paraId="71B87774">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防治措施</w:t>
                  </w:r>
                </w:p>
              </w:tc>
            </w:tr>
            <w:tr w14:paraId="7C224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62D75B47">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1</w:t>
                  </w:r>
                </w:p>
              </w:tc>
              <w:tc>
                <w:tcPr>
                  <w:tcW w:w="437" w:type="pct"/>
                  <w:noWrap w:val="0"/>
                  <w:vAlign w:val="center"/>
                </w:tcPr>
                <w:p w14:paraId="064CB83B">
                  <w:pPr>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eastAsia="宋体" w:cs="Times New Roman"/>
                      <w:bCs/>
                      <w:snapToGrid/>
                      <w:color w:val="auto"/>
                      <w:spacing w:val="0"/>
                      <w:kern w:val="0"/>
                      <w:position w:val="0"/>
                      <w:sz w:val="21"/>
                      <w:szCs w:val="21"/>
                      <w:lang w:val="en-US" w:eastAsia="zh-CN"/>
                    </w:rPr>
                    <w:t>废活性炭</w:t>
                  </w:r>
                </w:p>
              </w:tc>
              <w:tc>
                <w:tcPr>
                  <w:tcW w:w="527" w:type="pct"/>
                  <w:noWrap w:val="0"/>
                  <w:vAlign w:val="center"/>
                </w:tcPr>
                <w:p w14:paraId="604DABA6">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HW08废矿物油与含矿物油废物</w:t>
                  </w:r>
                </w:p>
              </w:tc>
              <w:tc>
                <w:tcPr>
                  <w:tcW w:w="728" w:type="pct"/>
                  <w:noWrap w:val="0"/>
                  <w:vAlign w:val="center"/>
                </w:tcPr>
                <w:p w14:paraId="51E98891">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cs="Times New Roman"/>
                      <w:color w:val="auto"/>
                      <w:sz w:val="21"/>
                      <w:szCs w:val="21"/>
                      <w:lang w:val="en-US" w:eastAsia="zh-CN"/>
                    </w:rPr>
                    <w:t>900-</w:t>
                  </w:r>
                  <w:r>
                    <w:rPr>
                      <w:rFonts w:hint="eastAsia" w:ascii="Times New Roman" w:hAnsi="Times New Roman" w:cs="Times New Roman"/>
                      <w:color w:val="auto"/>
                      <w:sz w:val="21"/>
                      <w:szCs w:val="21"/>
                      <w:lang w:val="en-US" w:eastAsia="zh-CN"/>
                    </w:rPr>
                    <w:t>2</w:t>
                  </w:r>
                  <w:r>
                    <w:rPr>
                      <w:rFonts w:hint="eastAsia" w:cs="Times New Roman"/>
                      <w:color w:val="auto"/>
                      <w:sz w:val="21"/>
                      <w:szCs w:val="21"/>
                      <w:lang w:val="en-US" w:eastAsia="zh-CN"/>
                    </w:rPr>
                    <w:t>0</w:t>
                  </w:r>
                  <w:r>
                    <w:rPr>
                      <w:rFonts w:hint="eastAsia" w:ascii="Times New Roman" w:hAnsi="Times New Roman" w:cs="Times New Roman"/>
                      <w:color w:val="auto"/>
                      <w:sz w:val="21"/>
                      <w:szCs w:val="21"/>
                      <w:lang w:val="en-US" w:eastAsia="zh-CN"/>
                    </w:rPr>
                    <w:t>9</w:t>
                  </w:r>
                  <w:r>
                    <w:rPr>
                      <w:rFonts w:hint="default" w:ascii="Times New Roman" w:hAnsi="Times New Roman" w:cs="Times New Roman"/>
                      <w:color w:val="auto"/>
                      <w:sz w:val="21"/>
                      <w:szCs w:val="21"/>
                      <w:lang w:val="en-US" w:eastAsia="zh-CN"/>
                    </w:rPr>
                    <w:t>-0</w:t>
                  </w:r>
                  <w:r>
                    <w:rPr>
                      <w:rFonts w:hint="eastAsia" w:ascii="Times New Roman" w:hAnsi="Times New Roman" w:cs="Times New Roman"/>
                      <w:color w:val="auto"/>
                      <w:sz w:val="21"/>
                      <w:szCs w:val="21"/>
                      <w:lang w:val="en-US" w:eastAsia="zh-CN"/>
                    </w:rPr>
                    <w:t>8</w:t>
                  </w:r>
                </w:p>
              </w:tc>
              <w:tc>
                <w:tcPr>
                  <w:tcW w:w="515" w:type="pct"/>
                  <w:noWrap w:val="0"/>
                  <w:vAlign w:val="center"/>
                </w:tcPr>
                <w:p w14:paraId="13DA7F18">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0.</w:t>
                  </w:r>
                  <w:r>
                    <w:rPr>
                      <w:rFonts w:hint="eastAsia" w:ascii="Times New Roman" w:hAnsi="Times New Roman" w:eastAsia="宋体" w:cs="Times New Roman"/>
                      <w:snapToGrid/>
                      <w:color w:val="auto"/>
                      <w:spacing w:val="0"/>
                      <w:kern w:val="0"/>
                      <w:position w:val="0"/>
                      <w:sz w:val="21"/>
                      <w:szCs w:val="21"/>
                      <w:lang w:val="en-US" w:eastAsia="zh-CN"/>
                    </w:rPr>
                    <w:t>3</w:t>
                  </w:r>
                </w:p>
              </w:tc>
              <w:tc>
                <w:tcPr>
                  <w:tcW w:w="491" w:type="pct"/>
                  <w:noWrap w:val="0"/>
                  <w:vAlign w:val="center"/>
                </w:tcPr>
                <w:p w14:paraId="14B84928">
                  <w:pPr>
                    <w:spacing w:line="240" w:lineRule="auto"/>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default" w:ascii="Times New Roman" w:hAnsi="Times New Roman" w:eastAsia="宋体" w:cs="Times New Roman"/>
                      <w:bCs/>
                      <w:snapToGrid/>
                      <w:color w:val="auto"/>
                      <w:spacing w:val="0"/>
                      <w:kern w:val="0"/>
                      <w:position w:val="0"/>
                      <w:sz w:val="21"/>
                      <w:szCs w:val="21"/>
                      <w:lang w:val="en-US" w:eastAsia="zh-CN"/>
                    </w:rPr>
                    <w:t>设备</w:t>
                  </w:r>
                </w:p>
                <w:p w14:paraId="6A07B7FF">
                  <w:pPr>
                    <w:spacing w:line="240" w:lineRule="auto"/>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bCs/>
                      <w:snapToGrid/>
                      <w:color w:val="auto"/>
                      <w:spacing w:val="0"/>
                      <w:kern w:val="0"/>
                      <w:position w:val="0"/>
                      <w:sz w:val="21"/>
                      <w:szCs w:val="21"/>
                      <w:lang w:val="en-US" w:eastAsia="zh-CN"/>
                    </w:rPr>
                    <w:t>运行</w:t>
                  </w:r>
                </w:p>
              </w:tc>
              <w:tc>
                <w:tcPr>
                  <w:tcW w:w="259" w:type="pct"/>
                  <w:noWrap w:val="0"/>
                  <w:vAlign w:val="center"/>
                </w:tcPr>
                <w:p w14:paraId="69F0C218">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液态</w:t>
                  </w:r>
                </w:p>
              </w:tc>
              <w:tc>
                <w:tcPr>
                  <w:tcW w:w="451" w:type="pct"/>
                  <w:noWrap w:val="0"/>
                  <w:vAlign w:val="center"/>
                </w:tcPr>
                <w:p w14:paraId="47D14B06">
                  <w:pPr>
                    <w:adjustRightInd w:val="0"/>
                    <w:snapToGrid w:val="0"/>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活性炭、非甲烷总烃</w:t>
                  </w:r>
                </w:p>
              </w:tc>
              <w:tc>
                <w:tcPr>
                  <w:tcW w:w="396" w:type="pct"/>
                  <w:noWrap w:val="0"/>
                  <w:vAlign w:val="center"/>
                </w:tcPr>
                <w:p w14:paraId="7B5267C6">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12个月</w:t>
                  </w:r>
                </w:p>
              </w:tc>
              <w:tc>
                <w:tcPr>
                  <w:tcW w:w="426" w:type="pct"/>
                  <w:noWrap w:val="0"/>
                  <w:vAlign w:val="center"/>
                </w:tcPr>
                <w:p w14:paraId="5FAB2ABF">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r>
                    <w:rPr>
                      <w:rFonts w:hint="eastAsia" w:cs="Times New Roman"/>
                      <w:snapToGrid/>
                      <w:color w:val="auto"/>
                      <w:spacing w:val="0"/>
                      <w:kern w:val="0"/>
                      <w:position w:val="0"/>
                      <w:sz w:val="21"/>
                      <w:szCs w:val="21"/>
                      <w:lang w:val="en-US" w:eastAsia="zh-CN"/>
                    </w:rPr>
                    <w:t xml:space="preserve">, </w:t>
                  </w:r>
                  <w:r>
                    <w:rPr>
                      <w:rFonts w:hint="default" w:ascii="Times New Roman" w:hAnsi="Times New Roman" w:eastAsia="宋体" w:cs="Times New Roman"/>
                      <w:snapToGrid/>
                      <w:color w:val="auto"/>
                      <w:spacing w:val="0"/>
                      <w:kern w:val="0"/>
                      <w:position w:val="0"/>
                      <w:sz w:val="21"/>
                      <w:szCs w:val="21"/>
                      <w:lang w:val="en-US" w:eastAsia="zh-CN"/>
                    </w:rPr>
                    <w:t>I</w:t>
                  </w:r>
                </w:p>
              </w:tc>
              <w:tc>
                <w:tcPr>
                  <w:tcW w:w="507" w:type="pct"/>
                  <w:vMerge w:val="restart"/>
                  <w:noWrap w:val="0"/>
                  <w:vAlign w:val="center"/>
                </w:tcPr>
                <w:p w14:paraId="041C4B28">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r>
                    <w:rPr>
                      <w:rFonts w:hint="default" w:ascii="Times New Roman" w:hAnsi="Times New Roman" w:eastAsia="宋体" w:cs="Times New Roman"/>
                      <w:snapToGrid/>
                      <w:color w:val="auto"/>
                      <w:spacing w:val="0"/>
                      <w:kern w:val="0"/>
                      <w:position w:val="0"/>
                      <w:sz w:val="21"/>
                      <w:szCs w:val="21"/>
                      <w:lang w:eastAsia="zh-CN"/>
                    </w:rPr>
                    <w:t>委托有资质单位处理</w:t>
                  </w:r>
                </w:p>
              </w:tc>
            </w:tr>
            <w:tr w14:paraId="6B37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50CE0E9D">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2</w:t>
                  </w:r>
                </w:p>
              </w:tc>
              <w:tc>
                <w:tcPr>
                  <w:tcW w:w="437" w:type="pct"/>
                  <w:noWrap w:val="0"/>
                  <w:vAlign w:val="center"/>
                </w:tcPr>
                <w:p w14:paraId="070F6BF1">
                  <w:pPr>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eastAsia="宋体" w:cs="Times New Roman"/>
                      <w:bCs/>
                      <w:snapToGrid/>
                      <w:color w:val="auto"/>
                      <w:spacing w:val="0"/>
                      <w:kern w:val="0"/>
                      <w:position w:val="0"/>
                      <w:sz w:val="21"/>
                      <w:szCs w:val="21"/>
                      <w:lang w:val="en-US" w:eastAsia="zh-CN"/>
                    </w:rPr>
                    <w:t>废催化剂</w:t>
                  </w:r>
                </w:p>
              </w:tc>
              <w:tc>
                <w:tcPr>
                  <w:tcW w:w="527" w:type="pct"/>
                  <w:noWrap w:val="0"/>
                  <w:vAlign w:val="center"/>
                </w:tcPr>
                <w:p w14:paraId="08628B43">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HW49 其他废物</w:t>
                  </w:r>
                </w:p>
              </w:tc>
              <w:tc>
                <w:tcPr>
                  <w:tcW w:w="728" w:type="pct"/>
                  <w:noWrap w:val="0"/>
                  <w:vAlign w:val="center"/>
                </w:tcPr>
                <w:p w14:paraId="02443A3A">
                  <w:pPr>
                    <w:adjustRightInd w:val="0"/>
                    <w:snapToGrid w:val="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900-041-49</w:t>
                  </w:r>
                </w:p>
              </w:tc>
              <w:tc>
                <w:tcPr>
                  <w:tcW w:w="515" w:type="pct"/>
                  <w:noWrap w:val="0"/>
                  <w:vAlign w:val="center"/>
                </w:tcPr>
                <w:p w14:paraId="694A8D08">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3.175</w:t>
                  </w:r>
                </w:p>
              </w:tc>
              <w:tc>
                <w:tcPr>
                  <w:tcW w:w="491" w:type="pct"/>
                  <w:noWrap w:val="0"/>
                  <w:vAlign w:val="center"/>
                </w:tcPr>
                <w:p w14:paraId="7E917032">
                  <w:pPr>
                    <w:spacing w:line="240" w:lineRule="auto"/>
                    <w:jc w:val="center"/>
                    <w:rPr>
                      <w:rFonts w:hint="eastAsia"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废气</w:t>
                  </w:r>
                </w:p>
                <w:p w14:paraId="558AB16E">
                  <w:pPr>
                    <w:spacing w:line="240" w:lineRule="auto"/>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处理</w:t>
                  </w:r>
                </w:p>
              </w:tc>
              <w:tc>
                <w:tcPr>
                  <w:tcW w:w="259" w:type="pct"/>
                  <w:noWrap w:val="0"/>
                  <w:vAlign w:val="center"/>
                </w:tcPr>
                <w:p w14:paraId="7D6FFECF">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color w:val="auto"/>
                      <w:lang w:val="en-US" w:eastAsia="zh-CN"/>
                    </w:rPr>
                    <w:t>固态</w:t>
                  </w:r>
                </w:p>
              </w:tc>
              <w:tc>
                <w:tcPr>
                  <w:tcW w:w="451" w:type="pct"/>
                  <w:noWrap w:val="0"/>
                  <w:vAlign w:val="center"/>
                </w:tcPr>
                <w:p w14:paraId="605E602A">
                  <w:pPr>
                    <w:adjustRightInd w:val="0"/>
                    <w:snapToGrid w:val="0"/>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铂、钯</w:t>
                  </w:r>
                </w:p>
              </w:tc>
              <w:tc>
                <w:tcPr>
                  <w:tcW w:w="396" w:type="pct"/>
                  <w:noWrap w:val="0"/>
                  <w:vAlign w:val="center"/>
                </w:tcPr>
                <w:p w14:paraId="3D0216CC">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3个月</w:t>
                  </w:r>
                </w:p>
              </w:tc>
              <w:tc>
                <w:tcPr>
                  <w:tcW w:w="426" w:type="pct"/>
                  <w:noWrap w:val="0"/>
                  <w:vAlign w:val="center"/>
                </w:tcPr>
                <w:p w14:paraId="541C5EC0">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r>
                    <w:rPr>
                      <w:rFonts w:hint="eastAsia" w:cs="Times New Roman"/>
                      <w:snapToGrid/>
                      <w:color w:val="auto"/>
                      <w:spacing w:val="0"/>
                      <w:kern w:val="0"/>
                      <w:position w:val="0"/>
                      <w:sz w:val="21"/>
                      <w:szCs w:val="21"/>
                      <w:lang w:val="en-US" w:eastAsia="zh-CN"/>
                    </w:rPr>
                    <w:t xml:space="preserve">, </w:t>
                  </w:r>
                  <w:r>
                    <w:rPr>
                      <w:rFonts w:hint="default" w:ascii="Times New Roman" w:hAnsi="Times New Roman" w:eastAsia="宋体" w:cs="Times New Roman"/>
                      <w:snapToGrid/>
                      <w:color w:val="auto"/>
                      <w:spacing w:val="0"/>
                      <w:kern w:val="0"/>
                      <w:position w:val="0"/>
                      <w:sz w:val="21"/>
                      <w:szCs w:val="21"/>
                      <w:lang w:val="en-US" w:eastAsia="zh-CN"/>
                    </w:rPr>
                    <w:t>I</w:t>
                  </w:r>
                </w:p>
              </w:tc>
              <w:tc>
                <w:tcPr>
                  <w:tcW w:w="507" w:type="pct"/>
                  <w:vMerge w:val="continue"/>
                  <w:noWrap w:val="0"/>
                  <w:vAlign w:val="center"/>
                </w:tcPr>
                <w:p w14:paraId="1DC209AF">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r>
            <w:tr w14:paraId="6396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5E616A8A">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3</w:t>
                  </w:r>
                </w:p>
              </w:tc>
              <w:tc>
                <w:tcPr>
                  <w:tcW w:w="437" w:type="pct"/>
                  <w:noWrap w:val="0"/>
                  <w:vAlign w:val="center"/>
                </w:tcPr>
                <w:p w14:paraId="1AACE6B8">
                  <w:pPr>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eastAsia="zh-CN"/>
                    </w:rPr>
                    <w:t>废润滑油</w:t>
                  </w:r>
                </w:p>
              </w:tc>
              <w:tc>
                <w:tcPr>
                  <w:tcW w:w="527" w:type="pct"/>
                  <w:noWrap w:val="0"/>
                  <w:vAlign w:val="center"/>
                </w:tcPr>
                <w:p w14:paraId="3A43684C">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HW49 其他废物</w:t>
                  </w:r>
                </w:p>
              </w:tc>
              <w:tc>
                <w:tcPr>
                  <w:tcW w:w="728" w:type="pct"/>
                  <w:noWrap w:val="0"/>
                  <w:vAlign w:val="center"/>
                </w:tcPr>
                <w:p w14:paraId="6196D335">
                  <w:pPr>
                    <w:adjustRightInd w:val="0"/>
                    <w:snapToGrid w:val="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900-039-49</w:t>
                  </w:r>
                </w:p>
              </w:tc>
              <w:tc>
                <w:tcPr>
                  <w:tcW w:w="515" w:type="pct"/>
                  <w:noWrap w:val="0"/>
                  <w:vAlign w:val="center"/>
                </w:tcPr>
                <w:p w14:paraId="4E1F858C">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1.647</w:t>
                  </w:r>
                </w:p>
              </w:tc>
              <w:tc>
                <w:tcPr>
                  <w:tcW w:w="491" w:type="pct"/>
                  <w:noWrap w:val="0"/>
                  <w:vAlign w:val="center"/>
                </w:tcPr>
                <w:p w14:paraId="610E0A0B">
                  <w:pPr>
                    <w:spacing w:line="240" w:lineRule="auto"/>
                    <w:jc w:val="center"/>
                    <w:rPr>
                      <w:rFonts w:hint="eastAsia"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废气</w:t>
                  </w:r>
                </w:p>
                <w:p w14:paraId="1C670F14">
                  <w:pPr>
                    <w:spacing w:line="240" w:lineRule="auto"/>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处理</w:t>
                  </w:r>
                </w:p>
              </w:tc>
              <w:tc>
                <w:tcPr>
                  <w:tcW w:w="259" w:type="pct"/>
                  <w:noWrap w:val="0"/>
                  <w:vAlign w:val="center"/>
                </w:tcPr>
                <w:p w14:paraId="2318EF37">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color w:val="auto"/>
                      <w:lang w:val="en-US" w:eastAsia="zh-CN"/>
                    </w:rPr>
                    <w:t>固态</w:t>
                  </w:r>
                </w:p>
              </w:tc>
              <w:tc>
                <w:tcPr>
                  <w:tcW w:w="451" w:type="pct"/>
                  <w:noWrap w:val="0"/>
                  <w:vAlign w:val="center"/>
                </w:tcPr>
                <w:p w14:paraId="5FAA852A">
                  <w:pPr>
                    <w:adjustRightInd w:val="0"/>
                    <w:snapToGrid w:val="0"/>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润滑油</w:t>
                  </w:r>
                </w:p>
              </w:tc>
              <w:tc>
                <w:tcPr>
                  <w:tcW w:w="396" w:type="pct"/>
                  <w:noWrap w:val="0"/>
                  <w:vAlign w:val="center"/>
                </w:tcPr>
                <w:p w14:paraId="5A7C956C">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1年</w:t>
                  </w:r>
                </w:p>
              </w:tc>
              <w:tc>
                <w:tcPr>
                  <w:tcW w:w="426" w:type="pct"/>
                  <w:noWrap w:val="0"/>
                  <w:vAlign w:val="center"/>
                </w:tcPr>
                <w:p w14:paraId="5B56E0DE">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p>
              </w:tc>
              <w:tc>
                <w:tcPr>
                  <w:tcW w:w="507" w:type="pct"/>
                  <w:vMerge w:val="continue"/>
                  <w:noWrap w:val="0"/>
                  <w:vAlign w:val="center"/>
                </w:tcPr>
                <w:p w14:paraId="0BE3E9EE">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r>
            <w:tr w14:paraId="7FC46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3C4A24EA">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4</w:t>
                  </w:r>
                </w:p>
              </w:tc>
              <w:tc>
                <w:tcPr>
                  <w:tcW w:w="437" w:type="pct"/>
                  <w:noWrap w:val="0"/>
                  <w:vAlign w:val="center"/>
                </w:tcPr>
                <w:p w14:paraId="44AB2094">
                  <w:pPr>
                    <w:jc w:val="center"/>
                    <w:rPr>
                      <w:rFonts w:hint="eastAsia" w:ascii="Times New Roman" w:hAnsi="Times New Roman"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废润滑油桶</w:t>
                  </w:r>
                </w:p>
              </w:tc>
              <w:tc>
                <w:tcPr>
                  <w:tcW w:w="527" w:type="pct"/>
                  <w:noWrap w:val="0"/>
                  <w:vAlign w:val="center"/>
                </w:tcPr>
                <w:p w14:paraId="6338BF25">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HW49 其他废物</w:t>
                  </w:r>
                </w:p>
              </w:tc>
              <w:tc>
                <w:tcPr>
                  <w:tcW w:w="728" w:type="pct"/>
                  <w:noWrap w:val="0"/>
                  <w:vAlign w:val="center"/>
                </w:tcPr>
                <w:p w14:paraId="1ACE6985">
                  <w:pPr>
                    <w:adjustRightInd w:val="0"/>
                    <w:snapToGrid w:val="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 xml:space="preserve">900-041-49 </w:t>
                  </w:r>
                </w:p>
              </w:tc>
              <w:tc>
                <w:tcPr>
                  <w:tcW w:w="515" w:type="pct"/>
                  <w:noWrap w:val="0"/>
                  <w:vAlign w:val="center"/>
                </w:tcPr>
                <w:p w14:paraId="1775B107">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0.225</w:t>
                  </w:r>
                </w:p>
              </w:tc>
              <w:tc>
                <w:tcPr>
                  <w:tcW w:w="491" w:type="pct"/>
                  <w:noWrap w:val="0"/>
                  <w:vAlign w:val="center"/>
                </w:tcPr>
                <w:p w14:paraId="132513F3">
                  <w:pPr>
                    <w:spacing w:line="240" w:lineRule="auto"/>
                    <w:jc w:val="center"/>
                    <w:rPr>
                      <w:rFonts w:hint="eastAsia"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废气</w:t>
                  </w:r>
                </w:p>
                <w:p w14:paraId="4E1560EA">
                  <w:pPr>
                    <w:spacing w:line="240" w:lineRule="auto"/>
                    <w:jc w:val="center"/>
                    <w:rPr>
                      <w:rFonts w:hint="eastAsia"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处理</w:t>
                  </w:r>
                </w:p>
              </w:tc>
              <w:tc>
                <w:tcPr>
                  <w:tcW w:w="259" w:type="pct"/>
                  <w:noWrap w:val="0"/>
                  <w:vAlign w:val="center"/>
                </w:tcPr>
                <w:p w14:paraId="733D198F">
                  <w:pPr>
                    <w:adjustRightInd w:val="0"/>
                    <w:snapToGrid w:val="0"/>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固态</w:t>
                  </w:r>
                </w:p>
              </w:tc>
              <w:tc>
                <w:tcPr>
                  <w:tcW w:w="451" w:type="pct"/>
                  <w:noWrap w:val="0"/>
                  <w:vAlign w:val="center"/>
                </w:tcPr>
                <w:p w14:paraId="01B8BA6A">
                  <w:pPr>
                    <w:adjustRightInd w:val="0"/>
                    <w:snapToGrid w:val="0"/>
                    <w:jc w:val="center"/>
                    <w:rPr>
                      <w:rFonts w:hint="eastAsia" w:ascii="Times New Roman" w:hAnsi="Times New Roman" w:eastAsia="宋体" w:cs="Times New Roman"/>
                      <w:bCs/>
                      <w:snapToGrid/>
                      <w:color w:val="auto"/>
                      <w:spacing w:val="0"/>
                      <w:kern w:val="0"/>
                      <w:position w:val="0"/>
                      <w:sz w:val="21"/>
                      <w:szCs w:val="21"/>
                      <w:lang w:val="en-US" w:eastAsia="zh-CN"/>
                    </w:rPr>
                  </w:pPr>
                  <w:r>
                    <w:rPr>
                      <w:rFonts w:hint="eastAsia" w:ascii="Times New Roman" w:hAnsi="Times New Roman" w:eastAsia="宋体" w:cs="Times New Roman"/>
                      <w:bCs/>
                      <w:snapToGrid/>
                      <w:color w:val="auto"/>
                      <w:spacing w:val="0"/>
                      <w:kern w:val="0"/>
                      <w:position w:val="0"/>
                      <w:sz w:val="21"/>
                      <w:szCs w:val="21"/>
                      <w:lang w:val="en-US" w:eastAsia="zh-CN"/>
                    </w:rPr>
                    <w:t>润滑油</w:t>
                  </w:r>
                </w:p>
              </w:tc>
              <w:tc>
                <w:tcPr>
                  <w:tcW w:w="396" w:type="pct"/>
                  <w:noWrap w:val="0"/>
                  <w:vAlign w:val="center"/>
                </w:tcPr>
                <w:p w14:paraId="1FBEA3EE">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3年</w:t>
                  </w:r>
                </w:p>
              </w:tc>
              <w:tc>
                <w:tcPr>
                  <w:tcW w:w="426" w:type="pct"/>
                  <w:noWrap w:val="0"/>
                  <w:vAlign w:val="center"/>
                </w:tcPr>
                <w:p w14:paraId="22082132">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color w:val="auto"/>
                      <w:sz w:val="21"/>
                      <w:szCs w:val="21"/>
                      <w:lang w:val="en-US" w:eastAsia="zh-CN"/>
                    </w:rPr>
                    <w:t>T/In</w:t>
                  </w:r>
                </w:p>
              </w:tc>
              <w:tc>
                <w:tcPr>
                  <w:tcW w:w="507" w:type="pct"/>
                  <w:vMerge w:val="continue"/>
                  <w:noWrap w:val="0"/>
                  <w:vAlign w:val="center"/>
                </w:tcPr>
                <w:p w14:paraId="4600A3C3">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r>
            <w:tr w14:paraId="11513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9" w:type="pct"/>
                  <w:noWrap w:val="0"/>
                  <w:vAlign w:val="center"/>
                </w:tcPr>
                <w:p w14:paraId="56D0D4A3">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5</w:t>
                  </w:r>
                </w:p>
              </w:tc>
              <w:tc>
                <w:tcPr>
                  <w:tcW w:w="437" w:type="pct"/>
                  <w:noWrap w:val="0"/>
                  <w:vAlign w:val="center"/>
                </w:tcPr>
                <w:p w14:paraId="7C1D2647">
                  <w:pPr>
                    <w:jc w:val="center"/>
                    <w:rPr>
                      <w:rFonts w:hint="eastAsia" w:ascii="Times New Roman" w:hAnsi="Times New Roman" w:eastAsia="宋体" w:cs="Times New Roman"/>
                      <w:snapToGrid/>
                      <w:color w:val="auto"/>
                      <w:spacing w:val="0"/>
                      <w:kern w:val="0"/>
                      <w:position w:val="0"/>
                      <w:sz w:val="21"/>
                      <w:szCs w:val="21"/>
                      <w:lang w:val="en-US" w:eastAsia="zh-CN"/>
                    </w:rPr>
                  </w:pPr>
                  <w:r>
                    <w:rPr>
                      <w:rFonts w:hint="eastAsia" w:ascii="Times New Roman" w:hAnsi="Times New Roman" w:eastAsia="宋体" w:cs="Times New Roman"/>
                      <w:snapToGrid/>
                      <w:color w:val="auto"/>
                      <w:spacing w:val="0"/>
                      <w:kern w:val="0"/>
                      <w:position w:val="0"/>
                      <w:sz w:val="21"/>
                      <w:szCs w:val="21"/>
                      <w:lang w:val="en-US" w:eastAsia="zh-CN"/>
                    </w:rPr>
                    <w:t>循环水池污泥</w:t>
                  </w:r>
                </w:p>
              </w:tc>
              <w:tc>
                <w:tcPr>
                  <w:tcW w:w="527" w:type="pct"/>
                  <w:noWrap w:val="0"/>
                  <w:vAlign w:val="center"/>
                </w:tcPr>
                <w:p w14:paraId="78C8E165">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HW13有机树脂类废物</w:t>
                  </w:r>
                </w:p>
              </w:tc>
              <w:tc>
                <w:tcPr>
                  <w:tcW w:w="728" w:type="pct"/>
                  <w:noWrap w:val="0"/>
                  <w:vAlign w:val="center"/>
                </w:tcPr>
                <w:p w14:paraId="7B2C752D">
                  <w:pPr>
                    <w:adjustRightInd w:val="0"/>
                    <w:snapToGrid w:val="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265-104-13</w:t>
                  </w:r>
                </w:p>
              </w:tc>
              <w:tc>
                <w:tcPr>
                  <w:tcW w:w="515" w:type="pct"/>
                  <w:noWrap w:val="0"/>
                  <w:vAlign w:val="center"/>
                </w:tcPr>
                <w:p w14:paraId="6CCEDC26">
                  <w:pPr>
                    <w:spacing w:line="240" w:lineRule="exact"/>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2.8</w:t>
                  </w:r>
                </w:p>
              </w:tc>
              <w:tc>
                <w:tcPr>
                  <w:tcW w:w="491" w:type="pct"/>
                  <w:noWrap w:val="0"/>
                  <w:vAlign w:val="center"/>
                </w:tcPr>
                <w:p w14:paraId="5779AD04">
                  <w:pPr>
                    <w:spacing w:line="240" w:lineRule="auto"/>
                    <w:jc w:val="center"/>
                    <w:rPr>
                      <w:rFonts w:hint="eastAsia" w:ascii="Times New Roman" w:hAnsi="Times New Roman" w:eastAsia="宋体" w:cs="Times New Roman"/>
                      <w:bCs/>
                      <w:snapToGrid/>
                      <w:color w:val="auto"/>
                      <w:spacing w:val="0"/>
                      <w:kern w:val="0"/>
                      <w:position w:val="0"/>
                      <w:sz w:val="21"/>
                      <w:szCs w:val="21"/>
                      <w:lang w:val="en-US" w:eastAsia="zh-CN"/>
                    </w:rPr>
                  </w:pPr>
                  <w:r>
                    <w:rPr>
                      <w:rFonts w:hint="eastAsia" w:cs="Times New Roman"/>
                      <w:bCs/>
                      <w:snapToGrid/>
                      <w:color w:val="auto"/>
                      <w:spacing w:val="0"/>
                      <w:kern w:val="0"/>
                      <w:position w:val="0"/>
                      <w:sz w:val="21"/>
                      <w:szCs w:val="21"/>
                      <w:lang w:val="en-US" w:eastAsia="zh-CN"/>
                    </w:rPr>
                    <w:t>冷却定型</w:t>
                  </w:r>
                </w:p>
              </w:tc>
              <w:tc>
                <w:tcPr>
                  <w:tcW w:w="259" w:type="pct"/>
                  <w:noWrap w:val="0"/>
                  <w:vAlign w:val="center"/>
                </w:tcPr>
                <w:p w14:paraId="3C9F02BB">
                  <w:pPr>
                    <w:adjustRightInd w:val="0"/>
                    <w:snapToGrid w:val="0"/>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snapToGrid/>
                      <w:color w:val="auto"/>
                      <w:spacing w:val="0"/>
                      <w:kern w:val="0"/>
                      <w:position w:val="0"/>
                      <w:sz w:val="21"/>
                      <w:szCs w:val="21"/>
                      <w:lang w:val="en-US" w:eastAsia="zh-CN"/>
                    </w:rPr>
                    <w:t>液态</w:t>
                  </w:r>
                </w:p>
              </w:tc>
              <w:tc>
                <w:tcPr>
                  <w:tcW w:w="451" w:type="pct"/>
                  <w:noWrap w:val="0"/>
                  <w:vAlign w:val="center"/>
                </w:tcPr>
                <w:p w14:paraId="614B710C">
                  <w:pPr>
                    <w:adjustRightInd w:val="0"/>
                    <w:snapToGrid w:val="0"/>
                    <w:jc w:val="center"/>
                    <w:rPr>
                      <w:rFonts w:hint="default" w:ascii="Times New Roman" w:hAnsi="Times New Roman" w:eastAsia="宋体" w:cs="Times New Roman"/>
                      <w:bCs/>
                      <w:snapToGrid/>
                      <w:color w:val="auto"/>
                      <w:spacing w:val="0"/>
                      <w:kern w:val="0"/>
                      <w:position w:val="0"/>
                      <w:sz w:val="21"/>
                      <w:szCs w:val="21"/>
                      <w:lang w:val="en-US" w:eastAsia="zh-CN"/>
                    </w:rPr>
                  </w:pPr>
                  <w:r>
                    <w:rPr>
                      <w:rFonts w:hint="eastAsia" w:cs="Times New Roman"/>
                      <w:bCs/>
                      <w:snapToGrid/>
                      <w:color w:val="auto"/>
                      <w:spacing w:val="0"/>
                      <w:kern w:val="0"/>
                      <w:position w:val="0"/>
                      <w:sz w:val="21"/>
                      <w:szCs w:val="21"/>
                      <w:lang w:val="en-US" w:eastAsia="zh-CN"/>
                    </w:rPr>
                    <w:t>/</w:t>
                  </w:r>
                </w:p>
              </w:tc>
              <w:tc>
                <w:tcPr>
                  <w:tcW w:w="396" w:type="pct"/>
                  <w:noWrap w:val="0"/>
                  <w:vAlign w:val="center"/>
                </w:tcPr>
                <w:p w14:paraId="5D72D9AC">
                  <w:pPr>
                    <w:adjustRightInd w:val="0"/>
                    <w:snapToGrid w:val="0"/>
                    <w:jc w:val="center"/>
                    <w:rPr>
                      <w:rFonts w:hint="default" w:ascii="Times New Roman" w:hAnsi="Times New Roman"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w:t>
                  </w:r>
                </w:p>
              </w:tc>
              <w:tc>
                <w:tcPr>
                  <w:tcW w:w="426" w:type="pct"/>
                  <w:noWrap w:val="0"/>
                  <w:vAlign w:val="center"/>
                </w:tcPr>
                <w:p w14:paraId="33F57077">
                  <w:pPr>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snapToGrid/>
                      <w:color w:val="auto"/>
                      <w:spacing w:val="0"/>
                      <w:kern w:val="0"/>
                      <w:position w:val="0"/>
                      <w:sz w:val="21"/>
                      <w:szCs w:val="21"/>
                      <w:lang w:val="en-US" w:eastAsia="zh-CN"/>
                    </w:rPr>
                    <w:t>T</w:t>
                  </w:r>
                </w:p>
              </w:tc>
              <w:tc>
                <w:tcPr>
                  <w:tcW w:w="507" w:type="pct"/>
                  <w:vMerge w:val="continue"/>
                  <w:noWrap w:val="0"/>
                  <w:vAlign w:val="center"/>
                </w:tcPr>
                <w:p w14:paraId="5AF2DA30">
                  <w:pPr>
                    <w:adjustRightInd w:val="0"/>
                    <w:snapToGrid w:val="0"/>
                    <w:jc w:val="center"/>
                    <w:rPr>
                      <w:rFonts w:hint="default" w:ascii="Times New Roman" w:hAnsi="Times New Roman" w:eastAsia="宋体" w:cs="Times New Roman"/>
                      <w:snapToGrid/>
                      <w:color w:val="auto"/>
                      <w:spacing w:val="0"/>
                      <w:kern w:val="0"/>
                      <w:position w:val="0"/>
                      <w:sz w:val="21"/>
                      <w:szCs w:val="21"/>
                      <w:lang w:eastAsia="zh-CN"/>
                    </w:rPr>
                  </w:pPr>
                </w:p>
              </w:tc>
            </w:tr>
          </w:tbl>
          <w:p w14:paraId="234416E9">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2" w:firstLineChars="200"/>
              <w:textAlignment w:val="auto"/>
              <w:rPr>
                <w:rFonts w:hint="eastAsia"/>
                <w:b/>
                <w:bCs/>
                <w:snapToGrid/>
                <w:color w:val="auto"/>
                <w:spacing w:val="0"/>
                <w:kern w:val="0"/>
                <w:position w:val="0"/>
                <w:sz w:val="24"/>
                <w:szCs w:val="24"/>
                <w:lang w:val="en-US" w:eastAsia="zh-CN"/>
              </w:rPr>
            </w:pPr>
            <w:r>
              <w:rPr>
                <w:rFonts w:hint="eastAsia"/>
                <w:b/>
                <w:bCs/>
                <w:snapToGrid/>
                <w:color w:val="auto"/>
                <w:spacing w:val="0"/>
                <w:kern w:val="0"/>
                <w:position w:val="0"/>
                <w:sz w:val="24"/>
                <w:szCs w:val="24"/>
                <w:lang w:val="en-US" w:eastAsia="zh-CN"/>
              </w:rPr>
              <w:t>环境管理要求：</w:t>
            </w:r>
          </w:p>
          <w:p w14:paraId="7CDB13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snapToGrid/>
                <w:color w:val="auto"/>
                <w:spacing w:val="0"/>
                <w:kern w:val="0"/>
                <w:position w:val="0"/>
                <w:sz w:val="24"/>
                <w:szCs w:val="24"/>
              </w:rPr>
            </w:pPr>
            <w:r>
              <w:rPr>
                <w:snapToGrid/>
                <w:color w:val="auto"/>
                <w:spacing w:val="0"/>
                <w:kern w:val="0"/>
                <w:position w:val="0"/>
                <w:sz w:val="24"/>
                <w:szCs w:val="24"/>
              </w:rPr>
              <w:t>本项目产生的</w:t>
            </w:r>
            <w:r>
              <w:rPr>
                <w:rFonts w:hint="eastAsia" w:ascii="Times New Roman" w:hAnsi="Times New Roman" w:eastAsia="宋体" w:cs="Times New Roman"/>
                <w:snapToGrid/>
                <w:color w:val="auto"/>
                <w:spacing w:val="0"/>
                <w:kern w:val="0"/>
                <w:position w:val="0"/>
                <w:sz w:val="24"/>
                <w:szCs w:val="24"/>
                <w:lang w:eastAsia="zh-CN"/>
              </w:rPr>
              <w:t>一般工业固体</w:t>
            </w:r>
            <w:r>
              <w:rPr>
                <w:rFonts w:hint="eastAsia" w:cs="Times New Roman"/>
                <w:snapToGrid/>
                <w:color w:val="auto"/>
                <w:spacing w:val="0"/>
                <w:kern w:val="0"/>
                <w:position w:val="0"/>
                <w:sz w:val="24"/>
                <w:szCs w:val="24"/>
                <w:lang w:eastAsia="zh-CN"/>
              </w:rPr>
              <w:t>废物</w:t>
            </w:r>
            <w:r>
              <w:rPr>
                <w:rFonts w:hint="eastAsia" w:ascii="Times New Roman" w:hAnsi="Times New Roman" w:eastAsia="宋体" w:cs="Times New Roman"/>
                <w:color w:val="auto"/>
                <w:kern w:val="0"/>
                <w:sz w:val="24"/>
                <w:szCs w:val="24"/>
                <w:lang w:eastAsia="zh-CN"/>
              </w:rPr>
              <w:t>废边角料、废包装材料</w:t>
            </w:r>
            <w:r>
              <w:rPr>
                <w:rFonts w:hint="eastAsia" w:eastAsia="宋体" w:cs="Times New Roman"/>
                <w:color w:val="auto"/>
                <w:kern w:val="0"/>
                <w:sz w:val="24"/>
                <w:szCs w:val="24"/>
                <w:lang w:eastAsia="zh-CN"/>
              </w:rPr>
              <w:t>、布袋除尘器收集颗粒物</w:t>
            </w:r>
            <w:r>
              <w:rPr>
                <w:rFonts w:hint="eastAsia"/>
                <w:snapToGrid/>
                <w:color w:val="auto"/>
                <w:spacing w:val="0"/>
                <w:kern w:val="0"/>
                <w:position w:val="0"/>
                <w:sz w:val="24"/>
                <w:szCs w:val="24"/>
              </w:rPr>
              <w:t>经</w:t>
            </w:r>
            <w:r>
              <w:rPr>
                <w:rFonts w:hint="eastAsia" w:ascii="Times New Roman" w:hAnsi="Times New Roman" w:eastAsia="宋体" w:cs="Times New Roman"/>
                <w:snapToGrid/>
                <w:color w:val="auto"/>
                <w:spacing w:val="0"/>
                <w:kern w:val="0"/>
                <w:position w:val="0"/>
                <w:sz w:val="24"/>
                <w:szCs w:val="24"/>
                <w:lang w:val="en-US" w:eastAsia="zh-CN"/>
              </w:rPr>
              <w:t>厂</w:t>
            </w:r>
            <w:r>
              <w:rPr>
                <w:rFonts w:hint="default" w:ascii="Times New Roman" w:hAnsi="Times New Roman" w:eastAsia="宋体" w:cs="Times New Roman"/>
                <w:snapToGrid/>
                <w:color w:val="auto"/>
                <w:spacing w:val="0"/>
                <w:kern w:val="0"/>
                <w:position w:val="0"/>
                <w:sz w:val="24"/>
                <w:szCs w:val="24"/>
                <w:lang w:val="en-US" w:eastAsia="zh-CN"/>
              </w:rPr>
              <w:t>内集中收集后</w:t>
            </w:r>
            <w:r>
              <w:rPr>
                <w:rFonts w:hint="eastAsia"/>
                <w:snapToGrid/>
                <w:color w:val="auto"/>
                <w:spacing w:val="0"/>
                <w:kern w:val="0"/>
                <w:position w:val="0"/>
                <w:sz w:val="24"/>
                <w:lang w:val="en-US" w:eastAsia="zh-CN"/>
              </w:rPr>
              <w:t>交由物资回收部门回收利用；</w:t>
            </w:r>
            <w:r>
              <w:rPr>
                <w:rFonts w:hint="eastAsia" w:ascii="Times New Roman" w:hAnsi="Times New Roman" w:eastAsia="宋体" w:cs="Times New Roman"/>
                <w:color w:val="auto"/>
                <w:kern w:val="0"/>
                <w:sz w:val="24"/>
                <w:szCs w:val="24"/>
                <w:lang w:val="en-US" w:eastAsia="zh-CN"/>
              </w:rPr>
              <w:t>废活性炭、</w:t>
            </w:r>
            <w:r>
              <w:rPr>
                <w:rFonts w:hint="eastAsia" w:eastAsia="宋体" w:cs="Times New Roman"/>
                <w:color w:val="auto"/>
                <w:kern w:val="0"/>
                <w:sz w:val="24"/>
                <w:szCs w:val="24"/>
                <w:lang w:val="en-US" w:eastAsia="zh-CN"/>
              </w:rPr>
              <w:t>废催化剂、废润滑油、废润滑油桶、</w:t>
            </w:r>
            <w:r>
              <w:rPr>
                <w:rFonts w:hint="eastAsia" w:cs="Times New Roman"/>
                <w:color w:val="auto"/>
                <w:kern w:val="0"/>
                <w:sz w:val="24"/>
                <w:szCs w:val="24"/>
                <w:lang w:val="en-US" w:eastAsia="zh-CN"/>
              </w:rPr>
              <w:t>废喷淋水</w:t>
            </w:r>
            <w:r>
              <w:rPr>
                <w:rFonts w:hint="default" w:ascii="Times New Roman" w:hAnsi="Times New Roman" w:cs="Times New Roman"/>
                <w:b w:val="0"/>
                <w:bCs w:val="0"/>
                <w:snapToGrid/>
                <w:color w:val="auto"/>
                <w:spacing w:val="0"/>
                <w:kern w:val="0"/>
                <w:position w:val="0"/>
                <w:sz w:val="24"/>
                <w:lang w:val="en-US" w:eastAsia="zh-CN"/>
              </w:rPr>
              <w:t>于厂内危废暂存间暂存后委托有资质单位妥善处置</w:t>
            </w:r>
            <w:r>
              <w:rPr>
                <w:rFonts w:hint="eastAsia" w:cs="Times New Roman"/>
                <w:b w:val="0"/>
                <w:bCs w:val="0"/>
                <w:snapToGrid/>
                <w:color w:val="auto"/>
                <w:spacing w:val="0"/>
                <w:kern w:val="0"/>
                <w:position w:val="0"/>
                <w:sz w:val="24"/>
                <w:lang w:val="en-US" w:eastAsia="zh-CN"/>
              </w:rPr>
              <w:t>；</w:t>
            </w:r>
            <w:r>
              <w:rPr>
                <w:rFonts w:hint="eastAsia"/>
                <w:snapToGrid/>
                <w:color w:val="auto"/>
                <w:spacing w:val="0"/>
                <w:kern w:val="0"/>
                <w:position w:val="0"/>
                <w:sz w:val="24"/>
                <w:szCs w:val="24"/>
              </w:rPr>
              <w:t>生活垃圾委托环卫部门统一处理</w:t>
            </w:r>
            <w:r>
              <w:rPr>
                <w:snapToGrid/>
                <w:color w:val="auto"/>
                <w:spacing w:val="0"/>
                <w:kern w:val="0"/>
                <w:position w:val="0"/>
                <w:sz w:val="24"/>
                <w:szCs w:val="24"/>
              </w:rPr>
              <w:t>。</w:t>
            </w:r>
          </w:p>
          <w:p w14:paraId="09E18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snapToGrid/>
                <w:color w:val="auto"/>
                <w:spacing w:val="0"/>
                <w:kern w:val="0"/>
                <w:position w:val="0"/>
                <w:sz w:val="24"/>
                <w:szCs w:val="24"/>
              </w:rPr>
            </w:pPr>
            <w:r>
              <w:rPr>
                <w:color w:val="auto"/>
                <w:sz w:val="24"/>
                <w:szCs w:val="24"/>
              </w:rPr>
              <w:t>本次环评要求建设单位在厂区内设置</w:t>
            </w:r>
            <w:r>
              <w:rPr>
                <w:rFonts w:hint="default"/>
                <w:color w:val="auto"/>
                <w:sz w:val="24"/>
                <w:szCs w:val="24"/>
                <w:lang w:eastAsia="zh-CN"/>
              </w:rPr>
              <w:t>一般工业固体废物暂存间</w:t>
            </w:r>
            <w:r>
              <w:rPr>
                <w:rFonts w:hint="eastAsia"/>
                <w:color w:val="auto"/>
                <w:sz w:val="24"/>
                <w:szCs w:val="24"/>
                <w:lang w:eastAsia="zh-CN"/>
              </w:rPr>
              <w:t>，</w:t>
            </w:r>
            <w:r>
              <w:rPr>
                <w:rFonts w:hint="default"/>
                <w:color w:val="auto"/>
                <w:sz w:val="24"/>
                <w:szCs w:val="24"/>
                <w:lang w:eastAsia="zh-CN"/>
              </w:rPr>
              <w:t>位于</w:t>
            </w:r>
            <w:r>
              <w:rPr>
                <w:rFonts w:hint="eastAsia"/>
                <w:color w:val="auto"/>
                <w:sz w:val="24"/>
                <w:szCs w:val="24"/>
                <w:lang w:eastAsia="zh-CN"/>
              </w:rPr>
              <w:t>生产车间内东南角</w:t>
            </w:r>
            <w:r>
              <w:rPr>
                <w:rFonts w:hint="default"/>
                <w:color w:val="auto"/>
                <w:sz w:val="24"/>
                <w:szCs w:val="24"/>
                <w:lang w:eastAsia="zh-CN"/>
              </w:rPr>
              <w:t>，</w:t>
            </w:r>
            <w:r>
              <w:rPr>
                <w:color w:val="auto"/>
                <w:sz w:val="24"/>
                <w:szCs w:val="24"/>
              </w:rPr>
              <w:t>占地</w:t>
            </w:r>
            <w:r>
              <w:rPr>
                <w:rFonts w:hint="eastAsia"/>
                <w:color w:val="auto"/>
                <w:sz w:val="24"/>
                <w:szCs w:val="24"/>
              </w:rPr>
              <w:t>面积</w:t>
            </w:r>
            <w:r>
              <w:rPr>
                <w:rFonts w:hint="eastAsia"/>
                <w:color w:val="auto"/>
                <w:sz w:val="24"/>
                <w:szCs w:val="24"/>
                <w:lang w:val="en-US" w:eastAsia="zh-CN"/>
              </w:rPr>
              <w:t>60</w:t>
            </w:r>
            <w:r>
              <w:rPr>
                <w:color w:val="auto"/>
                <w:sz w:val="24"/>
                <w:szCs w:val="24"/>
              </w:rPr>
              <w:t>m</w:t>
            </w:r>
            <w:r>
              <w:rPr>
                <w:color w:val="auto"/>
                <w:sz w:val="24"/>
                <w:szCs w:val="24"/>
                <w:vertAlign w:val="superscript"/>
              </w:rPr>
              <w:t>2</w:t>
            </w:r>
            <w:r>
              <w:rPr>
                <w:rFonts w:hint="eastAsia"/>
                <w:color w:val="auto"/>
                <w:sz w:val="24"/>
                <w:szCs w:val="24"/>
                <w:lang w:eastAsia="zh-CN"/>
              </w:rPr>
              <w:t>，</w:t>
            </w:r>
            <w:r>
              <w:rPr>
                <w:color w:val="auto"/>
                <w:sz w:val="24"/>
                <w:szCs w:val="24"/>
              </w:rPr>
              <w:t>应按照</w:t>
            </w:r>
            <w:r>
              <w:rPr>
                <w:rFonts w:hint="default" w:ascii="Times New Roman" w:hAnsi="Times New Roman" w:eastAsia="宋体" w:cs="Times New Roman"/>
                <w:color w:val="auto"/>
                <w:sz w:val="24"/>
                <w:szCs w:val="24"/>
              </w:rPr>
              <w:t>《一般工业固体废物贮存</w:t>
            </w:r>
            <w:r>
              <w:rPr>
                <w:rFonts w:hint="eastAsia" w:ascii="Times New Roman" w:hAnsi="Times New Roman" w:eastAsia="宋体" w:cs="Times New Roman"/>
                <w:color w:val="auto"/>
                <w:sz w:val="24"/>
                <w:szCs w:val="24"/>
                <w:lang w:eastAsia="zh-CN"/>
              </w:rPr>
              <w:t>和填埋污染控制标准</w:t>
            </w:r>
            <w:r>
              <w:rPr>
                <w:rFonts w:hint="default" w:ascii="Times New Roman" w:hAnsi="Times New Roman" w:eastAsia="宋体" w:cs="Times New Roman"/>
                <w:color w:val="auto"/>
                <w:sz w:val="24"/>
                <w:szCs w:val="24"/>
              </w:rPr>
              <w:t>》（GB18599-20</w:t>
            </w:r>
            <w:r>
              <w:rPr>
                <w:rFonts w:hint="eastAsia" w:ascii="Times New Roman" w:hAnsi="Times New Roman" w:eastAsia="宋体" w:cs="Times New Roman"/>
                <w:color w:val="auto"/>
                <w:sz w:val="24"/>
                <w:szCs w:val="24"/>
                <w:lang w:val="en-US" w:eastAsia="zh-CN"/>
              </w:rPr>
              <w:t>20</w:t>
            </w:r>
            <w:r>
              <w:rPr>
                <w:rFonts w:hint="default" w:ascii="Times New Roman" w:hAnsi="Times New Roman" w:eastAsia="宋体" w:cs="Times New Roman"/>
                <w:color w:val="auto"/>
                <w:sz w:val="24"/>
                <w:szCs w:val="24"/>
              </w:rPr>
              <w:t>）</w:t>
            </w:r>
            <w:r>
              <w:rPr>
                <w:color w:val="auto"/>
                <w:sz w:val="24"/>
                <w:szCs w:val="24"/>
              </w:rPr>
              <w:t>进行管理。</w:t>
            </w:r>
          </w:p>
          <w:p w14:paraId="688E10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snapToGrid/>
                <w:color w:val="auto"/>
                <w:spacing w:val="0"/>
                <w:kern w:val="0"/>
                <w:position w:val="0"/>
                <w:sz w:val="24"/>
                <w:szCs w:val="24"/>
              </w:rPr>
            </w:pPr>
            <w:r>
              <w:rPr>
                <w:snapToGrid/>
                <w:color w:val="auto"/>
                <w:spacing w:val="0"/>
                <w:kern w:val="0"/>
                <w:position w:val="0"/>
                <w:sz w:val="24"/>
                <w:szCs w:val="24"/>
              </w:rPr>
              <w:t>本项目危险废物暂存于项目区内危废暂存</w:t>
            </w:r>
            <w:r>
              <w:rPr>
                <w:rFonts w:hint="eastAsia"/>
                <w:snapToGrid/>
                <w:color w:val="auto"/>
                <w:spacing w:val="0"/>
                <w:kern w:val="0"/>
                <w:position w:val="0"/>
                <w:sz w:val="24"/>
                <w:szCs w:val="24"/>
                <w:lang w:eastAsia="zh-CN"/>
              </w:rPr>
              <w:t>间</w:t>
            </w:r>
            <w:r>
              <w:rPr>
                <w:snapToGrid/>
                <w:color w:val="auto"/>
                <w:spacing w:val="0"/>
                <w:kern w:val="0"/>
                <w:position w:val="0"/>
                <w:sz w:val="24"/>
                <w:szCs w:val="24"/>
              </w:rPr>
              <w:t>中，占地</w:t>
            </w:r>
            <w:r>
              <w:rPr>
                <w:rFonts w:hint="eastAsia"/>
                <w:snapToGrid/>
                <w:color w:val="auto"/>
                <w:spacing w:val="0"/>
                <w:kern w:val="0"/>
                <w:position w:val="0"/>
                <w:sz w:val="24"/>
                <w:szCs w:val="24"/>
              </w:rPr>
              <w:t>面积</w:t>
            </w:r>
            <w:r>
              <w:rPr>
                <w:rFonts w:hint="eastAsia"/>
                <w:snapToGrid/>
                <w:color w:val="auto"/>
                <w:spacing w:val="0"/>
                <w:kern w:val="0"/>
                <w:position w:val="0"/>
                <w:sz w:val="24"/>
                <w:szCs w:val="24"/>
                <w:lang w:val="en-US" w:eastAsia="zh-CN"/>
              </w:rPr>
              <w:t>50</w:t>
            </w:r>
            <w:r>
              <w:rPr>
                <w:snapToGrid/>
                <w:color w:val="auto"/>
                <w:spacing w:val="0"/>
                <w:kern w:val="0"/>
                <w:position w:val="0"/>
                <w:sz w:val="24"/>
                <w:szCs w:val="24"/>
              </w:rPr>
              <w:t>m</w:t>
            </w:r>
            <w:r>
              <w:rPr>
                <w:snapToGrid/>
                <w:color w:val="auto"/>
                <w:spacing w:val="0"/>
                <w:kern w:val="0"/>
                <w:position w:val="0"/>
                <w:sz w:val="24"/>
                <w:szCs w:val="24"/>
                <w:vertAlign w:val="superscript"/>
              </w:rPr>
              <w:t>2</w:t>
            </w:r>
            <w:r>
              <w:rPr>
                <w:rFonts w:hint="eastAsia"/>
                <w:snapToGrid/>
                <w:color w:val="auto"/>
                <w:spacing w:val="0"/>
                <w:kern w:val="0"/>
                <w:position w:val="0"/>
                <w:sz w:val="24"/>
                <w:szCs w:val="24"/>
                <w:lang w:eastAsia="zh-CN"/>
              </w:rPr>
              <w:t>，</w:t>
            </w:r>
            <w:r>
              <w:rPr>
                <w:snapToGrid/>
                <w:color w:val="auto"/>
                <w:spacing w:val="0"/>
                <w:kern w:val="0"/>
                <w:position w:val="0"/>
                <w:sz w:val="24"/>
                <w:szCs w:val="24"/>
              </w:rPr>
              <w:t>一般固废不得与危险废物混合，需分开存放并及时处置，危险固废定期委托有资质单位处置。</w:t>
            </w:r>
            <w:r>
              <w:rPr>
                <w:rFonts w:hint="default" w:ascii="Times New Roman" w:hAnsi="Times New Roman" w:eastAsia="宋体" w:cs="Times New Roman"/>
                <w:snapToGrid/>
                <w:color w:val="auto"/>
                <w:spacing w:val="0"/>
                <w:kern w:val="0"/>
                <w:position w:val="0"/>
                <w:sz w:val="24"/>
                <w:szCs w:val="24"/>
              </w:rPr>
              <w:t>根据《危险废物贮存污染控制标准》（GB18597-20</w:t>
            </w:r>
            <w:r>
              <w:rPr>
                <w:rFonts w:hint="eastAsia" w:cs="Times New Roman"/>
                <w:snapToGrid/>
                <w:color w:val="auto"/>
                <w:spacing w:val="0"/>
                <w:kern w:val="0"/>
                <w:position w:val="0"/>
                <w:sz w:val="24"/>
                <w:szCs w:val="24"/>
                <w:lang w:val="en-US" w:eastAsia="zh-CN"/>
              </w:rPr>
              <w:t>23</w:t>
            </w:r>
            <w:r>
              <w:rPr>
                <w:rFonts w:hint="default" w:ascii="Times New Roman" w:hAnsi="Times New Roman" w:eastAsia="宋体" w:cs="Times New Roman"/>
                <w:snapToGrid/>
                <w:color w:val="auto"/>
                <w:spacing w:val="0"/>
                <w:kern w:val="0"/>
                <w:position w:val="0"/>
                <w:sz w:val="24"/>
                <w:szCs w:val="24"/>
              </w:rPr>
              <w:t>）有关规定，危险废物临时贮存的一般要求、危险废物临时贮存容器的选取、危废临时贮存设施的选址与设计原则、危废临时贮存设施的运行与管理、危废临时贮存设施的安全防护与监测、危废临时贮存设施的关闭等均需严格按照规定执行。一般固废不得与危险废物混</w:t>
            </w:r>
            <w:r>
              <w:rPr>
                <w:rFonts w:hint="default" w:ascii="Times New Roman" w:hAnsi="Times New Roman" w:eastAsia="宋体" w:cs="Times New Roman"/>
                <w:snapToGrid/>
                <w:color w:val="auto"/>
                <w:spacing w:val="0"/>
                <w:kern w:val="0"/>
                <w:position w:val="0"/>
                <w:sz w:val="24"/>
                <w:szCs w:val="24"/>
                <w:shd w:val="clear" w:color="auto" w:fill="auto"/>
              </w:rPr>
              <w:t>合，需分开存放并及时处置，危险固废定期委托有资质单位处置。</w:t>
            </w:r>
          </w:p>
          <w:p w14:paraId="25850992">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b/>
                <w:bCs/>
                <w:snapToGrid/>
                <w:color w:val="auto"/>
                <w:spacing w:val="0"/>
                <w:kern w:val="0"/>
                <w:position w:val="0"/>
                <w:sz w:val="24"/>
                <w:szCs w:val="24"/>
                <w:lang w:val="en-US" w:eastAsia="zh-CN"/>
              </w:rPr>
            </w:pPr>
            <w:r>
              <w:rPr>
                <w:rFonts w:hint="eastAsia"/>
                <w:b/>
                <w:bCs/>
                <w:snapToGrid/>
                <w:color w:val="auto"/>
                <w:spacing w:val="0"/>
                <w:kern w:val="0"/>
                <w:position w:val="0"/>
                <w:sz w:val="24"/>
                <w:szCs w:val="24"/>
                <w:lang w:val="en-US" w:eastAsia="zh-CN"/>
              </w:rPr>
              <w:t>5.地下水、土壤环境</w:t>
            </w:r>
          </w:p>
          <w:p w14:paraId="6AE7BD8F">
            <w:pPr>
              <w:pStyle w:val="14"/>
              <w:ind w:left="0" w:leftChars="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highlight w:val="none"/>
                <w:shd w:val="clear" w:color="auto" w:fill="auto"/>
                <w:lang w:val="en-US" w:eastAsia="zh-CN"/>
              </w:rPr>
              <w:t>（1）地下水环境</w:t>
            </w:r>
          </w:p>
          <w:p w14:paraId="16643A6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eastAsia="宋体" w:cs="Times New Roman"/>
                <w:b/>
                <w:bCs/>
                <w:snapToGrid/>
                <w:color w:val="auto"/>
                <w:spacing w:val="0"/>
                <w:kern w:val="0"/>
                <w:position w:val="0"/>
                <w:sz w:val="24"/>
                <w:szCs w:val="24"/>
                <w:lang w:val="en-US" w:eastAsia="zh-CN"/>
              </w:rPr>
            </w:pPr>
            <w:r>
              <w:rPr>
                <w:rFonts w:hint="default" w:ascii="Times New Roman" w:hAnsi="Times New Roman" w:eastAsia="宋体" w:cs="Times New Roman"/>
                <w:b/>
                <w:bCs/>
                <w:snapToGrid/>
                <w:color w:val="auto"/>
                <w:spacing w:val="0"/>
                <w:kern w:val="0"/>
                <w:position w:val="0"/>
                <w:sz w:val="24"/>
                <w:szCs w:val="24"/>
                <w:lang w:val="en-US" w:eastAsia="zh-CN"/>
              </w:rPr>
              <w:t>地下水污染途径</w:t>
            </w:r>
            <w:r>
              <w:rPr>
                <w:rFonts w:hint="eastAsia" w:ascii="Times New Roman" w:hAnsi="Times New Roman" w:eastAsia="宋体" w:cs="Times New Roman"/>
                <w:b/>
                <w:bCs/>
                <w:snapToGrid/>
                <w:color w:val="auto"/>
                <w:spacing w:val="0"/>
                <w:kern w:val="0"/>
                <w:position w:val="0"/>
                <w:sz w:val="24"/>
                <w:szCs w:val="24"/>
                <w:lang w:val="en-US" w:eastAsia="zh-CN"/>
              </w:rPr>
              <w:t>：</w:t>
            </w:r>
          </w:p>
          <w:p w14:paraId="1A747F5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bCs w:val="0"/>
                <w:snapToGrid/>
                <w:color w:val="auto"/>
                <w:spacing w:val="0"/>
                <w:kern w:val="0"/>
                <w:position w:val="0"/>
                <w:sz w:val="24"/>
                <w:szCs w:val="24"/>
                <w:lang w:val="en-US" w:eastAsia="zh-CN"/>
              </w:rPr>
            </w:pPr>
            <w:r>
              <w:rPr>
                <w:rFonts w:hint="default" w:ascii="Times New Roman" w:hAnsi="Times New Roman" w:eastAsia="宋体" w:cs="Times New Roman"/>
                <w:b w:val="0"/>
                <w:bCs w:val="0"/>
                <w:snapToGrid/>
                <w:color w:val="auto"/>
                <w:spacing w:val="0"/>
                <w:kern w:val="0"/>
                <w:position w:val="0"/>
                <w:sz w:val="24"/>
                <w:szCs w:val="24"/>
                <w:lang w:val="en-US" w:eastAsia="zh-CN"/>
              </w:rPr>
              <w:t>①</w:t>
            </w:r>
            <w:r>
              <w:rPr>
                <w:rFonts w:hint="eastAsia" w:ascii="Times New Roman" w:hAnsi="Times New Roman" w:eastAsia="宋体" w:cs="Times New Roman"/>
                <w:b w:val="0"/>
                <w:bCs w:val="0"/>
                <w:snapToGrid/>
                <w:color w:val="auto"/>
                <w:spacing w:val="0"/>
                <w:kern w:val="0"/>
                <w:position w:val="0"/>
                <w:sz w:val="24"/>
                <w:szCs w:val="24"/>
                <w:lang w:val="en-US" w:eastAsia="zh-CN"/>
              </w:rPr>
              <w:t xml:space="preserve"> </w:t>
            </w:r>
            <w:r>
              <w:rPr>
                <w:rFonts w:hint="eastAsia" w:cs="Times New Roman"/>
                <w:b w:val="0"/>
                <w:bCs w:val="0"/>
                <w:snapToGrid/>
                <w:color w:val="auto"/>
                <w:spacing w:val="0"/>
                <w:kern w:val="0"/>
                <w:position w:val="0"/>
                <w:sz w:val="24"/>
                <w:szCs w:val="24"/>
                <w:lang w:val="en-US" w:eastAsia="zh-CN"/>
              </w:rPr>
              <w:t>危废暂存间、循环水池</w:t>
            </w:r>
            <w:r>
              <w:rPr>
                <w:rFonts w:hint="eastAsia" w:ascii="Times New Roman" w:hAnsi="Times New Roman" w:eastAsia="宋体" w:cs="Times New Roman"/>
                <w:b w:val="0"/>
                <w:bCs w:val="0"/>
                <w:snapToGrid/>
                <w:color w:val="auto"/>
                <w:spacing w:val="0"/>
                <w:kern w:val="0"/>
                <w:position w:val="0"/>
                <w:sz w:val="24"/>
                <w:szCs w:val="24"/>
                <w:lang w:val="en-US" w:eastAsia="zh-CN"/>
              </w:rPr>
              <w:t>未进行防腐、防渗处理，以跑、冒、滴、漏方式渗入地下水中。</w:t>
            </w:r>
          </w:p>
          <w:p w14:paraId="7F842A09">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bCs/>
                <w:snapToGrid/>
                <w:color w:val="auto"/>
                <w:spacing w:val="0"/>
                <w:kern w:val="0"/>
                <w:position w:val="0"/>
                <w:sz w:val="24"/>
                <w:szCs w:val="24"/>
                <w:lang w:val="en-US" w:eastAsia="zh-CN"/>
              </w:rPr>
            </w:pPr>
            <w:r>
              <w:rPr>
                <w:rFonts w:hint="default" w:ascii="Times New Roman" w:hAnsi="Times New Roman" w:eastAsia="宋体" w:cs="Times New Roman"/>
                <w:b w:val="0"/>
                <w:bCs w:val="0"/>
                <w:snapToGrid/>
                <w:color w:val="auto"/>
                <w:spacing w:val="0"/>
                <w:kern w:val="0"/>
                <w:position w:val="0"/>
                <w:sz w:val="24"/>
                <w:szCs w:val="24"/>
                <w:lang w:val="en-US" w:eastAsia="zh-CN"/>
              </w:rPr>
              <w:t>②</w:t>
            </w:r>
            <w:r>
              <w:rPr>
                <w:rFonts w:hint="eastAsia" w:ascii="Times New Roman" w:hAnsi="Times New Roman" w:eastAsia="宋体" w:cs="Times New Roman"/>
                <w:b w:val="0"/>
                <w:bCs w:val="0"/>
                <w:snapToGrid/>
                <w:color w:val="auto"/>
                <w:spacing w:val="0"/>
                <w:kern w:val="0"/>
                <w:position w:val="0"/>
                <w:sz w:val="24"/>
                <w:szCs w:val="24"/>
                <w:lang w:val="en-US" w:eastAsia="zh-CN"/>
              </w:rPr>
              <w:t xml:space="preserve"> </w:t>
            </w:r>
            <w:r>
              <w:rPr>
                <w:rFonts w:hint="eastAsia" w:cs="Times New Roman"/>
                <w:b w:val="0"/>
                <w:bCs w:val="0"/>
                <w:snapToGrid/>
                <w:color w:val="auto"/>
                <w:spacing w:val="0"/>
                <w:kern w:val="0"/>
                <w:position w:val="0"/>
                <w:sz w:val="24"/>
                <w:szCs w:val="24"/>
                <w:lang w:val="en-US" w:eastAsia="zh-CN"/>
              </w:rPr>
              <w:t>危废暂存间、循环水池</w:t>
            </w:r>
            <w:r>
              <w:rPr>
                <w:rFonts w:hint="eastAsia" w:ascii="Times New Roman" w:hAnsi="Times New Roman" w:eastAsia="宋体" w:cs="Times New Roman"/>
                <w:b w:val="0"/>
                <w:bCs w:val="0"/>
                <w:snapToGrid/>
                <w:color w:val="auto"/>
                <w:spacing w:val="0"/>
                <w:kern w:val="0"/>
                <w:position w:val="0"/>
                <w:sz w:val="24"/>
                <w:szCs w:val="24"/>
                <w:lang w:val="en-US" w:eastAsia="zh-CN"/>
              </w:rPr>
              <w:t>长期使用或工程质量不符合要求出现破损、断裂情况，造成废水下渗。</w:t>
            </w:r>
          </w:p>
          <w:p w14:paraId="3729CB4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2" w:firstLineChars="200"/>
              <w:jc w:val="left"/>
              <w:textAlignment w:val="auto"/>
              <w:rPr>
                <w:rFonts w:hint="eastAsia"/>
                <w:b/>
                <w:bCs/>
                <w:snapToGrid/>
                <w:color w:val="auto"/>
                <w:spacing w:val="0"/>
                <w:kern w:val="0"/>
                <w:position w:val="0"/>
                <w:sz w:val="24"/>
                <w:szCs w:val="24"/>
                <w:lang w:val="en-US" w:eastAsia="zh-CN"/>
              </w:rPr>
            </w:pPr>
            <w:r>
              <w:rPr>
                <w:rFonts w:hint="eastAsia"/>
                <w:b/>
                <w:bCs/>
                <w:snapToGrid/>
                <w:color w:val="auto"/>
                <w:spacing w:val="0"/>
                <w:kern w:val="0"/>
                <w:position w:val="0"/>
                <w:sz w:val="24"/>
                <w:szCs w:val="24"/>
                <w:lang w:val="en-US" w:eastAsia="zh-CN"/>
              </w:rPr>
              <w:t>地下水污染防治措施：</w:t>
            </w:r>
          </w:p>
          <w:p w14:paraId="128365C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b w:val="0"/>
                <w:bCs w:val="0"/>
                <w:snapToGrid/>
                <w:color w:val="auto"/>
                <w:spacing w:val="0"/>
                <w:kern w:val="0"/>
                <w:position w:val="0"/>
                <w:sz w:val="24"/>
                <w:szCs w:val="24"/>
                <w:lang w:val="en-US" w:eastAsia="zh-CN"/>
              </w:rPr>
            </w:pPr>
            <w:r>
              <w:rPr>
                <w:rFonts w:hint="eastAsia"/>
                <w:b w:val="0"/>
                <w:bCs w:val="0"/>
                <w:snapToGrid/>
                <w:color w:val="auto"/>
                <w:spacing w:val="0"/>
                <w:kern w:val="0"/>
                <w:position w:val="0"/>
                <w:sz w:val="24"/>
                <w:szCs w:val="24"/>
                <w:lang w:val="en-US" w:eastAsia="zh-CN"/>
              </w:rPr>
              <w:t>根据厂区各生产功能单元是否可能对地下水造成污染及其风险程度，将厂区划分为重点防渗区、一般防渗区和简单防渗区。重点防渗区是可能会对地下水造成污染，风险程度较高，需要重点防治的区域，主要为</w:t>
            </w:r>
            <w:r>
              <w:rPr>
                <w:snapToGrid/>
                <w:color w:val="auto"/>
                <w:spacing w:val="0"/>
                <w:kern w:val="0"/>
                <w:position w:val="0"/>
                <w:sz w:val="24"/>
                <w:szCs w:val="24"/>
              </w:rPr>
              <w:t>危险废物暂存</w:t>
            </w:r>
            <w:r>
              <w:rPr>
                <w:rFonts w:hint="eastAsia"/>
                <w:snapToGrid/>
                <w:color w:val="auto"/>
                <w:spacing w:val="0"/>
                <w:kern w:val="0"/>
                <w:position w:val="0"/>
                <w:sz w:val="24"/>
                <w:szCs w:val="24"/>
                <w:lang w:eastAsia="zh-CN"/>
              </w:rPr>
              <w:t>间</w:t>
            </w:r>
            <w:r>
              <w:rPr>
                <w:rFonts w:hint="eastAsia" w:ascii="Times New Roman" w:hAnsi="Times New Roman" w:eastAsia="宋体" w:cs="Times New Roman"/>
                <w:b w:val="0"/>
                <w:bCs w:val="0"/>
                <w:snapToGrid/>
                <w:color w:val="auto"/>
                <w:spacing w:val="0"/>
                <w:kern w:val="0"/>
                <w:position w:val="0"/>
                <w:sz w:val="24"/>
                <w:szCs w:val="24"/>
                <w:lang w:val="en-US" w:eastAsia="zh-CN"/>
              </w:rPr>
              <w:t>区域。一般防渗区是可能会对地下水造成污染，但危害性或风险程度相对较低的区域，包括具有可能污染地下水污染源的生产车间区域，主要包括生产车间、原料</w:t>
            </w:r>
            <w:r>
              <w:rPr>
                <w:rFonts w:hint="eastAsia" w:cs="Times New Roman"/>
                <w:b w:val="0"/>
                <w:bCs w:val="0"/>
                <w:snapToGrid/>
                <w:color w:val="auto"/>
                <w:spacing w:val="0"/>
                <w:kern w:val="0"/>
                <w:position w:val="0"/>
                <w:sz w:val="24"/>
                <w:szCs w:val="24"/>
                <w:lang w:val="en-US" w:eastAsia="zh-CN"/>
              </w:rPr>
              <w:t>区</w:t>
            </w:r>
            <w:r>
              <w:rPr>
                <w:rFonts w:hint="eastAsia" w:ascii="Times New Roman" w:hAnsi="Times New Roman" w:eastAsia="宋体" w:cs="Times New Roman"/>
                <w:b w:val="0"/>
                <w:bCs w:val="0"/>
                <w:snapToGrid/>
                <w:color w:val="auto"/>
                <w:spacing w:val="0"/>
                <w:kern w:val="0"/>
                <w:position w:val="0"/>
                <w:sz w:val="24"/>
                <w:szCs w:val="24"/>
                <w:lang w:val="en-US" w:eastAsia="zh-CN"/>
              </w:rPr>
              <w:t>、成品区等区域。简单防渗区为不会对地下水造成污染的区域，主要包括厂区道路等区域。</w:t>
            </w:r>
          </w:p>
          <w:p w14:paraId="795F8F09">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b w:val="0"/>
                <w:bCs w:val="0"/>
                <w:snapToGrid/>
                <w:color w:val="auto"/>
                <w:spacing w:val="0"/>
                <w:kern w:val="0"/>
                <w:position w:val="0"/>
                <w:sz w:val="24"/>
                <w:szCs w:val="24"/>
                <w:lang w:val="en-US" w:eastAsia="zh-CN"/>
              </w:rPr>
            </w:pPr>
            <w:r>
              <w:rPr>
                <w:rFonts w:hint="eastAsia" w:ascii="Times New Roman" w:hAnsi="Times New Roman" w:eastAsia="宋体" w:cs="Times New Roman"/>
                <w:b w:val="0"/>
                <w:bCs w:val="0"/>
                <w:snapToGrid/>
                <w:color w:val="auto"/>
                <w:spacing w:val="0"/>
                <w:kern w:val="0"/>
                <w:position w:val="0"/>
                <w:sz w:val="24"/>
                <w:szCs w:val="24"/>
                <w:lang w:val="en-US" w:eastAsia="zh-CN"/>
              </w:rPr>
              <w:t>针对本项目，为避免废水的非正常排放对地下水造成影响，应采取以下防渗措施：</w:t>
            </w:r>
          </w:p>
          <w:p w14:paraId="39EE88B1">
            <w:pPr>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b/>
                <w:bCs/>
                <w:snapToGrid/>
                <w:color w:val="auto"/>
                <w:spacing w:val="0"/>
                <w:kern w:val="0"/>
                <w:position w:val="0"/>
                <w:sz w:val="24"/>
                <w:szCs w:val="24"/>
                <w:lang w:val="en-US" w:eastAsia="zh-CN"/>
              </w:rPr>
            </w:pPr>
            <w:r>
              <w:rPr>
                <w:rFonts w:hint="eastAsia" w:cs="Times New Roman"/>
                <w:b/>
                <w:bCs/>
                <w:snapToGrid/>
                <w:color w:val="auto"/>
                <w:spacing w:val="0"/>
                <w:kern w:val="0"/>
                <w:position w:val="0"/>
                <w:sz w:val="24"/>
                <w:szCs w:val="24"/>
                <w:lang w:val="en-US" w:eastAsia="zh-CN"/>
              </w:rPr>
              <w:t>表4.16  项目地下水污染防治措施一览表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515"/>
              <w:gridCol w:w="3180"/>
              <w:gridCol w:w="2881"/>
            </w:tblGrid>
            <w:tr w14:paraId="772EA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dxa"/>
                  <w:noWrap w:val="0"/>
                  <w:vAlign w:val="center"/>
                </w:tcPr>
                <w:p w14:paraId="3476936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snapToGrid/>
                      <w:color w:val="auto"/>
                      <w:spacing w:val="0"/>
                      <w:kern w:val="0"/>
                      <w:position w:val="0"/>
                      <w:sz w:val="21"/>
                      <w:szCs w:val="21"/>
                      <w:vertAlign w:val="baseline"/>
                      <w:lang w:val="en-US" w:eastAsia="zh-CN"/>
                    </w:rPr>
                    <w:t>序号</w:t>
                  </w:r>
                </w:p>
              </w:tc>
              <w:tc>
                <w:tcPr>
                  <w:tcW w:w="4695" w:type="dxa"/>
                  <w:gridSpan w:val="2"/>
                  <w:noWrap w:val="0"/>
                  <w:vAlign w:val="center"/>
                </w:tcPr>
                <w:p w14:paraId="3F564C5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snapToGrid/>
                      <w:color w:val="auto"/>
                      <w:spacing w:val="0"/>
                      <w:kern w:val="0"/>
                      <w:position w:val="0"/>
                      <w:sz w:val="21"/>
                      <w:szCs w:val="21"/>
                      <w:vertAlign w:val="baseline"/>
                      <w:lang w:val="en-US" w:eastAsia="zh-CN"/>
                    </w:rPr>
                    <w:t>区域</w:t>
                  </w:r>
                </w:p>
              </w:tc>
              <w:tc>
                <w:tcPr>
                  <w:tcW w:w="2881" w:type="dxa"/>
                  <w:noWrap w:val="0"/>
                  <w:vAlign w:val="center"/>
                </w:tcPr>
                <w:p w14:paraId="44C3D59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snapToGrid/>
                      <w:color w:val="auto"/>
                      <w:spacing w:val="0"/>
                      <w:kern w:val="0"/>
                      <w:position w:val="0"/>
                      <w:sz w:val="21"/>
                      <w:szCs w:val="21"/>
                      <w:vertAlign w:val="baseline"/>
                      <w:lang w:val="en-US" w:eastAsia="zh-CN"/>
                    </w:rPr>
                    <w:t>保护措施</w:t>
                  </w:r>
                </w:p>
              </w:tc>
            </w:tr>
            <w:tr w14:paraId="5306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dxa"/>
                  <w:noWrap w:val="0"/>
                  <w:vAlign w:val="center"/>
                </w:tcPr>
                <w:p w14:paraId="645A0D1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snapToGrid/>
                      <w:color w:val="auto"/>
                      <w:spacing w:val="0"/>
                      <w:kern w:val="0"/>
                      <w:position w:val="0"/>
                      <w:sz w:val="21"/>
                      <w:szCs w:val="21"/>
                      <w:vertAlign w:val="baseline"/>
                      <w:lang w:val="en-US" w:eastAsia="zh-CN"/>
                    </w:rPr>
                    <w:t>1</w:t>
                  </w:r>
                </w:p>
              </w:tc>
              <w:tc>
                <w:tcPr>
                  <w:tcW w:w="1515" w:type="dxa"/>
                  <w:noWrap w:val="0"/>
                  <w:vAlign w:val="center"/>
                </w:tcPr>
                <w:p w14:paraId="4A156D7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ascii="Times New Roman" w:hAnsi="Times New Roman" w:eastAsia="宋体" w:cs="Times New Roman"/>
                      <w:b w:val="0"/>
                      <w:bCs w:val="0"/>
                      <w:snapToGrid/>
                      <w:color w:val="auto"/>
                      <w:spacing w:val="0"/>
                      <w:kern w:val="0"/>
                      <w:position w:val="0"/>
                      <w:sz w:val="21"/>
                      <w:szCs w:val="21"/>
                      <w:lang w:val="en-US" w:eastAsia="zh-CN"/>
                    </w:rPr>
                    <w:t>重点防渗区</w:t>
                  </w:r>
                </w:p>
              </w:tc>
              <w:tc>
                <w:tcPr>
                  <w:tcW w:w="3180" w:type="dxa"/>
                  <w:noWrap w:val="0"/>
                  <w:vAlign w:val="center"/>
                </w:tcPr>
                <w:p w14:paraId="71A4B78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snapToGrid/>
                      <w:color w:val="auto"/>
                      <w:spacing w:val="0"/>
                      <w:kern w:val="0"/>
                      <w:position w:val="0"/>
                      <w:sz w:val="21"/>
                      <w:szCs w:val="21"/>
                      <w:vertAlign w:val="baseline"/>
                      <w:lang w:val="en-US" w:eastAsia="zh-CN"/>
                    </w:rPr>
                    <w:t>危废暂存间、循环水池</w:t>
                  </w:r>
                </w:p>
              </w:tc>
              <w:tc>
                <w:tcPr>
                  <w:tcW w:w="2881" w:type="dxa"/>
                  <w:noWrap w:val="0"/>
                  <w:vAlign w:val="center"/>
                </w:tcPr>
                <w:p w14:paraId="276C9CC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ascii="Times New Roman" w:hAnsi="Times New Roman" w:eastAsia="宋体" w:cs="Times New Roman"/>
                      <w:b w:val="0"/>
                      <w:bCs w:val="0"/>
                      <w:color w:val="auto"/>
                      <w:sz w:val="21"/>
                      <w:szCs w:val="21"/>
                      <w:lang w:val="en-US" w:eastAsia="zh-CN"/>
                    </w:rPr>
                    <w:t>本项目厂房</w:t>
                  </w:r>
                  <w:r>
                    <w:rPr>
                      <w:rFonts w:hint="eastAsia" w:cs="Times New Roman"/>
                      <w:b w:val="0"/>
                      <w:bCs w:val="0"/>
                      <w:color w:val="auto"/>
                      <w:sz w:val="21"/>
                      <w:szCs w:val="21"/>
                      <w:lang w:val="en-US" w:eastAsia="zh-CN"/>
                    </w:rPr>
                    <w:t>已</w:t>
                  </w:r>
                  <w:r>
                    <w:rPr>
                      <w:rFonts w:hint="eastAsia" w:ascii="Times New Roman" w:hAnsi="Times New Roman" w:eastAsia="宋体" w:cs="Times New Roman"/>
                      <w:b w:val="0"/>
                      <w:bCs w:val="0"/>
                      <w:color w:val="auto"/>
                      <w:sz w:val="21"/>
                      <w:szCs w:val="21"/>
                      <w:lang w:val="en-US" w:eastAsia="zh-CN"/>
                    </w:rPr>
                    <w:t>进行地面硬化。本环评要求</w:t>
                  </w:r>
                  <w:r>
                    <w:rPr>
                      <w:rFonts w:hint="eastAsia" w:ascii="Times New Roman" w:hAnsi="Times New Roman" w:eastAsia="宋体" w:cs="Times New Roman"/>
                      <w:b w:val="0"/>
                      <w:bCs w:val="0"/>
                      <w:snapToGrid/>
                      <w:color w:val="auto"/>
                      <w:spacing w:val="0"/>
                      <w:kern w:val="0"/>
                      <w:position w:val="0"/>
                      <w:sz w:val="21"/>
                      <w:szCs w:val="21"/>
                      <w:lang w:val="en-US" w:eastAsia="zh-CN"/>
                    </w:rPr>
                    <w:t>重点防渗区</w:t>
                  </w:r>
                  <w:r>
                    <w:rPr>
                      <w:rFonts w:hint="eastAsia" w:ascii="Times New Roman" w:hAnsi="Times New Roman" w:eastAsia="宋体" w:cs="Times New Roman"/>
                      <w:b w:val="0"/>
                      <w:bCs w:val="0"/>
                      <w:color w:val="auto"/>
                      <w:sz w:val="21"/>
                      <w:szCs w:val="21"/>
                      <w:lang w:val="en-US" w:eastAsia="zh-CN"/>
                    </w:rPr>
                    <w:t>采取</w:t>
                  </w:r>
                  <w:r>
                    <w:rPr>
                      <w:rFonts w:hint="default" w:ascii="Times New Roman" w:hAnsi="Times New Roman" w:eastAsia="宋体" w:cs="Times New Roman"/>
                      <w:b w:val="0"/>
                      <w:bCs w:val="0"/>
                      <w:color w:val="auto"/>
                      <w:sz w:val="21"/>
                      <w:szCs w:val="21"/>
                      <w:lang w:val="en-US" w:eastAsia="zh-CN"/>
                    </w:rPr>
                    <w:t>200mm防渗混凝土</w:t>
                  </w:r>
                  <w:r>
                    <w:rPr>
                      <w:rFonts w:hint="eastAsia"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color w:val="auto"/>
                      <w:sz w:val="21"/>
                      <w:szCs w:val="21"/>
                      <w:lang w:val="en-US" w:eastAsia="zh-CN"/>
                    </w:rPr>
                    <w:t>1.5mm环氧树脂漆</w:t>
                  </w:r>
                  <w:r>
                    <w:rPr>
                      <w:rFonts w:hint="eastAsia" w:ascii="Times New Roman" w:hAnsi="Times New Roman" w:eastAsia="宋体" w:cs="Times New Roman"/>
                      <w:b w:val="0"/>
                      <w:bCs w:val="0"/>
                      <w:color w:val="auto"/>
                      <w:sz w:val="21"/>
                      <w:szCs w:val="21"/>
                      <w:lang w:val="en-US" w:eastAsia="zh-CN"/>
                    </w:rPr>
                    <w:t>，</w:t>
                  </w:r>
                  <w:r>
                    <w:rPr>
                      <w:rFonts w:hint="eastAsia" w:ascii="Times New Roman" w:hAnsi="Times New Roman" w:eastAsia="宋体" w:cs="Times New Roman"/>
                      <w:b w:val="0"/>
                      <w:bCs w:val="0"/>
                      <w:snapToGrid/>
                      <w:color w:val="auto"/>
                      <w:spacing w:val="0"/>
                      <w:kern w:val="0"/>
                      <w:position w:val="0"/>
                      <w:sz w:val="21"/>
                      <w:szCs w:val="21"/>
                      <w:lang w:val="en-US" w:eastAsia="zh-CN"/>
                    </w:rPr>
                    <w:t>防渗层渗透系数达到1.0</w:t>
                  </w:r>
                  <w:r>
                    <w:rPr>
                      <w:rFonts w:hint="default" w:ascii="Arial" w:hAnsi="Arial" w:eastAsia="宋体" w:cs="Arial"/>
                      <w:b w:val="0"/>
                      <w:bCs w:val="0"/>
                      <w:snapToGrid/>
                      <w:color w:val="auto"/>
                      <w:spacing w:val="0"/>
                      <w:kern w:val="0"/>
                      <w:position w:val="0"/>
                      <w:sz w:val="21"/>
                      <w:szCs w:val="21"/>
                      <w:lang w:val="en-US" w:eastAsia="zh-CN"/>
                    </w:rPr>
                    <w:t>×</w:t>
                  </w:r>
                  <w:r>
                    <w:rPr>
                      <w:rFonts w:hint="eastAsia" w:ascii="Times New Roman" w:hAnsi="Times New Roman" w:eastAsia="宋体" w:cs="Times New Roman"/>
                      <w:b w:val="0"/>
                      <w:bCs w:val="0"/>
                      <w:snapToGrid/>
                      <w:color w:val="auto"/>
                      <w:spacing w:val="0"/>
                      <w:kern w:val="0"/>
                      <w:position w:val="0"/>
                      <w:sz w:val="21"/>
                      <w:szCs w:val="21"/>
                      <w:lang w:val="en-US" w:eastAsia="zh-CN"/>
                    </w:rPr>
                    <w:t>10</w:t>
                  </w:r>
                  <w:r>
                    <w:rPr>
                      <w:rFonts w:hint="eastAsia" w:cs="Times New Roman"/>
                      <w:b w:val="0"/>
                      <w:bCs w:val="0"/>
                      <w:snapToGrid/>
                      <w:color w:val="auto"/>
                      <w:spacing w:val="0"/>
                      <w:kern w:val="0"/>
                      <w:position w:val="0"/>
                      <w:sz w:val="21"/>
                      <w:szCs w:val="21"/>
                      <w:vertAlign w:val="superscript"/>
                      <w:lang w:val="en-US" w:eastAsia="zh-CN"/>
                    </w:rPr>
                    <w:t>-10</w:t>
                  </w:r>
                  <w:r>
                    <w:rPr>
                      <w:rFonts w:hint="eastAsia" w:ascii="Times New Roman" w:hAnsi="Times New Roman" w:eastAsia="宋体" w:cs="Times New Roman"/>
                      <w:b w:val="0"/>
                      <w:bCs w:val="0"/>
                      <w:snapToGrid/>
                      <w:color w:val="auto"/>
                      <w:spacing w:val="0"/>
                      <w:kern w:val="0"/>
                      <w:position w:val="0"/>
                      <w:sz w:val="21"/>
                      <w:szCs w:val="21"/>
                      <w:lang w:val="en-US" w:eastAsia="zh-CN"/>
                    </w:rPr>
                    <w:t>cm/s</w:t>
                  </w:r>
                </w:p>
              </w:tc>
            </w:tr>
            <w:tr w14:paraId="3B41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dxa"/>
                  <w:noWrap w:val="0"/>
                  <w:vAlign w:val="center"/>
                </w:tcPr>
                <w:p w14:paraId="1A9B5A7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snapToGrid/>
                      <w:color w:val="auto"/>
                      <w:spacing w:val="0"/>
                      <w:kern w:val="0"/>
                      <w:position w:val="0"/>
                      <w:sz w:val="21"/>
                      <w:szCs w:val="21"/>
                      <w:vertAlign w:val="baseline"/>
                      <w:lang w:val="en-US" w:eastAsia="zh-CN"/>
                    </w:rPr>
                    <w:t>2</w:t>
                  </w:r>
                </w:p>
              </w:tc>
              <w:tc>
                <w:tcPr>
                  <w:tcW w:w="1515" w:type="dxa"/>
                  <w:noWrap w:val="0"/>
                  <w:vAlign w:val="center"/>
                </w:tcPr>
                <w:p w14:paraId="0BA83BC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ascii="Times New Roman" w:hAnsi="Times New Roman" w:eastAsia="宋体" w:cs="Times New Roman"/>
                      <w:b w:val="0"/>
                      <w:bCs w:val="0"/>
                      <w:snapToGrid/>
                      <w:color w:val="auto"/>
                      <w:spacing w:val="0"/>
                      <w:kern w:val="0"/>
                      <w:position w:val="0"/>
                      <w:sz w:val="21"/>
                      <w:szCs w:val="21"/>
                      <w:lang w:val="en-US" w:eastAsia="zh-CN"/>
                    </w:rPr>
                    <w:t>一般防渗区</w:t>
                  </w:r>
                </w:p>
              </w:tc>
              <w:tc>
                <w:tcPr>
                  <w:tcW w:w="3180" w:type="dxa"/>
                  <w:noWrap w:val="0"/>
                  <w:vAlign w:val="center"/>
                </w:tcPr>
                <w:p w14:paraId="18AEB07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snapToGrid/>
                      <w:color w:val="auto"/>
                      <w:spacing w:val="0"/>
                      <w:kern w:val="0"/>
                      <w:position w:val="0"/>
                      <w:sz w:val="21"/>
                      <w:szCs w:val="21"/>
                      <w:vertAlign w:val="baseline"/>
                      <w:lang w:val="en-US" w:eastAsia="zh-CN"/>
                    </w:rPr>
                    <w:t>混料区、成品区、精切区</w:t>
                  </w:r>
                </w:p>
              </w:tc>
              <w:tc>
                <w:tcPr>
                  <w:tcW w:w="2881" w:type="dxa"/>
                  <w:noWrap w:val="0"/>
                  <w:vAlign w:val="center"/>
                </w:tcPr>
                <w:p w14:paraId="318CF02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color w:val="auto"/>
                      <w:sz w:val="21"/>
                      <w:szCs w:val="21"/>
                      <w:lang w:val="en-US" w:eastAsia="zh-CN"/>
                    </w:rPr>
                    <w:t>本项目</w:t>
                  </w:r>
                  <w:r>
                    <w:rPr>
                      <w:rFonts w:hint="eastAsia" w:ascii="Times New Roman" w:hAnsi="Times New Roman" w:eastAsia="宋体" w:cs="Times New Roman"/>
                      <w:b w:val="0"/>
                      <w:bCs w:val="0"/>
                      <w:color w:val="auto"/>
                      <w:sz w:val="21"/>
                      <w:szCs w:val="21"/>
                      <w:lang w:val="en-US" w:eastAsia="zh-CN"/>
                    </w:rPr>
                    <w:t>厂房</w:t>
                  </w:r>
                  <w:r>
                    <w:rPr>
                      <w:rFonts w:hint="eastAsia" w:cs="Times New Roman"/>
                      <w:b w:val="0"/>
                      <w:bCs w:val="0"/>
                      <w:color w:val="auto"/>
                      <w:sz w:val="21"/>
                      <w:szCs w:val="21"/>
                      <w:lang w:val="en-US" w:eastAsia="zh-CN"/>
                    </w:rPr>
                    <w:t>已</w:t>
                  </w:r>
                  <w:r>
                    <w:rPr>
                      <w:rFonts w:hint="eastAsia" w:ascii="Times New Roman" w:hAnsi="Times New Roman" w:eastAsia="宋体" w:cs="Times New Roman"/>
                      <w:b w:val="0"/>
                      <w:bCs w:val="0"/>
                      <w:color w:val="auto"/>
                      <w:sz w:val="21"/>
                      <w:szCs w:val="21"/>
                      <w:lang w:val="en-US" w:eastAsia="zh-CN"/>
                    </w:rPr>
                    <w:t>进行地面硬化。本环评要求</w:t>
                  </w:r>
                  <w:r>
                    <w:rPr>
                      <w:rFonts w:hint="eastAsia" w:ascii="Times New Roman" w:hAnsi="Times New Roman" w:eastAsia="宋体" w:cs="Times New Roman"/>
                      <w:b w:val="0"/>
                      <w:bCs w:val="0"/>
                      <w:snapToGrid/>
                      <w:color w:val="auto"/>
                      <w:spacing w:val="0"/>
                      <w:kern w:val="0"/>
                      <w:position w:val="0"/>
                      <w:sz w:val="21"/>
                      <w:szCs w:val="21"/>
                      <w:lang w:val="en-US" w:eastAsia="zh-CN"/>
                    </w:rPr>
                    <w:t>一般防渗区采取粘土铺底+10～15cm的防渗水泥进行硬化，防渗层渗透系数达到1.0×10</w:t>
                  </w:r>
                  <w:r>
                    <w:rPr>
                      <w:rFonts w:hint="eastAsia" w:cs="Times New Roman"/>
                      <w:b w:val="0"/>
                      <w:bCs w:val="0"/>
                      <w:snapToGrid/>
                      <w:color w:val="auto"/>
                      <w:spacing w:val="0"/>
                      <w:kern w:val="0"/>
                      <w:position w:val="0"/>
                      <w:sz w:val="21"/>
                      <w:szCs w:val="21"/>
                      <w:vertAlign w:val="superscript"/>
                      <w:lang w:val="en-US" w:eastAsia="zh-CN"/>
                    </w:rPr>
                    <w:t>-</w:t>
                  </w:r>
                  <w:r>
                    <w:rPr>
                      <w:rFonts w:hint="eastAsia" w:ascii="Times New Roman" w:hAnsi="Times New Roman" w:eastAsia="宋体" w:cs="Times New Roman"/>
                      <w:b w:val="0"/>
                      <w:bCs w:val="0"/>
                      <w:snapToGrid/>
                      <w:color w:val="auto"/>
                      <w:spacing w:val="0"/>
                      <w:kern w:val="0"/>
                      <w:position w:val="0"/>
                      <w:sz w:val="21"/>
                      <w:szCs w:val="21"/>
                      <w:vertAlign w:val="superscript"/>
                      <w:lang w:val="en-US" w:eastAsia="zh-CN"/>
                    </w:rPr>
                    <w:t>7</w:t>
                  </w:r>
                  <w:r>
                    <w:rPr>
                      <w:rFonts w:hint="eastAsia" w:ascii="Times New Roman" w:hAnsi="Times New Roman" w:eastAsia="宋体" w:cs="Times New Roman"/>
                      <w:b w:val="0"/>
                      <w:bCs w:val="0"/>
                      <w:snapToGrid/>
                      <w:color w:val="auto"/>
                      <w:spacing w:val="0"/>
                      <w:kern w:val="0"/>
                      <w:position w:val="0"/>
                      <w:sz w:val="21"/>
                      <w:szCs w:val="21"/>
                      <w:lang w:val="en-US" w:eastAsia="zh-CN"/>
                    </w:rPr>
                    <w:t>cm/s。</w:t>
                  </w:r>
                </w:p>
              </w:tc>
            </w:tr>
            <w:tr w14:paraId="605AE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36" w:type="dxa"/>
                  <w:noWrap w:val="0"/>
                  <w:vAlign w:val="center"/>
                </w:tcPr>
                <w:p w14:paraId="2EED256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cs="Times New Roman"/>
                      <w:b w:val="0"/>
                      <w:bCs w:val="0"/>
                      <w:snapToGrid/>
                      <w:color w:val="auto"/>
                      <w:spacing w:val="0"/>
                      <w:kern w:val="0"/>
                      <w:position w:val="0"/>
                      <w:sz w:val="21"/>
                      <w:szCs w:val="21"/>
                      <w:vertAlign w:val="baseline"/>
                      <w:lang w:val="en-US" w:eastAsia="zh-CN"/>
                    </w:rPr>
                    <w:t>3</w:t>
                  </w:r>
                </w:p>
              </w:tc>
              <w:tc>
                <w:tcPr>
                  <w:tcW w:w="1515" w:type="dxa"/>
                  <w:noWrap w:val="0"/>
                  <w:vAlign w:val="center"/>
                </w:tcPr>
                <w:p w14:paraId="3D95F42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ascii="Times New Roman" w:hAnsi="Times New Roman" w:eastAsia="宋体" w:cs="Times New Roman"/>
                      <w:b w:val="0"/>
                      <w:bCs w:val="0"/>
                      <w:snapToGrid/>
                      <w:color w:val="auto"/>
                      <w:spacing w:val="0"/>
                      <w:kern w:val="0"/>
                      <w:position w:val="0"/>
                      <w:sz w:val="21"/>
                      <w:szCs w:val="21"/>
                      <w:lang w:val="en-US" w:eastAsia="zh-CN"/>
                    </w:rPr>
                    <w:t>简单防渗区</w:t>
                  </w:r>
                </w:p>
              </w:tc>
              <w:tc>
                <w:tcPr>
                  <w:tcW w:w="3180" w:type="dxa"/>
                  <w:noWrap w:val="0"/>
                  <w:vAlign w:val="center"/>
                </w:tcPr>
                <w:p w14:paraId="5E305F6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lang w:val="en-US" w:eastAsia="zh-CN"/>
                    </w:rPr>
                  </w:pPr>
                  <w:r>
                    <w:rPr>
                      <w:rFonts w:hint="eastAsia" w:ascii="Times New Roman" w:hAnsi="Times New Roman" w:eastAsia="宋体" w:cs="Times New Roman"/>
                      <w:b w:val="0"/>
                      <w:bCs w:val="0"/>
                      <w:snapToGrid/>
                      <w:color w:val="auto"/>
                      <w:spacing w:val="0"/>
                      <w:kern w:val="0"/>
                      <w:position w:val="0"/>
                      <w:sz w:val="21"/>
                      <w:szCs w:val="21"/>
                      <w:lang w:val="en-US" w:eastAsia="zh-CN"/>
                    </w:rPr>
                    <w:t>项目厂区内的绿化区和</w:t>
                  </w:r>
                </w:p>
                <w:p w14:paraId="04B1187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ascii="Times New Roman" w:hAnsi="Times New Roman" w:eastAsia="宋体" w:cs="Times New Roman"/>
                      <w:b w:val="0"/>
                      <w:bCs w:val="0"/>
                      <w:snapToGrid/>
                      <w:color w:val="auto"/>
                      <w:spacing w:val="0"/>
                      <w:kern w:val="0"/>
                      <w:position w:val="0"/>
                      <w:sz w:val="21"/>
                      <w:szCs w:val="21"/>
                      <w:lang w:val="en-US" w:eastAsia="zh-CN"/>
                    </w:rPr>
                    <w:t>厂区道路等</w:t>
                  </w:r>
                </w:p>
              </w:tc>
              <w:tc>
                <w:tcPr>
                  <w:tcW w:w="2881" w:type="dxa"/>
                  <w:noWrap w:val="0"/>
                  <w:vAlign w:val="center"/>
                </w:tcPr>
                <w:p w14:paraId="20261F7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pPr>
                  <w:r>
                    <w:rPr>
                      <w:rFonts w:hint="eastAsia" w:ascii="Times New Roman" w:hAnsi="Times New Roman" w:eastAsia="宋体" w:cs="Times New Roman"/>
                      <w:b w:val="0"/>
                      <w:bCs w:val="0"/>
                      <w:snapToGrid/>
                      <w:color w:val="auto"/>
                      <w:spacing w:val="0"/>
                      <w:kern w:val="0"/>
                      <w:position w:val="0"/>
                      <w:sz w:val="21"/>
                      <w:szCs w:val="21"/>
                      <w:vertAlign w:val="baseline"/>
                      <w:lang w:val="en-US" w:eastAsia="zh-CN"/>
                    </w:rPr>
                    <w:t>混凝土硬化处理</w:t>
                  </w:r>
                </w:p>
              </w:tc>
            </w:tr>
          </w:tbl>
          <w:p w14:paraId="631F62A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bCs w:val="0"/>
                <w:snapToGrid/>
                <w:color w:val="auto"/>
                <w:spacing w:val="0"/>
                <w:kern w:val="0"/>
                <w:position w:val="0"/>
                <w:sz w:val="24"/>
                <w:szCs w:val="24"/>
                <w:lang w:val="en-US" w:eastAsia="zh-CN"/>
              </w:rPr>
            </w:pPr>
            <w:r>
              <w:rPr>
                <w:rFonts w:hint="eastAsia" w:ascii="Times New Roman" w:hAnsi="Times New Roman" w:eastAsia="宋体" w:cs="Times New Roman"/>
                <w:b w:val="0"/>
                <w:bCs w:val="0"/>
                <w:snapToGrid/>
                <w:color w:val="auto"/>
                <w:spacing w:val="0"/>
                <w:kern w:val="0"/>
                <w:position w:val="0"/>
                <w:sz w:val="24"/>
                <w:szCs w:val="24"/>
                <w:lang w:val="en-US" w:eastAsia="zh-CN"/>
              </w:rPr>
              <w:t>本环评要求危废暂存间</w:t>
            </w:r>
            <w:r>
              <w:rPr>
                <w:rFonts w:hint="eastAsia" w:cs="Times New Roman"/>
                <w:b w:val="0"/>
                <w:bCs w:val="0"/>
                <w:snapToGrid/>
                <w:color w:val="auto"/>
                <w:spacing w:val="0"/>
                <w:kern w:val="0"/>
                <w:position w:val="0"/>
                <w:sz w:val="24"/>
                <w:szCs w:val="24"/>
                <w:lang w:val="en-US" w:eastAsia="zh-CN"/>
              </w:rPr>
              <w:t>、循环水池</w:t>
            </w:r>
            <w:r>
              <w:rPr>
                <w:rFonts w:hint="eastAsia" w:ascii="Times New Roman" w:hAnsi="Times New Roman" w:eastAsia="宋体" w:cs="Times New Roman"/>
                <w:b w:val="0"/>
                <w:bCs w:val="0"/>
                <w:snapToGrid/>
                <w:color w:val="auto"/>
                <w:spacing w:val="0"/>
                <w:kern w:val="0"/>
                <w:position w:val="0"/>
                <w:sz w:val="24"/>
                <w:szCs w:val="24"/>
                <w:lang w:val="en-US" w:eastAsia="zh-CN"/>
              </w:rPr>
              <w:t>重点防渗区采取</w:t>
            </w:r>
            <w:r>
              <w:rPr>
                <w:rFonts w:hint="default" w:ascii="Times New Roman" w:hAnsi="Times New Roman" w:eastAsia="宋体" w:cs="Times New Roman"/>
                <w:b w:val="0"/>
                <w:bCs w:val="0"/>
                <w:snapToGrid/>
                <w:color w:val="auto"/>
                <w:spacing w:val="0"/>
                <w:kern w:val="0"/>
                <w:position w:val="0"/>
                <w:sz w:val="24"/>
                <w:szCs w:val="24"/>
                <w:lang w:val="en-US" w:eastAsia="zh-CN"/>
              </w:rPr>
              <w:t>200mm防渗混凝土</w:t>
            </w:r>
            <w:r>
              <w:rPr>
                <w:rFonts w:hint="eastAsia" w:ascii="Times New Roman" w:hAnsi="Times New Roman" w:eastAsia="宋体" w:cs="Times New Roman"/>
                <w:b w:val="0"/>
                <w:bCs w:val="0"/>
                <w:snapToGrid/>
                <w:color w:val="auto"/>
                <w:spacing w:val="0"/>
                <w:kern w:val="0"/>
                <w:position w:val="0"/>
                <w:sz w:val="24"/>
                <w:szCs w:val="24"/>
                <w:lang w:val="en-US" w:eastAsia="zh-CN"/>
              </w:rPr>
              <w:t>+</w:t>
            </w:r>
            <w:r>
              <w:rPr>
                <w:rFonts w:hint="default" w:ascii="Times New Roman" w:hAnsi="Times New Roman" w:eastAsia="宋体" w:cs="Times New Roman"/>
                <w:b w:val="0"/>
                <w:bCs w:val="0"/>
                <w:snapToGrid/>
                <w:color w:val="auto"/>
                <w:spacing w:val="0"/>
                <w:kern w:val="0"/>
                <w:position w:val="0"/>
                <w:sz w:val="24"/>
                <w:szCs w:val="24"/>
                <w:lang w:val="en-US" w:eastAsia="zh-CN"/>
              </w:rPr>
              <w:t>1.5mm环氧树脂漆</w:t>
            </w:r>
            <w:r>
              <w:rPr>
                <w:rFonts w:hint="eastAsia" w:ascii="Times New Roman" w:hAnsi="Times New Roman" w:eastAsia="宋体" w:cs="Times New Roman"/>
                <w:b w:val="0"/>
                <w:bCs w:val="0"/>
                <w:snapToGrid/>
                <w:color w:val="auto"/>
                <w:spacing w:val="0"/>
                <w:kern w:val="0"/>
                <w:position w:val="0"/>
                <w:sz w:val="24"/>
                <w:szCs w:val="24"/>
                <w:lang w:val="en-US" w:eastAsia="zh-CN"/>
              </w:rPr>
              <w:t>，防渗层渗透系数达到1.0</w:t>
            </w:r>
            <w:r>
              <w:rPr>
                <w:rFonts w:hint="default" w:ascii="Times New Roman" w:hAnsi="Times New Roman" w:eastAsia="宋体" w:cs="Times New Roman"/>
                <w:b w:val="0"/>
                <w:bCs w:val="0"/>
                <w:snapToGrid/>
                <w:color w:val="auto"/>
                <w:spacing w:val="0"/>
                <w:kern w:val="0"/>
                <w:position w:val="0"/>
                <w:sz w:val="24"/>
                <w:szCs w:val="24"/>
                <w:lang w:val="en-US" w:eastAsia="zh-CN"/>
              </w:rPr>
              <w:t>×</w:t>
            </w:r>
            <w:r>
              <w:rPr>
                <w:rFonts w:hint="eastAsia" w:ascii="Times New Roman" w:hAnsi="Times New Roman" w:eastAsia="宋体" w:cs="Times New Roman"/>
                <w:b w:val="0"/>
                <w:bCs w:val="0"/>
                <w:snapToGrid/>
                <w:color w:val="auto"/>
                <w:spacing w:val="0"/>
                <w:kern w:val="0"/>
                <w:position w:val="0"/>
                <w:sz w:val="24"/>
                <w:szCs w:val="24"/>
                <w:lang w:val="en-US" w:eastAsia="zh-CN"/>
              </w:rPr>
              <w:t>10</w:t>
            </w:r>
            <w:r>
              <w:rPr>
                <w:rFonts w:hint="eastAsia" w:cs="Times New Roman"/>
                <w:b w:val="0"/>
                <w:bCs w:val="0"/>
                <w:snapToGrid/>
                <w:color w:val="auto"/>
                <w:spacing w:val="0"/>
                <w:kern w:val="0"/>
                <w:position w:val="0"/>
                <w:sz w:val="24"/>
                <w:szCs w:val="24"/>
                <w:vertAlign w:val="superscript"/>
                <w:lang w:val="en-US" w:eastAsia="zh-CN"/>
              </w:rPr>
              <w:t>-</w:t>
            </w:r>
            <w:r>
              <w:rPr>
                <w:rFonts w:hint="eastAsia" w:ascii="Times New Roman" w:hAnsi="Times New Roman" w:eastAsia="宋体" w:cs="Times New Roman"/>
                <w:b w:val="0"/>
                <w:bCs w:val="0"/>
                <w:snapToGrid/>
                <w:color w:val="auto"/>
                <w:spacing w:val="0"/>
                <w:kern w:val="0"/>
                <w:position w:val="0"/>
                <w:sz w:val="24"/>
                <w:szCs w:val="24"/>
                <w:vertAlign w:val="superscript"/>
                <w:lang w:val="en-US" w:eastAsia="zh-CN"/>
              </w:rPr>
              <w:t>10</w:t>
            </w:r>
            <w:r>
              <w:rPr>
                <w:rFonts w:hint="eastAsia" w:ascii="Times New Roman" w:hAnsi="Times New Roman" w:eastAsia="宋体" w:cs="Times New Roman"/>
                <w:b w:val="0"/>
                <w:bCs w:val="0"/>
                <w:snapToGrid/>
                <w:color w:val="auto"/>
                <w:spacing w:val="0"/>
                <w:kern w:val="0"/>
                <w:position w:val="0"/>
                <w:sz w:val="24"/>
                <w:szCs w:val="24"/>
                <w:lang w:val="en-US" w:eastAsia="zh-CN"/>
              </w:rPr>
              <w:t>cm/s</w:t>
            </w:r>
            <w:r>
              <w:rPr>
                <w:rFonts w:hint="default" w:ascii="Times New Roman" w:hAnsi="Times New Roman" w:eastAsia="宋体" w:cs="Times New Roman"/>
                <w:b w:val="0"/>
                <w:bCs w:val="0"/>
                <w:snapToGrid/>
                <w:color w:val="auto"/>
                <w:spacing w:val="0"/>
                <w:kern w:val="0"/>
                <w:position w:val="0"/>
                <w:sz w:val="24"/>
                <w:szCs w:val="24"/>
                <w:lang w:val="en-US" w:eastAsia="zh-CN"/>
              </w:rPr>
              <w:t>。</w:t>
            </w:r>
          </w:p>
          <w:p w14:paraId="49F09FD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b w:val="0"/>
                <w:bCs w:val="0"/>
                <w:snapToGrid/>
                <w:color w:val="auto"/>
                <w:spacing w:val="0"/>
                <w:kern w:val="0"/>
                <w:position w:val="0"/>
                <w:sz w:val="24"/>
                <w:szCs w:val="24"/>
                <w:lang w:val="en-US" w:eastAsia="zh-CN"/>
              </w:rPr>
            </w:pPr>
            <w:r>
              <w:rPr>
                <w:rFonts w:hint="eastAsia" w:ascii="Times New Roman" w:hAnsi="Times New Roman" w:eastAsia="宋体" w:cs="Times New Roman"/>
                <w:b w:val="0"/>
                <w:bCs w:val="0"/>
                <w:snapToGrid/>
                <w:color w:val="auto"/>
                <w:spacing w:val="0"/>
                <w:kern w:val="0"/>
                <w:position w:val="0"/>
                <w:sz w:val="24"/>
                <w:szCs w:val="24"/>
                <w:lang w:val="en-US" w:eastAsia="zh-CN"/>
              </w:rPr>
              <w:t>综上，由污染途径及对应措施分析可知，项目对可能产生地下水影响的各项途径均进行有效预防；在确保各项防渗措施得以落实，并加强维护和厂区环境管理的前提下，可有效控制厂区内的废水污染物下渗现象，避免污染地下水。</w:t>
            </w:r>
          </w:p>
          <w:p w14:paraId="5FDFD03C">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b w:val="0"/>
                <w:bCs w:val="0"/>
                <w:snapToGrid/>
                <w:color w:val="auto"/>
                <w:spacing w:val="0"/>
                <w:kern w:val="0"/>
                <w:position w:val="0"/>
                <w:sz w:val="24"/>
                <w:szCs w:val="24"/>
                <w:lang w:val="en-US" w:eastAsia="zh-CN"/>
              </w:rPr>
            </w:pPr>
            <w:r>
              <w:rPr>
                <w:rFonts w:hint="eastAsia" w:ascii="Times New Roman" w:hAnsi="Times New Roman" w:eastAsia="宋体" w:cs="Times New Roman"/>
                <w:b w:val="0"/>
                <w:bCs w:val="0"/>
                <w:snapToGrid/>
                <w:color w:val="auto"/>
                <w:spacing w:val="0"/>
                <w:kern w:val="0"/>
                <w:position w:val="0"/>
                <w:sz w:val="24"/>
                <w:szCs w:val="24"/>
                <w:lang w:val="en-US" w:eastAsia="zh-CN"/>
              </w:rPr>
              <w:t>因此，采取以上措施后正常状态下，厂区的地表与地下的水力联系基本被切断，污染物不会规模性渗入地下水，本项目不会对区域地下水环境产生影响。</w:t>
            </w:r>
          </w:p>
          <w:p w14:paraId="4BF37EFF">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2" w:firstLineChars="200"/>
              <w:textAlignment w:val="auto"/>
              <w:rPr>
                <w:rFonts w:hint="default"/>
                <w:b/>
                <w:bCs/>
                <w:snapToGrid/>
                <w:color w:val="auto"/>
                <w:spacing w:val="0"/>
                <w:kern w:val="0"/>
                <w:position w:val="0"/>
                <w:sz w:val="24"/>
                <w:szCs w:val="24"/>
                <w:lang w:val="en-US" w:eastAsia="zh-CN"/>
              </w:rPr>
            </w:pPr>
            <w:r>
              <w:rPr>
                <w:rFonts w:hint="default"/>
                <w:b/>
                <w:bCs/>
                <w:snapToGrid/>
                <w:color w:val="auto"/>
                <w:spacing w:val="0"/>
                <w:kern w:val="0"/>
                <w:position w:val="0"/>
                <w:sz w:val="24"/>
                <w:szCs w:val="24"/>
                <w:lang w:val="en-US" w:eastAsia="zh-CN"/>
              </w:rPr>
              <w:t>跟踪监测要求</w:t>
            </w:r>
            <w:r>
              <w:rPr>
                <w:rFonts w:hint="eastAsia"/>
                <w:b/>
                <w:bCs/>
                <w:snapToGrid/>
                <w:color w:val="auto"/>
                <w:spacing w:val="0"/>
                <w:kern w:val="0"/>
                <w:position w:val="0"/>
                <w:sz w:val="24"/>
                <w:szCs w:val="24"/>
                <w:lang w:val="en-US" w:eastAsia="zh-CN"/>
              </w:rPr>
              <w:t>：</w:t>
            </w:r>
          </w:p>
          <w:p w14:paraId="3975DCE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b w:val="0"/>
                <w:bCs w:val="0"/>
                <w:snapToGrid/>
                <w:color w:val="auto"/>
                <w:spacing w:val="0"/>
                <w:kern w:val="0"/>
                <w:position w:val="0"/>
                <w:sz w:val="24"/>
                <w:szCs w:val="24"/>
                <w:lang w:val="en-US" w:eastAsia="zh-CN"/>
              </w:rPr>
            </w:pPr>
            <w:r>
              <w:rPr>
                <w:rFonts w:hint="eastAsia"/>
                <w:b w:val="0"/>
                <w:bCs w:val="0"/>
                <w:snapToGrid/>
                <w:color w:val="auto"/>
                <w:spacing w:val="0"/>
                <w:kern w:val="0"/>
                <w:position w:val="0"/>
                <w:sz w:val="24"/>
                <w:szCs w:val="24"/>
                <w:lang w:val="en-US" w:eastAsia="zh-CN"/>
              </w:rPr>
              <w:t>本项目不对地下水环境进行跟踪监测。</w:t>
            </w:r>
          </w:p>
          <w:p w14:paraId="312C7A1B">
            <w:pPr>
              <w:keepNext w:val="0"/>
              <w:keepLines w:val="0"/>
              <w:pageBreakBefore w:val="0"/>
              <w:widowControl/>
              <w:numPr>
                <w:ilvl w:val="0"/>
                <w:numId w:val="2"/>
              </w:numPr>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b w:val="0"/>
                <w:bCs w:val="0"/>
                <w:snapToGrid/>
                <w:color w:val="auto"/>
                <w:spacing w:val="0"/>
                <w:kern w:val="0"/>
                <w:position w:val="0"/>
                <w:sz w:val="24"/>
                <w:szCs w:val="24"/>
                <w:lang w:val="en-US" w:eastAsia="zh-CN"/>
              </w:rPr>
            </w:pPr>
            <w:r>
              <w:rPr>
                <w:rFonts w:hint="default" w:ascii="Times New Roman" w:hAnsi="Times New Roman" w:eastAsia="宋体" w:cs="Times New Roman"/>
                <w:b w:val="0"/>
                <w:bCs w:val="0"/>
                <w:snapToGrid/>
                <w:color w:val="auto"/>
                <w:spacing w:val="0"/>
                <w:kern w:val="0"/>
                <w:position w:val="0"/>
                <w:sz w:val="24"/>
                <w:szCs w:val="24"/>
                <w:lang w:val="en-US" w:eastAsia="zh-CN"/>
              </w:rPr>
              <w:t>土壤环境</w:t>
            </w:r>
          </w:p>
          <w:p w14:paraId="6FF3F475">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482" w:firstLineChars="200"/>
              <w:jc w:val="left"/>
              <w:textAlignment w:val="auto"/>
              <w:rPr>
                <w:rFonts w:hint="eastAsia"/>
                <w:b/>
                <w:bCs/>
                <w:snapToGrid/>
                <w:color w:val="auto"/>
                <w:spacing w:val="0"/>
                <w:kern w:val="0"/>
                <w:position w:val="0"/>
                <w:sz w:val="24"/>
                <w:szCs w:val="24"/>
                <w:lang w:val="en-US" w:eastAsia="zh-CN"/>
              </w:rPr>
            </w:pPr>
            <w:r>
              <w:rPr>
                <w:rFonts w:hint="eastAsia"/>
                <w:b/>
                <w:bCs/>
                <w:snapToGrid/>
                <w:color w:val="auto"/>
                <w:spacing w:val="0"/>
                <w:kern w:val="0"/>
                <w:position w:val="0"/>
                <w:sz w:val="24"/>
                <w:szCs w:val="24"/>
                <w:lang w:val="en-US" w:eastAsia="zh-CN"/>
              </w:rPr>
              <w:t>土壤污染途径：</w:t>
            </w:r>
          </w:p>
          <w:p w14:paraId="7D46AB2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b w:val="0"/>
                <w:bCs w:val="0"/>
                <w:snapToGrid/>
                <w:color w:val="auto"/>
                <w:spacing w:val="0"/>
                <w:kern w:val="0"/>
                <w:position w:val="0"/>
                <w:sz w:val="24"/>
                <w:szCs w:val="24"/>
                <w:lang w:val="en-US" w:eastAsia="zh-CN"/>
              </w:rPr>
            </w:pPr>
            <w:r>
              <w:rPr>
                <w:rFonts w:hint="eastAsia"/>
                <w:b w:val="0"/>
                <w:bCs w:val="0"/>
                <w:snapToGrid/>
                <w:color w:val="auto"/>
                <w:spacing w:val="0"/>
                <w:kern w:val="0"/>
                <w:position w:val="0"/>
                <w:sz w:val="24"/>
                <w:szCs w:val="24"/>
                <w:lang w:val="en-US" w:eastAsia="zh-CN"/>
              </w:rPr>
              <w:t>扩建项目建设地点位于</w:t>
            </w:r>
            <w:r>
              <w:rPr>
                <w:rFonts w:ascii="宋体" w:hAnsi="宋体" w:eastAsia="宋体" w:cs="宋体"/>
                <w:sz w:val="24"/>
                <w:szCs w:val="24"/>
              </w:rPr>
              <w:t>宿州</w:t>
            </w:r>
            <w:r>
              <w:rPr>
                <w:rFonts w:hint="eastAsia" w:ascii="宋体" w:hAnsi="宋体" w:cs="宋体"/>
                <w:sz w:val="24"/>
                <w:szCs w:val="24"/>
                <w:lang w:eastAsia="zh-CN"/>
              </w:rPr>
              <w:t>市</w:t>
            </w:r>
            <w:r>
              <w:rPr>
                <w:rFonts w:ascii="宋体" w:hAnsi="宋体" w:eastAsia="宋体" w:cs="宋体"/>
                <w:sz w:val="24"/>
                <w:szCs w:val="24"/>
              </w:rPr>
              <w:t>埇桥</w:t>
            </w:r>
            <w:r>
              <w:rPr>
                <w:rFonts w:hint="eastAsia" w:ascii="宋体" w:hAnsi="宋体" w:cs="宋体"/>
                <w:sz w:val="24"/>
                <w:szCs w:val="24"/>
                <w:lang w:eastAsia="zh-CN"/>
              </w:rPr>
              <w:t>区</w:t>
            </w:r>
            <w:r>
              <w:rPr>
                <w:rFonts w:ascii="宋体" w:hAnsi="宋体" w:eastAsia="宋体" w:cs="宋体"/>
                <w:sz w:val="24"/>
                <w:szCs w:val="24"/>
              </w:rPr>
              <w:t>循环经济示范园东二环西侧</w:t>
            </w:r>
            <w:r>
              <w:rPr>
                <w:rFonts w:hint="eastAsia"/>
                <w:color w:val="auto"/>
                <w:sz w:val="24"/>
                <w:u w:val="none"/>
                <w:lang w:val="en-US" w:eastAsia="zh-CN"/>
              </w:rPr>
              <w:t>，土壤环境影响途径主要有大气</w:t>
            </w:r>
            <w:r>
              <w:rPr>
                <w:rFonts w:hint="eastAsia"/>
                <w:b w:val="0"/>
                <w:bCs w:val="0"/>
                <w:snapToGrid/>
                <w:color w:val="auto"/>
                <w:spacing w:val="0"/>
                <w:kern w:val="0"/>
                <w:position w:val="0"/>
                <w:sz w:val="24"/>
                <w:szCs w:val="24"/>
                <w:lang w:val="en-US" w:eastAsia="zh-CN"/>
              </w:rPr>
              <w:t>沉降、地面漫流、垂直入渗及地下水位等。本项目土壤影响类型及途径主要有废气污染物通过降水、扩散和重力作用降落至地面，渗透进入土壤，进而污染土壤环境；固体废物尤其是危险废物及危险物质在厂区内储存过程中渗出液进入土壤，危害土壤环境。</w:t>
            </w:r>
          </w:p>
          <w:p w14:paraId="1AD1B66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2" w:firstLineChars="200"/>
              <w:jc w:val="left"/>
              <w:textAlignment w:val="auto"/>
              <w:rPr>
                <w:rFonts w:hint="eastAsia"/>
                <w:b/>
                <w:bCs/>
                <w:snapToGrid/>
                <w:color w:val="auto"/>
                <w:spacing w:val="0"/>
                <w:kern w:val="0"/>
                <w:position w:val="0"/>
                <w:sz w:val="24"/>
                <w:szCs w:val="24"/>
                <w:lang w:val="en-US" w:eastAsia="zh-CN"/>
              </w:rPr>
            </w:pPr>
            <w:r>
              <w:rPr>
                <w:rFonts w:hint="eastAsia"/>
                <w:b/>
                <w:bCs/>
                <w:snapToGrid/>
                <w:color w:val="auto"/>
                <w:spacing w:val="0"/>
                <w:kern w:val="0"/>
                <w:position w:val="0"/>
                <w:sz w:val="24"/>
                <w:szCs w:val="24"/>
                <w:lang w:val="en-US" w:eastAsia="zh-CN"/>
              </w:rPr>
              <w:t>土壤污染防治措施：</w:t>
            </w:r>
          </w:p>
          <w:p w14:paraId="08D6F214">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b w:val="0"/>
                <w:bCs w:val="0"/>
                <w:snapToGrid/>
                <w:color w:val="auto"/>
                <w:spacing w:val="0"/>
                <w:kern w:val="0"/>
                <w:position w:val="0"/>
                <w:sz w:val="24"/>
                <w:szCs w:val="24"/>
                <w:lang w:val="en-US" w:eastAsia="zh-CN"/>
              </w:rPr>
            </w:pPr>
            <w:r>
              <w:rPr>
                <w:rFonts w:hint="eastAsia"/>
                <w:b w:val="0"/>
                <w:bCs w:val="0"/>
                <w:snapToGrid/>
                <w:color w:val="auto"/>
                <w:spacing w:val="0"/>
                <w:kern w:val="0"/>
                <w:position w:val="0"/>
                <w:sz w:val="24"/>
                <w:szCs w:val="24"/>
                <w:lang w:val="en-US" w:eastAsia="zh-CN"/>
              </w:rPr>
              <w:t>为减少项目对土壤的污染，应采取以下防治措施：</w:t>
            </w:r>
          </w:p>
          <w:p w14:paraId="14CFC2C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b w:val="0"/>
                <w:bCs w:val="0"/>
                <w:snapToGrid/>
                <w:color w:val="auto"/>
                <w:spacing w:val="0"/>
                <w:kern w:val="0"/>
                <w:position w:val="0"/>
                <w:sz w:val="24"/>
                <w:szCs w:val="24"/>
                <w:lang w:val="en-US" w:eastAsia="zh-CN"/>
              </w:rPr>
            </w:pPr>
            <w:r>
              <w:rPr>
                <w:rFonts w:hint="eastAsia"/>
                <w:b w:val="0"/>
                <w:bCs w:val="0"/>
                <w:snapToGrid/>
                <w:color w:val="auto"/>
                <w:spacing w:val="0"/>
                <w:kern w:val="0"/>
                <w:position w:val="0"/>
                <w:sz w:val="24"/>
                <w:szCs w:val="24"/>
                <w:lang w:val="en-US" w:eastAsia="zh-CN"/>
              </w:rPr>
              <w:t>（1）源头控制：严格控制项目生产过程中废气的产生量，应严格控制污染物排放，按照废气处理措施要求处理，确保废气处理达到相应的标准要求。土壤的污染多半是大气沉降影响，因此还应杜绝废气事故排放的发生。</w:t>
            </w:r>
          </w:p>
          <w:p w14:paraId="595E8413">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b w:val="0"/>
                <w:bCs w:val="0"/>
                <w:snapToGrid/>
                <w:color w:val="auto"/>
                <w:spacing w:val="0"/>
                <w:kern w:val="0"/>
                <w:position w:val="0"/>
                <w:sz w:val="24"/>
                <w:szCs w:val="24"/>
                <w:lang w:val="en-US" w:eastAsia="zh-CN"/>
              </w:rPr>
            </w:pPr>
            <w:r>
              <w:rPr>
                <w:rFonts w:hint="eastAsia"/>
                <w:b w:val="0"/>
                <w:bCs w:val="0"/>
                <w:snapToGrid/>
                <w:color w:val="auto"/>
                <w:spacing w:val="0"/>
                <w:kern w:val="0"/>
                <w:position w:val="0"/>
                <w:sz w:val="24"/>
                <w:szCs w:val="24"/>
                <w:lang w:val="en-US" w:eastAsia="zh-CN"/>
              </w:rPr>
              <w:t>（2）过程防控措施：做好厂区防渗措施，按照防渗要求，采取严格的基础防渗措施，重点防渗区防渗层厚度相当于防渗透系数</w:t>
            </w:r>
            <w:r>
              <w:rPr>
                <w:rFonts w:hint="default" w:ascii="Times New Roman" w:hAnsi="Times New Roman" w:cs="Times New Roman"/>
                <w:b w:val="0"/>
                <w:bCs w:val="0"/>
                <w:snapToGrid/>
                <w:color w:val="auto"/>
                <w:spacing w:val="0"/>
                <w:kern w:val="0"/>
                <w:position w:val="0"/>
                <w:sz w:val="24"/>
                <w:szCs w:val="24"/>
                <w:lang w:val="en-US" w:eastAsia="zh-CN"/>
              </w:rPr>
              <w:t>≤</w:t>
            </w:r>
            <w:r>
              <w:rPr>
                <w:rFonts w:hint="eastAsia"/>
                <w:b w:val="0"/>
                <w:bCs w:val="0"/>
                <w:snapToGrid/>
                <w:color w:val="auto"/>
                <w:spacing w:val="0"/>
                <w:kern w:val="0"/>
                <w:position w:val="0"/>
                <w:sz w:val="24"/>
                <w:szCs w:val="24"/>
                <w:lang w:val="en-US" w:eastAsia="zh-CN"/>
              </w:rPr>
              <w:t>10—</w:t>
            </w:r>
            <w:r>
              <w:rPr>
                <w:rFonts w:hint="eastAsia"/>
                <w:b w:val="0"/>
                <w:bCs w:val="0"/>
                <w:snapToGrid/>
                <w:color w:val="auto"/>
                <w:spacing w:val="0"/>
                <w:kern w:val="0"/>
                <w:position w:val="0"/>
                <w:sz w:val="24"/>
                <w:szCs w:val="24"/>
                <w:vertAlign w:val="superscript"/>
                <w:lang w:val="en-US" w:eastAsia="zh-CN"/>
              </w:rPr>
              <w:t>7</w:t>
            </w:r>
            <w:r>
              <w:rPr>
                <w:rFonts w:hint="eastAsia"/>
                <w:b w:val="0"/>
                <w:bCs w:val="0"/>
                <w:snapToGrid/>
                <w:color w:val="auto"/>
                <w:spacing w:val="0"/>
                <w:kern w:val="0"/>
                <w:position w:val="0"/>
                <w:sz w:val="24"/>
                <w:szCs w:val="24"/>
                <w:lang w:val="en-US" w:eastAsia="zh-CN"/>
              </w:rPr>
              <w:t>cm/s和厚度6m的黏土层的防渗性能。其他区域做好水泥防渗处理，以防止土壤环境污染；加强管理，防止意外事故发生，以防止土壤环境污染。</w:t>
            </w:r>
          </w:p>
          <w:p w14:paraId="4A61627A">
            <w:pPr>
              <w:pStyle w:val="2"/>
              <w:keepNext w:val="0"/>
              <w:keepLines w:val="0"/>
              <w:pageBreakBefore w:val="0"/>
              <w:widowControl/>
              <w:kinsoku/>
              <w:wordWrap/>
              <w:overflowPunct/>
              <w:topLinePunct w:val="0"/>
              <w:autoSpaceDE/>
              <w:autoSpaceDN/>
              <w:bidi w:val="0"/>
              <w:adjustRightInd w:val="0"/>
              <w:snapToGrid w:val="0"/>
              <w:spacing w:before="0" w:after="0" w:line="360" w:lineRule="auto"/>
              <w:ind w:right="0" w:firstLine="482" w:firstLineChars="200"/>
              <w:textAlignment w:val="auto"/>
              <w:rPr>
                <w:rFonts w:hint="default"/>
                <w:b/>
                <w:bCs/>
                <w:snapToGrid/>
                <w:color w:val="auto"/>
                <w:spacing w:val="0"/>
                <w:kern w:val="0"/>
                <w:position w:val="0"/>
                <w:sz w:val="24"/>
                <w:szCs w:val="24"/>
                <w:lang w:val="en-US" w:eastAsia="zh-CN"/>
              </w:rPr>
            </w:pPr>
            <w:r>
              <w:rPr>
                <w:rFonts w:hint="default"/>
                <w:b/>
                <w:bCs/>
                <w:snapToGrid/>
                <w:color w:val="auto"/>
                <w:spacing w:val="0"/>
                <w:kern w:val="0"/>
                <w:position w:val="0"/>
                <w:sz w:val="24"/>
                <w:szCs w:val="24"/>
                <w:lang w:val="en-US" w:eastAsia="zh-CN"/>
              </w:rPr>
              <w:t>跟踪监测要求</w:t>
            </w:r>
            <w:r>
              <w:rPr>
                <w:rFonts w:hint="eastAsia"/>
                <w:b/>
                <w:bCs/>
                <w:snapToGrid/>
                <w:color w:val="auto"/>
                <w:spacing w:val="0"/>
                <w:kern w:val="0"/>
                <w:position w:val="0"/>
                <w:sz w:val="24"/>
                <w:szCs w:val="24"/>
                <w:lang w:val="en-US" w:eastAsia="zh-CN"/>
              </w:rPr>
              <w:t>：</w:t>
            </w:r>
          </w:p>
          <w:p w14:paraId="0D3949C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b w:val="0"/>
                <w:bCs w:val="0"/>
                <w:snapToGrid/>
                <w:color w:val="auto"/>
                <w:spacing w:val="0"/>
                <w:kern w:val="0"/>
                <w:position w:val="0"/>
                <w:sz w:val="24"/>
                <w:szCs w:val="24"/>
                <w:lang w:val="en-US" w:eastAsia="zh-CN"/>
              </w:rPr>
            </w:pPr>
            <w:r>
              <w:rPr>
                <w:rFonts w:hint="eastAsia"/>
                <w:b w:val="0"/>
                <w:bCs w:val="0"/>
                <w:snapToGrid/>
                <w:color w:val="auto"/>
                <w:spacing w:val="0"/>
                <w:kern w:val="0"/>
                <w:position w:val="0"/>
                <w:sz w:val="24"/>
                <w:szCs w:val="24"/>
                <w:lang w:val="en-US" w:eastAsia="zh-CN"/>
              </w:rPr>
              <w:t>本项目不对土壤环境进行跟踪监测。</w:t>
            </w:r>
          </w:p>
          <w:p w14:paraId="1C57472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bCs/>
                <w:snapToGrid/>
                <w:color w:val="auto"/>
                <w:spacing w:val="0"/>
                <w:kern w:val="0"/>
                <w:position w:val="0"/>
                <w:sz w:val="24"/>
                <w:szCs w:val="24"/>
                <w:highlight w:val="none"/>
                <w:lang w:val="en-US" w:eastAsia="zh-CN"/>
              </w:rPr>
            </w:pPr>
            <w:r>
              <w:rPr>
                <w:rFonts w:hint="eastAsia" w:cs="Times New Roman"/>
                <w:b/>
                <w:bCs/>
                <w:snapToGrid/>
                <w:color w:val="auto"/>
                <w:spacing w:val="0"/>
                <w:kern w:val="0"/>
                <w:position w:val="0"/>
                <w:sz w:val="24"/>
                <w:szCs w:val="24"/>
                <w:highlight w:val="none"/>
                <w:lang w:val="en-US" w:eastAsia="zh-CN"/>
              </w:rPr>
              <w:t>6.</w:t>
            </w:r>
            <w:r>
              <w:rPr>
                <w:rFonts w:hint="default" w:ascii="Times New Roman" w:hAnsi="Times New Roman" w:eastAsia="宋体" w:cs="Times New Roman"/>
                <w:b/>
                <w:bCs/>
                <w:snapToGrid/>
                <w:color w:val="auto"/>
                <w:spacing w:val="0"/>
                <w:kern w:val="0"/>
                <w:position w:val="0"/>
                <w:sz w:val="24"/>
                <w:szCs w:val="24"/>
                <w:highlight w:val="none"/>
                <w:lang w:val="en-US" w:eastAsia="zh-CN"/>
              </w:rPr>
              <w:t>环境风险</w:t>
            </w:r>
          </w:p>
          <w:p w14:paraId="55C461D9">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Times New Roman" w:hAnsi="Times New Roman" w:cs="Times New Roman"/>
                <w:b/>
                <w:bCs/>
                <w:snapToGrid/>
                <w:color w:val="auto"/>
                <w:spacing w:val="0"/>
                <w:kern w:val="0"/>
                <w:position w:val="0"/>
                <w:sz w:val="24"/>
                <w:szCs w:val="24"/>
                <w:highlight w:val="none"/>
                <w:lang w:val="en-US" w:eastAsia="zh-CN"/>
              </w:rPr>
            </w:pPr>
            <w:r>
              <w:rPr>
                <w:rFonts w:hint="default" w:ascii="Times New Roman" w:hAnsi="Times New Roman" w:cs="Times New Roman"/>
                <w:b/>
                <w:bCs/>
                <w:snapToGrid/>
                <w:color w:val="auto"/>
                <w:spacing w:val="0"/>
                <w:kern w:val="0"/>
                <w:position w:val="0"/>
                <w:sz w:val="24"/>
                <w:szCs w:val="24"/>
                <w:highlight w:val="none"/>
                <w:lang w:val="en-US" w:eastAsia="zh-CN"/>
              </w:rPr>
              <w:t>评价依据</w:t>
            </w:r>
            <w:r>
              <w:rPr>
                <w:rFonts w:hint="eastAsia" w:ascii="Times New Roman" w:hAnsi="Times New Roman" w:cs="Times New Roman"/>
                <w:b/>
                <w:bCs/>
                <w:snapToGrid/>
                <w:color w:val="auto"/>
                <w:spacing w:val="0"/>
                <w:kern w:val="0"/>
                <w:position w:val="0"/>
                <w:sz w:val="24"/>
                <w:szCs w:val="24"/>
                <w:highlight w:val="none"/>
                <w:lang w:val="en-US" w:eastAsia="zh-CN"/>
              </w:rPr>
              <w:t>：</w:t>
            </w:r>
          </w:p>
          <w:p w14:paraId="66CA44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lang w:val="en-US" w:eastAsia="zh-CN"/>
              </w:rPr>
            </w:pPr>
            <w:r>
              <w:rPr>
                <w:rFonts w:hint="eastAsia" w:ascii="Times New Roman" w:hAnsi="Times New Roman" w:cs="Times New Roman"/>
                <w:snapToGrid/>
                <w:color w:val="000000" w:themeColor="text1"/>
                <w:spacing w:val="0"/>
                <w:kern w:val="0"/>
                <w:position w:val="0"/>
                <w:sz w:val="24"/>
                <w:szCs w:val="24"/>
                <w:highlight w:val="none"/>
                <w:lang w:val="en-US" w:eastAsia="zh-CN"/>
                <w14:textFill>
                  <w14:solidFill>
                    <w14:schemeClr w14:val="tx1"/>
                  </w14:solidFill>
                </w14:textFill>
              </w:rPr>
              <w:t>（1）</w:t>
            </w:r>
            <w:r>
              <w:rPr>
                <w:rFonts w:hint="default" w:ascii="Times New Roman" w:hAnsi="Times New Roman" w:cs="Times New Roman"/>
                <w:snapToGrid/>
                <w:color w:val="000000" w:themeColor="text1"/>
                <w:spacing w:val="0"/>
                <w:kern w:val="0"/>
                <w:position w:val="0"/>
                <w:sz w:val="24"/>
                <w:szCs w:val="24"/>
                <w:highlight w:val="none"/>
                <w:lang w:val="en-US" w:eastAsia="zh-CN"/>
                <w14:textFill>
                  <w14:solidFill>
                    <w14:schemeClr w14:val="tx1"/>
                  </w14:solidFill>
                </w14:textFill>
              </w:rPr>
              <w:t>风险调查</w:t>
            </w:r>
          </w:p>
          <w:p w14:paraId="5E3496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napToGrid/>
                <w:color w:val="auto"/>
                <w:spacing w:val="0"/>
                <w:kern w:val="0"/>
                <w:position w:val="0"/>
                <w:sz w:val="24"/>
                <w:szCs w:val="24"/>
                <w:highlight w:val="none"/>
                <w:lang w:val="en-US" w:eastAsia="zh-CN"/>
              </w:rPr>
            </w:pPr>
            <w:r>
              <w:rPr>
                <w:rFonts w:hint="eastAsia" w:ascii="Times New Roman" w:hAnsi="Times New Roman" w:cs="Times New Roman"/>
                <w:snapToGrid/>
                <w:color w:val="auto"/>
                <w:spacing w:val="0"/>
                <w:kern w:val="0"/>
                <w:position w:val="0"/>
                <w:sz w:val="24"/>
                <w:szCs w:val="24"/>
                <w:highlight w:val="none"/>
                <w:lang w:val="en-US" w:eastAsia="zh-CN"/>
              </w:rPr>
              <w:t>1）</w:t>
            </w:r>
            <w:r>
              <w:rPr>
                <w:rFonts w:hint="default" w:ascii="Times New Roman" w:hAnsi="Times New Roman" w:cs="Times New Roman"/>
                <w:snapToGrid/>
                <w:color w:val="auto"/>
                <w:spacing w:val="0"/>
                <w:kern w:val="0"/>
                <w:position w:val="0"/>
                <w:sz w:val="24"/>
                <w:szCs w:val="24"/>
                <w:highlight w:val="none"/>
                <w:lang w:val="en-US" w:eastAsia="zh-CN"/>
              </w:rPr>
              <w:t>物质风险性调查</w:t>
            </w:r>
          </w:p>
          <w:p w14:paraId="6474D3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napToGrid/>
                <w:color w:val="auto"/>
                <w:spacing w:val="0"/>
                <w:kern w:val="0"/>
                <w:position w:val="0"/>
                <w:sz w:val="24"/>
                <w:szCs w:val="24"/>
                <w:highlight w:val="none"/>
                <w:lang w:val="en-US" w:eastAsia="zh-CN"/>
              </w:rPr>
            </w:pPr>
            <w:r>
              <w:rPr>
                <w:rFonts w:hint="eastAsia" w:ascii="Times New Roman" w:hAnsi="Times New Roman" w:eastAsia="宋体"/>
                <w:color w:val="auto"/>
                <w:sz w:val="24"/>
              </w:rPr>
              <w:t>本次评价将针对项目涉及的原辅材料、三废、产品等进行物质危险性识别，根据《建设项目环境风险评价技术导则》（HJ/T169-2018）附录B及《重大危险源辨识》（GB18218-2018），</w:t>
            </w:r>
            <w:r>
              <w:rPr>
                <w:rFonts w:hint="eastAsia" w:cs="Times New Roman"/>
                <w:snapToGrid/>
                <w:color w:val="auto"/>
                <w:spacing w:val="0"/>
                <w:kern w:val="0"/>
                <w:position w:val="0"/>
                <w:sz w:val="24"/>
                <w:szCs w:val="24"/>
                <w:highlight w:val="none"/>
                <w:lang w:val="en-US" w:eastAsia="zh-CN"/>
              </w:rPr>
              <w:t>本项目</w:t>
            </w:r>
            <w:r>
              <w:rPr>
                <w:rFonts w:hint="default" w:ascii="Times New Roman" w:hAnsi="Times New Roman" w:cs="Times New Roman"/>
                <w:color w:val="auto"/>
                <w:sz w:val="24"/>
                <w:szCs w:val="24"/>
                <w:lang w:val="en-US" w:eastAsia="zh-CN"/>
              </w:rPr>
              <w:t>的危险物质为</w:t>
            </w:r>
            <w:r>
              <w:rPr>
                <w:rFonts w:hint="eastAsia" w:cs="Times New Roman"/>
                <w:snapToGrid/>
                <w:color w:val="auto"/>
                <w:spacing w:val="0"/>
                <w:kern w:val="0"/>
                <w:position w:val="0"/>
                <w:sz w:val="24"/>
                <w:szCs w:val="24"/>
                <w:highlight w:val="none"/>
                <w:lang w:val="en-US" w:eastAsia="zh-CN"/>
              </w:rPr>
              <w:t>润滑油</w:t>
            </w:r>
            <w:r>
              <w:rPr>
                <w:rFonts w:hint="default" w:ascii="Times New Roman" w:hAnsi="Times New Roman" w:cs="Times New Roman"/>
                <w:snapToGrid/>
                <w:color w:val="auto"/>
                <w:spacing w:val="0"/>
                <w:kern w:val="0"/>
                <w:position w:val="0"/>
                <w:sz w:val="24"/>
                <w:szCs w:val="24"/>
                <w:highlight w:val="none"/>
                <w:lang w:val="en-US" w:eastAsia="zh-CN"/>
              </w:rPr>
              <w:t>。</w:t>
            </w:r>
          </w:p>
          <w:p w14:paraId="4EA3D8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napToGrid/>
                <w:color w:val="auto"/>
                <w:spacing w:val="0"/>
                <w:kern w:val="0"/>
                <w:position w:val="0"/>
                <w:sz w:val="24"/>
                <w:szCs w:val="24"/>
                <w:highlight w:val="none"/>
                <w:lang w:val="en-US" w:eastAsia="zh-CN"/>
              </w:rPr>
            </w:pPr>
            <w:r>
              <w:rPr>
                <w:rFonts w:hint="default" w:ascii="Times New Roman" w:hAnsi="Times New Roman" w:cs="Times New Roman"/>
                <w:snapToGrid/>
                <w:color w:val="auto"/>
                <w:spacing w:val="0"/>
                <w:kern w:val="0"/>
                <w:position w:val="0"/>
                <w:sz w:val="24"/>
                <w:szCs w:val="24"/>
                <w:highlight w:val="none"/>
                <w:lang w:val="en-US" w:eastAsia="zh-CN"/>
              </w:rPr>
              <w:t>2）生产工艺危险性调查</w:t>
            </w:r>
          </w:p>
          <w:p w14:paraId="7C2FA7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napToGrid/>
                <w:color w:val="auto"/>
                <w:spacing w:val="0"/>
                <w:kern w:val="0"/>
                <w:position w:val="0"/>
                <w:sz w:val="24"/>
                <w:szCs w:val="24"/>
                <w:highlight w:val="none"/>
                <w:lang w:val="en-US" w:eastAsia="zh-CN"/>
              </w:rPr>
            </w:pPr>
            <w:r>
              <w:rPr>
                <w:rFonts w:hint="default" w:ascii="Times New Roman" w:hAnsi="Times New Roman" w:cs="Times New Roman"/>
                <w:snapToGrid/>
                <w:color w:val="auto"/>
                <w:spacing w:val="0"/>
                <w:kern w:val="0"/>
                <w:position w:val="0"/>
                <w:sz w:val="24"/>
                <w:szCs w:val="24"/>
                <w:highlight w:val="none"/>
                <w:lang w:val="en-US" w:eastAsia="zh-CN"/>
              </w:rPr>
              <w:t>本项目主要生产工艺为</w:t>
            </w:r>
            <w:r>
              <w:rPr>
                <w:rFonts w:hint="eastAsia" w:cs="Times New Roman"/>
                <w:snapToGrid/>
                <w:color w:val="auto"/>
                <w:spacing w:val="0"/>
                <w:kern w:val="0"/>
                <w:position w:val="0"/>
                <w:sz w:val="24"/>
                <w:szCs w:val="24"/>
                <w:highlight w:val="none"/>
                <w:lang w:val="en-US" w:eastAsia="zh-CN"/>
              </w:rPr>
              <w:t>融熔挤出、压花、冷却定型、牵引切割、砂光打磨等工艺</w:t>
            </w:r>
            <w:r>
              <w:rPr>
                <w:rFonts w:hint="default" w:ascii="Times New Roman" w:hAnsi="Times New Roman" w:cs="Times New Roman"/>
                <w:snapToGrid/>
                <w:color w:val="auto"/>
                <w:spacing w:val="0"/>
                <w:kern w:val="0"/>
                <w:position w:val="0"/>
                <w:sz w:val="24"/>
                <w:szCs w:val="24"/>
                <w:highlight w:val="none"/>
                <w:lang w:val="en-US" w:eastAsia="zh-CN"/>
              </w:rPr>
              <w:t>，不涉及</w:t>
            </w:r>
            <w:r>
              <w:rPr>
                <w:rFonts w:hint="eastAsia" w:cs="Times New Roman"/>
                <w:snapToGrid/>
                <w:color w:val="auto"/>
                <w:spacing w:val="0"/>
                <w:kern w:val="0"/>
                <w:position w:val="0"/>
                <w:sz w:val="24"/>
                <w:szCs w:val="24"/>
                <w:highlight w:val="none"/>
                <w:lang w:val="en-US" w:eastAsia="zh-CN"/>
              </w:rPr>
              <w:t>高温、</w:t>
            </w:r>
            <w:r>
              <w:rPr>
                <w:rFonts w:hint="default" w:ascii="Times New Roman" w:hAnsi="Times New Roman" w:cs="Times New Roman"/>
                <w:snapToGrid/>
                <w:color w:val="auto"/>
                <w:spacing w:val="0"/>
                <w:kern w:val="0"/>
                <w:position w:val="0"/>
                <w:sz w:val="24"/>
                <w:szCs w:val="24"/>
                <w:highlight w:val="none"/>
                <w:lang w:val="en-US" w:eastAsia="zh-CN"/>
              </w:rPr>
              <w:t>高压等工艺过程，且不涉及危险物质的使用及贮存，无《建设项目环境风险评价技术导则》（HJ/T169-2018）附录C，表C.1中列明的工艺过程。</w:t>
            </w:r>
          </w:p>
          <w:p w14:paraId="00EB40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color w:val="auto"/>
                <w:lang w:val="en-US" w:eastAsia="zh-CN"/>
              </w:rPr>
            </w:pPr>
            <w:r>
              <w:rPr>
                <w:rFonts w:hint="default" w:ascii="Times New Roman" w:hAnsi="Times New Roman" w:cs="Times New Roman"/>
                <w:snapToGrid/>
                <w:color w:val="auto"/>
                <w:spacing w:val="0"/>
                <w:kern w:val="0"/>
                <w:position w:val="0"/>
                <w:sz w:val="24"/>
                <w:szCs w:val="24"/>
                <w:highlight w:val="none"/>
                <w:lang w:val="en-US" w:eastAsia="zh-CN"/>
              </w:rPr>
              <w:t>故本项目生产工艺不存在重大危险性。</w:t>
            </w:r>
          </w:p>
          <w:p w14:paraId="3F134F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风险潜势初判</w:t>
            </w:r>
          </w:p>
          <w:p w14:paraId="316CF5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计算所涉及的每种危险物质在厂界内的最大存在总量与其在《建设项目环境风险评价技术导则》（HJ169-2018）附录B中对应临界量的比值Q。在不同厂区的同一种物质，按其在厂界内的最大存在总量计算。</w:t>
            </w:r>
          </w:p>
          <w:p w14:paraId="0D32AB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当只涉及一种危险物质时，计算该物质的总量与其临界量比值，即为Q；</w:t>
            </w:r>
          </w:p>
          <w:p w14:paraId="6D4059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当存在多种危险物质时，则按下式计算物质总量与其临界量比值Q；</w:t>
            </w:r>
          </w:p>
          <w:p w14:paraId="7ACCFBD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position w:val="-30"/>
                <w:sz w:val="24"/>
                <w:szCs w:val="24"/>
                <w:highlight w:val="none"/>
                <w:lang w:val="en-US" w:eastAsia="zh-CN"/>
              </w:rPr>
              <w:object>
                <v:shape id="_x0000_i1028" o:spt="75" type="#_x0000_t75" style="height:34pt;width:100pt;" o:ole="t" filled="f" o:preferrelative="t" stroked="f" coordsize="21600,21600">
                  <v:path/>
                  <v:fill on="f" focussize="0,0"/>
                  <v:stroke on="f"/>
                  <v:imagedata r:id="rId23" o:title=""/>
                  <o:lock v:ext="edit" aspectratio="t"/>
                  <w10:wrap type="none"/>
                  <w10:anchorlock/>
                </v:shape>
                <o:OLEObject Type="Embed" ProgID="Equation.KSEE3" ShapeID="_x0000_i1028" DrawAspect="Content" ObjectID="_1468075728" r:id="rId22">
                  <o:LockedField>false</o:LockedField>
                </o:OLEObject>
              </w:object>
            </w:r>
          </w:p>
          <w:p w14:paraId="167FB26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式中：q</w:t>
            </w:r>
            <w:r>
              <w:rPr>
                <w:rFonts w:hint="default" w:ascii="Times New Roman" w:hAnsi="Times New Roman" w:cs="Times New Roman"/>
                <w:color w:val="auto"/>
                <w:sz w:val="24"/>
                <w:szCs w:val="24"/>
                <w:highlight w:val="none"/>
                <w:vertAlign w:val="subscript"/>
                <w:lang w:val="en-US" w:eastAsia="zh-CN"/>
              </w:rPr>
              <w:t>1</w:t>
            </w:r>
            <w:r>
              <w:rPr>
                <w:rFonts w:hint="default" w:ascii="Times New Roman" w:hAnsi="Times New Roman" w:cs="Times New Roman"/>
                <w:color w:val="auto"/>
                <w:sz w:val="24"/>
                <w:szCs w:val="24"/>
                <w:highlight w:val="none"/>
                <w:lang w:val="en-US" w:eastAsia="zh-CN"/>
              </w:rPr>
              <w:t>、q</w:t>
            </w:r>
            <w:r>
              <w:rPr>
                <w:rFonts w:hint="default" w:ascii="Times New Roman" w:hAnsi="Times New Roman" w:cs="Times New Roman"/>
                <w:color w:val="auto"/>
                <w:sz w:val="24"/>
                <w:szCs w:val="24"/>
                <w:highlight w:val="none"/>
                <w:vertAlign w:val="subscript"/>
                <w:lang w:val="en-US" w:eastAsia="zh-CN"/>
              </w:rPr>
              <w:t>2</w:t>
            </w:r>
            <w:r>
              <w:rPr>
                <w:rFonts w:hint="default" w:ascii="Times New Roman" w:hAnsi="Times New Roman" w:cs="Times New Roman"/>
                <w:color w:val="auto"/>
                <w:sz w:val="24"/>
                <w:szCs w:val="24"/>
                <w:highlight w:val="none"/>
                <w:lang w:val="en-US" w:eastAsia="zh-CN"/>
              </w:rPr>
              <w:t>…q</w:t>
            </w:r>
            <w:r>
              <w:rPr>
                <w:rFonts w:hint="default" w:ascii="Times New Roman" w:hAnsi="Times New Roman" w:cs="Times New Roman"/>
                <w:color w:val="auto"/>
                <w:sz w:val="24"/>
                <w:szCs w:val="24"/>
                <w:highlight w:val="none"/>
                <w:vertAlign w:val="subscript"/>
                <w:lang w:val="en-US" w:eastAsia="zh-CN"/>
              </w:rPr>
              <w:t>n</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lang w:eastAsia="zh-CN"/>
              </w:rPr>
              <w:t>每种危险废物实际存在量，</w:t>
            </w:r>
            <w:r>
              <w:rPr>
                <w:rFonts w:hint="default" w:ascii="Times New Roman" w:hAnsi="Times New Roman" w:cs="Times New Roman"/>
                <w:color w:val="auto"/>
                <w:sz w:val="24"/>
                <w:szCs w:val="24"/>
                <w:highlight w:val="none"/>
                <w:lang w:val="en-US" w:eastAsia="zh-CN"/>
              </w:rPr>
              <w:t>t。</w:t>
            </w:r>
          </w:p>
          <w:p w14:paraId="64D74C6E">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Q</w:t>
            </w:r>
            <w:r>
              <w:rPr>
                <w:rFonts w:hint="default" w:ascii="Times New Roman" w:hAnsi="Times New Roman" w:cs="Times New Roman"/>
                <w:color w:val="auto"/>
                <w:sz w:val="24"/>
                <w:szCs w:val="24"/>
                <w:highlight w:val="none"/>
                <w:vertAlign w:val="subscript"/>
                <w:lang w:val="en-US" w:eastAsia="zh-CN"/>
              </w:rPr>
              <w:t>1</w:t>
            </w:r>
            <w:r>
              <w:rPr>
                <w:rFonts w:hint="default" w:ascii="Times New Roman" w:hAnsi="Times New Roman" w:cs="Times New Roman"/>
                <w:color w:val="auto"/>
                <w:sz w:val="24"/>
                <w:szCs w:val="24"/>
                <w:highlight w:val="none"/>
                <w:lang w:val="en-US" w:eastAsia="zh-CN"/>
              </w:rPr>
              <w:t>、Q</w:t>
            </w:r>
            <w:r>
              <w:rPr>
                <w:rFonts w:hint="default" w:ascii="Times New Roman" w:hAnsi="Times New Roman" w:cs="Times New Roman"/>
                <w:color w:val="auto"/>
                <w:sz w:val="24"/>
                <w:szCs w:val="24"/>
                <w:highlight w:val="none"/>
                <w:vertAlign w:val="subscript"/>
                <w:lang w:val="en-US" w:eastAsia="zh-CN"/>
              </w:rPr>
              <w:t>2</w:t>
            </w:r>
            <w:r>
              <w:rPr>
                <w:rFonts w:hint="default" w:ascii="Times New Roman" w:hAnsi="Times New Roman" w:cs="Times New Roman"/>
                <w:color w:val="auto"/>
                <w:sz w:val="24"/>
                <w:szCs w:val="24"/>
                <w:highlight w:val="none"/>
                <w:lang w:val="en-US" w:eastAsia="zh-CN"/>
              </w:rPr>
              <w:t>…Q</w:t>
            </w:r>
            <w:r>
              <w:rPr>
                <w:rFonts w:hint="default" w:ascii="Times New Roman" w:hAnsi="Times New Roman" w:cs="Times New Roman"/>
                <w:color w:val="auto"/>
                <w:sz w:val="24"/>
                <w:szCs w:val="24"/>
                <w:highlight w:val="none"/>
                <w:vertAlign w:val="subscript"/>
                <w:lang w:val="en-US" w:eastAsia="zh-CN"/>
              </w:rPr>
              <w:t>n</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——与各危险物质相对应的生产场所或贮存区的临界量，t。</w:t>
            </w:r>
          </w:p>
          <w:p w14:paraId="77F6C927">
            <w:pPr>
              <w:pStyle w:val="31"/>
              <w:keepNext w:val="0"/>
              <w:keepLines w:val="0"/>
              <w:pageBreakBefore w:val="0"/>
              <w:widowControl w:val="0"/>
              <w:kinsoku/>
              <w:wordWrap/>
              <w:overflowPunct/>
              <w:topLinePunct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当</w:t>
            </w:r>
            <w:r>
              <w:rPr>
                <w:rFonts w:hint="default" w:ascii="Times New Roman" w:hAnsi="Times New Roman" w:eastAsia="宋体" w:cs="Times New Roman"/>
                <w:color w:val="auto"/>
                <w:sz w:val="24"/>
                <w:szCs w:val="24"/>
                <w:highlight w:val="none"/>
                <w:lang w:val="en-US" w:eastAsia="zh-CN"/>
              </w:rPr>
              <w:t>Q&lt;1时，该项目风险潜势为Ⅰ。</w:t>
            </w:r>
          </w:p>
          <w:p w14:paraId="588ACB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当Q≥1时，将Q值划分为：（1）1≤Q&lt;10；（2）10≤Q&lt;100；（3）Q≥100。</w:t>
            </w:r>
          </w:p>
          <w:p w14:paraId="3FC4DC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bCs/>
                <w:color w:val="auto"/>
                <w:kern w:val="2"/>
                <w:sz w:val="24"/>
                <w:szCs w:val="28"/>
                <w:lang w:val="en-US" w:eastAsia="zh-CN" w:bidi="ar-SA"/>
              </w:rPr>
            </w:pPr>
            <w:r>
              <w:rPr>
                <w:rFonts w:hint="default" w:ascii="Times New Roman" w:hAnsi="Times New Roman" w:cs="Times New Roman"/>
                <w:color w:val="auto"/>
                <w:sz w:val="24"/>
                <w:szCs w:val="24"/>
                <w:lang w:val="en-US" w:eastAsia="zh-CN"/>
              </w:rPr>
              <w:t>《建设项目环境风险评价技术导则》（HJ</w:t>
            </w:r>
            <w:r>
              <w:rPr>
                <w:rFonts w:hint="eastAsia" w:cs="Times New Roman"/>
                <w:color w:val="auto"/>
                <w:sz w:val="24"/>
                <w:szCs w:val="24"/>
                <w:lang w:val="en-US" w:eastAsia="zh-CN"/>
              </w:rPr>
              <w:t xml:space="preserve"> </w:t>
            </w:r>
            <w:r>
              <w:rPr>
                <w:rFonts w:hint="default" w:ascii="Times New Roman" w:hAnsi="Times New Roman" w:cs="Times New Roman"/>
                <w:color w:val="auto"/>
                <w:sz w:val="24"/>
                <w:szCs w:val="24"/>
                <w:lang w:val="en-US" w:eastAsia="zh-CN"/>
              </w:rPr>
              <w:t>169-2018）中附录B表B.1、B.2</w:t>
            </w:r>
            <w:r>
              <w:rPr>
                <w:rFonts w:hint="default" w:ascii="Times New Roman" w:hAnsi="Times New Roman" w:eastAsia="宋体" w:cs="Times New Roman"/>
                <w:b w:val="0"/>
                <w:bCs w:val="0"/>
                <w:color w:val="auto"/>
                <w:kern w:val="2"/>
                <w:sz w:val="24"/>
                <w:szCs w:val="28"/>
                <w:lang w:val="en-US" w:eastAsia="zh-CN" w:bidi="ar-SA"/>
              </w:rPr>
              <w:t>，</w:t>
            </w:r>
            <w:r>
              <w:rPr>
                <w:rFonts w:hint="default" w:ascii="Times New Roman" w:hAnsi="Times New Roman" w:cs="Times New Roman"/>
                <w:color w:val="auto"/>
                <w:sz w:val="24"/>
                <w:szCs w:val="24"/>
                <w:lang w:val="en-US" w:eastAsia="zh-CN"/>
              </w:rPr>
              <w:t>确定本项目的危险物质为</w:t>
            </w:r>
            <w:r>
              <w:rPr>
                <w:rFonts w:hint="eastAsia" w:cs="Times New Roman"/>
                <w:color w:val="auto"/>
                <w:sz w:val="24"/>
                <w:szCs w:val="24"/>
                <w:lang w:val="en-US" w:eastAsia="zh-CN"/>
              </w:rPr>
              <w:t>润滑油</w:t>
            </w:r>
            <w:r>
              <w:rPr>
                <w:rFonts w:hint="eastAsia" w:ascii="Times New Roman" w:hAnsi="Times New Roman" w:cs="Times New Roman"/>
                <w:color w:val="auto"/>
                <w:sz w:val="24"/>
                <w:szCs w:val="24"/>
                <w:lang w:val="en-US" w:eastAsia="zh-CN"/>
              </w:rPr>
              <w:t>，</w:t>
            </w:r>
            <w:r>
              <w:rPr>
                <w:rFonts w:hint="default" w:ascii="Times New Roman" w:hAnsi="Times New Roman" w:eastAsia="宋体" w:cs="Times New Roman"/>
                <w:b w:val="0"/>
                <w:bCs w:val="0"/>
                <w:color w:val="auto"/>
                <w:kern w:val="2"/>
                <w:sz w:val="24"/>
                <w:szCs w:val="28"/>
                <w:lang w:val="en-US" w:eastAsia="zh-CN" w:bidi="ar-SA"/>
              </w:rPr>
              <w:t>其贮存量对应的临界量的对比情况见</w:t>
            </w:r>
            <w:r>
              <w:rPr>
                <w:rFonts w:hint="eastAsia" w:ascii="Times New Roman" w:hAnsi="Times New Roman" w:eastAsia="宋体" w:cs="Times New Roman"/>
                <w:b w:val="0"/>
                <w:bCs w:val="0"/>
                <w:color w:val="auto"/>
                <w:kern w:val="2"/>
                <w:sz w:val="24"/>
                <w:szCs w:val="28"/>
                <w:lang w:val="en-US" w:eastAsia="zh-CN" w:bidi="ar-SA"/>
              </w:rPr>
              <w:t>下表：</w:t>
            </w:r>
          </w:p>
          <w:p w14:paraId="6712C9E2">
            <w:pPr>
              <w:pStyle w:val="31"/>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eastAsia="宋体" w:cs="Times New Roman"/>
                <w:b/>
                <w:bCs/>
                <w:color w:val="auto"/>
                <w:kern w:val="2"/>
                <w:sz w:val="24"/>
                <w:szCs w:val="28"/>
                <w:lang w:val="en-US" w:eastAsia="zh-CN" w:bidi="ar-SA"/>
              </w:rPr>
            </w:pPr>
            <w:r>
              <w:rPr>
                <w:rFonts w:hint="eastAsia" w:ascii="Times New Roman" w:hAnsi="Times New Roman" w:eastAsia="宋体" w:cs="Times New Roman"/>
                <w:b/>
                <w:bCs/>
                <w:color w:val="auto"/>
                <w:kern w:val="2"/>
                <w:sz w:val="24"/>
                <w:szCs w:val="28"/>
                <w:lang w:val="en-US" w:eastAsia="zh-CN" w:bidi="ar-SA"/>
              </w:rPr>
              <w:t>表</w:t>
            </w:r>
            <w:r>
              <w:rPr>
                <w:rFonts w:hint="eastAsia" w:ascii="Times New Roman" w:hAnsi="Times New Roman" w:cs="Times New Roman"/>
                <w:b/>
                <w:bCs/>
                <w:color w:val="auto"/>
                <w:kern w:val="2"/>
                <w:sz w:val="24"/>
                <w:szCs w:val="28"/>
                <w:lang w:val="en-US" w:eastAsia="zh-CN" w:bidi="ar-SA"/>
              </w:rPr>
              <w:t>4.1</w:t>
            </w:r>
            <w:r>
              <w:rPr>
                <w:rFonts w:hint="eastAsia" w:cs="Times New Roman"/>
                <w:b/>
                <w:bCs/>
                <w:color w:val="auto"/>
                <w:kern w:val="2"/>
                <w:sz w:val="24"/>
                <w:szCs w:val="28"/>
                <w:lang w:val="en-US" w:eastAsia="zh-CN" w:bidi="ar-SA"/>
              </w:rPr>
              <w:t xml:space="preserve">7 </w:t>
            </w:r>
            <w:r>
              <w:rPr>
                <w:rFonts w:hint="eastAsia" w:ascii="Times New Roman" w:hAnsi="Times New Roman" w:eastAsia="宋体" w:cs="Times New Roman"/>
                <w:b/>
                <w:bCs/>
                <w:color w:val="auto"/>
                <w:kern w:val="2"/>
                <w:sz w:val="24"/>
                <w:szCs w:val="28"/>
                <w:lang w:val="en-US" w:eastAsia="zh-CN" w:bidi="ar-SA"/>
              </w:rPr>
              <w:t xml:space="preserve"> 危险物质</w:t>
            </w:r>
            <w:r>
              <w:rPr>
                <w:rFonts w:hint="default" w:ascii="Times New Roman" w:hAnsi="Times New Roman" w:eastAsia="宋体" w:cs="Times New Roman"/>
                <w:b/>
                <w:bCs/>
                <w:color w:val="auto"/>
                <w:kern w:val="2"/>
                <w:sz w:val="24"/>
                <w:szCs w:val="28"/>
                <w:lang w:val="en-US" w:eastAsia="zh-CN" w:bidi="ar-SA"/>
              </w:rPr>
              <w:t>临界量</w:t>
            </w:r>
            <w:r>
              <w:rPr>
                <w:rFonts w:hint="eastAsia" w:ascii="Times New Roman" w:hAnsi="Times New Roman" w:eastAsia="宋体" w:cs="Times New Roman"/>
                <w:b/>
                <w:bCs/>
                <w:color w:val="auto"/>
                <w:kern w:val="2"/>
                <w:sz w:val="24"/>
                <w:szCs w:val="28"/>
                <w:lang w:val="en-US" w:eastAsia="zh-CN" w:bidi="ar-SA"/>
              </w:rPr>
              <w:t>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3"/>
              <w:gridCol w:w="1094"/>
              <w:gridCol w:w="1254"/>
              <w:gridCol w:w="2124"/>
              <w:gridCol w:w="1426"/>
              <w:gridCol w:w="1221"/>
            </w:tblGrid>
            <w:tr w14:paraId="73CF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187" w:type="dxa"/>
                  <w:gridSpan w:val="2"/>
                  <w:tcBorders>
                    <w:tl2br w:val="nil"/>
                    <w:tr2bl w:val="nil"/>
                  </w:tcBorders>
                  <w:noWrap w:val="0"/>
                  <w:vAlign w:val="center"/>
                </w:tcPr>
                <w:p w14:paraId="76DC6921">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物质名称</w:t>
                  </w:r>
                </w:p>
              </w:tc>
              <w:tc>
                <w:tcPr>
                  <w:tcW w:w="1254" w:type="dxa"/>
                  <w:tcBorders>
                    <w:tl2br w:val="nil"/>
                    <w:tr2bl w:val="nil"/>
                  </w:tcBorders>
                  <w:noWrap w:val="0"/>
                  <w:vAlign w:val="center"/>
                </w:tcPr>
                <w:p w14:paraId="3516478C">
                  <w:pPr>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kern w:val="2"/>
                      <w:sz w:val="21"/>
                      <w:szCs w:val="21"/>
                      <w:vertAlign w:val="baseline"/>
                      <w:lang w:val="en-US" w:eastAsia="zh-CN" w:bidi="ar-SA"/>
                    </w:rPr>
                  </w:pPr>
                  <w:r>
                    <w:rPr>
                      <w:rFonts w:hint="default" w:ascii="Times New Roman" w:hAnsi="Times New Roman" w:eastAsia="宋体" w:cs="Times New Roman"/>
                      <w:b w:val="0"/>
                      <w:bCs/>
                      <w:color w:val="auto"/>
                      <w:sz w:val="21"/>
                      <w:szCs w:val="21"/>
                      <w:vertAlign w:val="baseline"/>
                      <w:lang w:val="zh-CN" w:eastAsia="zh-CN"/>
                    </w:rPr>
                    <w:t>CAS号</w:t>
                  </w:r>
                </w:p>
              </w:tc>
              <w:tc>
                <w:tcPr>
                  <w:tcW w:w="2124" w:type="dxa"/>
                  <w:tcBorders>
                    <w:tl2br w:val="nil"/>
                    <w:tr2bl w:val="nil"/>
                  </w:tcBorders>
                  <w:noWrap w:val="0"/>
                  <w:vAlign w:val="center"/>
                </w:tcPr>
                <w:p w14:paraId="4B01CBB7">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本项目最大储存量，t</w:t>
                  </w:r>
                </w:p>
              </w:tc>
              <w:tc>
                <w:tcPr>
                  <w:tcW w:w="1426" w:type="dxa"/>
                  <w:tcBorders>
                    <w:tl2br w:val="nil"/>
                    <w:tr2bl w:val="nil"/>
                  </w:tcBorders>
                  <w:noWrap w:val="0"/>
                  <w:vAlign w:val="center"/>
                </w:tcPr>
                <w:p w14:paraId="2C886D45">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临界量，t</w:t>
                  </w:r>
                </w:p>
              </w:tc>
              <w:tc>
                <w:tcPr>
                  <w:tcW w:w="1221" w:type="dxa"/>
                  <w:tcBorders>
                    <w:tl2br w:val="nil"/>
                    <w:tr2bl w:val="nil"/>
                  </w:tcBorders>
                  <w:noWrap w:val="0"/>
                  <w:vAlign w:val="center"/>
                </w:tcPr>
                <w:p w14:paraId="3F9D80CA">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eastAsia="Times New Roman" w:cs="Times New Roman"/>
                      <w:color w:val="auto"/>
                      <w:sz w:val="21"/>
                      <w:szCs w:val="21"/>
                    </w:rPr>
                    <w:t>q/Q</w:t>
                  </w:r>
                </w:p>
              </w:tc>
            </w:tr>
            <w:tr w14:paraId="30736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093" w:type="dxa"/>
                  <w:tcBorders>
                    <w:tl2br w:val="nil"/>
                    <w:tr2bl w:val="nil"/>
                  </w:tcBorders>
                  <w:noWrap w:val="0"/>
                  <w:vAlign w:val="center"/>
                </w:tcPr>
                <w:p w14:paraId="421FA02A">
                  <w:pPr>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油类物质（矿物油类，如石油、汽油、</w:t>
                  </w:r>
                </w:p>
                <w:p w14:paraId="4EE1E0F5">
                  <w:pPr>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柴油等；生物柴油等）</w:t>
                  </w:r>
                </w:p>
              </w:tc>
              <w:tc>
                <w:tcPr>
                  <w:tcW w:w="1094" w:type="dxa"/>
                  <w:tcBorders>
                    <w:tl2br w:val="nil"/>
                    <w:tr2bl w:val="nil"/>
                  </w:tcBorders>
                  <w:noWrap w:val="0"/>
                  <w:vAlign w:val="center"/>
                </w:tcPr>
                <w:p w14:paraId="103CF970">
                  <w:pPr>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润滑油</w:t>
                  </w:r>
                </w:p>
              </w:tc>
              <w:tc>
                <w:tcPr>
                  <w:tcW w:w="1254" w:type="dxa"/>
                  <w:tcBorders>
                    <w:tl2br w:val="nil"/>
                    <w:tr2bl w:val="nil"/>
                  </w:tcBorders>
                  <w:noWrap w:val="0"/>
                  <w:vAlign w:val="center"/>
                </w:tcPr>
                <w:p w14:paraId="45006D81">
                  <w:pPr>
                    <w:keepNext w:val="0"/>
                    <w:keepLines w:val="0"/>
                    <w:pageBreakBefore w:val="0"/>
                    <w:widowControl w:val="0"/>
                    <w:kinsoku/>
                    <w:wordWrap/>
                    <w:overflowPunct/>
                    <w:topLinePunct w:val="0"/>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color w:val="auto"/>
                      <w:kern w:val="2"/>
                      <w:sz w:val="21"/>
                      <w:szCs w:val="21"/>
                      <w:vertAlign w:val="baseline"/>
                      <w:lang w:val="en-US" w:eastAsia="zh-CN" w:bidi="ar-SA"/>
                    </w:rPr>
                  </w:pPr>
                  <w:r>
                    <w:rPr>
                      <w:rFonts w:hint="eastAsia" w:cs="Times New Roman"/>
                      <w:b w:val="0"/>
                      <w:bCs/>
                      <w:color w:val="auto"/>
                      <w:kern w:val="2"/>
                      <w:sz w:val="21"/>
                      <w:szCs w:val="21"/>
                      <w:vertAlign w:val="baseline"/>
                      <w:lang w:val="en-US" w:eastAsia="zh-CN" w:bidi="ar-SA"/>
                    </w:rPr>
                    <w:t>/</w:t>
                  </w:r>
                </w:p>
              </w:tc>
              <w:tc>
                <w:tcPr>
                  <w:tcW w:w="2124" w:type="dxa"/>
                  <w:tcBorders>
                    <w:tl2br w:val="nil"/>
                    <w:tr2bl w:val="nil"/>
                  </w:tcBorders>
                  <w:noWrap w:val="0"/>
                  <w:vAlign w:val="center"/>
                </w:tcPr>
                <w:p w14:paraId="53B87429">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0.05</w:t>
                  </w:r>
                </w:p>
              </w:tc>
              <w:tc>
                <w:tcPr>
                  <w:tcW w:w="1426" w:type="dxa"/>
                  <w:tcBorders>
                    <w:tl2br w:val="nil"/>
                    <w:tr2bl w:val="nil"/>
                  </w:tcBorders>
                  <w:noWrap w:val="0"/>
                  <w:vAlign w:val="center"/>
                </w:tcPr>
                <w:p w14:paraId="11ECA35F">
                  <w:pPr>
                    <w:pStyle w:val="31"/>
                    <w:keepNext w:val="0"/>
                    <w:keepLines w:val="0"/>
                    <w:pageBreakBefore w:val="0"/>
                    <w:widowControl w:val="0"/>
                    <w:kinsoku/>
                    <w:wordWrap/>
                    <w:overflowPunct/>
                    <w:topLinePunct w:val="0"/>
                    <w:autoSpaceDE w:val="0"/>
                    <w:autoSpaceDN w:val="0"/>
                    <w:bidi w:val="0"/>
                    <w:adjustRightInd w:val="0"/>
                    <w:snapToGrid w:val="0"/>
                    <w:spacing w:before="63" w:beforeLines="20" w:line="240" w:lineRule="auto"/>
                    <w:ind w:firstLine="0" w:firstLineChars="0"/>
                    <w:jc w:val="center"/>
                    <w:textAlignment w:val="auto"/>
                    <w:rPr>
                      <w:rFonts w:hint="default" w:ascii="Times New Roman" w:hAnsi="Times New Roman" w:cs="Times New Roman"/>
                      <w:color w:val="auto"/>
                      <w:sz w:val="21"/>
                      <w:szCs w:val="21"/>
                      <w:vertAlign w:val="baseline"/>
                      <w:lang w:val="en-US" w:eastAsia="zh-CN"/>
                    </w:rPr>
                  </w:pPr>
                  <w:r>
                    <w:rPr>
                      <w:rFonts w:hint="eastAsia" w:ascii="Times New Roman" w:hAnsi="Times New Roman" w:eastAsia="宋体" w:cs="Times New Roman"/>
                      <w:color w:val="auto"/>
                      <w:kern w:val="0"/>
                      <w:sz w:val="21"/>
                      <w:szCs w:val="21"/>
                      <w:lang w:val="en-US" w:eastAsia="zh-CN" w:bidi="ar"/>
                    </w:rPr>
                    <w:t>2500</w:t>
                  </w:r>
                </w:p>
              </w:tc>
              <w:tc>
                <w:tcPr>
                  <w:tcW w:w="1221" w:type="dxa"/>
                  <w:tcBorders>
                    <w:tl2br w:val="nil"/>
                    <w:tr2bl w:val="nil"/>
                  </w:tcBorders>
                  <w:noWrap w:val="0"/>
                  <w:vAlign w:val="center"/>
                </w:tcPr>
                <w:p w14:paraId="4463C3FD">
                  <w:pPr>
                    <w:keepNext w:val="0"/>
                    <w:keepLines w:val="0"/>
                    <w:widowControl/>
                    <w:suppressLineNumbers w:val="0"/>
                    <w:jc w:val="center"/>
                    <w:rPr>
                      <w:rFonts w:hint="default"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0.00002</w:t>
                  </w:r>
                </w:p>
              </w:tc>
            </w:tr>
          </w:tbl>
          <w:p w14:paraId="10DB8E06">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经计算</w:t>
            </w:r>
            <w:r>
              <w:rPr>
                <w:rFonts w:hint="eastAsia" w:ascii="Times New Roman" w:hAnsi="Times New Roman" w:cs="Times New Roman"/>
                <w:color w:val="auto"/>
                <w:sz w:val="24"/>
                <w:szCs w:val="24"/>
                <w:highlight w:val="none"/>
                <w:lang w:val="en-US" w:eastAsia="zh-CN"/>
              </w:rPr>
              <w:t>本项目</w:t>
            </w:r>
            <w:r>
              <w:rPr>
                <w:rFonts w:hint="default" w:ascii="Times New Roman" w:hAnsi="Times New Roman" w:cs="Times New Roman"/>
                <w:color w:val="auto"/>
                <w:sz w:val="24"/>
                <w:szCs w:val="24"/>
                <w:highlight w:val="none"/>
                <w:lang w:val="en-US" w:eastAsia="zh-CN"/>
              </w:rPr>
              <w:t>Q=0.00</w:t>
            </w:r>
            <w:r>
              <w:rPr>
                <w:rFonts w:hint="eastAsia" w:cs="Times New Roman"/>
                <w:color w:val="auto"/>
                <w:sz w:val="24"/>
                <w:szCs w:val="24"/>
                <w:highlight w:val="none"/>
                <w:lang w:val="en-US" w:eastAsia="zh-CN"/>
              </w:rPr>
              <w:t>002</w:t>
            </w:r>
            <w:r>
              <w:rPr>
                <w:rFonts w:hint="default" w:ascii="Times New Roman" w:hAnsi="Times New Roman" w:cs="Times New Roman"/>
                <w:b/>
                <w:bCs/>
                <w:color w:val="auto"/>
                <w:sz w:val="24"/>
                <w:szCs w:val="24"/>
                <w:highlight w:val="none"/>
                <w:lang w:val="en-US" w:eastAsia="zh-CN"/>
              </w:rPr>
              <w:t>&lt;</w:t>
            </w:r>
            <w:r>
              <w:rPr>
                <w:rFonts w:hint="default" w:ascii="Times New Roman" w:hAnsi="Times New Roman" w:cs="Times New Roman"/>
                <w:color w:val="auto"/>
                <w:sz w:val="24"/>
                <w:szCs w:val="24"/>
                <w:highlight w:val="none"/>
                <w:lang w:val="en-US" w:eastAsia="zh-CN"/>
              </w:rPr>
              <w:t>1</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根据《建设项目环境风险评价技术导则》（HJ/T169-2018），当Q&lt;1时，该项目</w:t>
            </w:r>
            <w:r>
              <w:rPr>
                <w:rFonts w:hint="eastAsia" w:ascii="Times New Roman" w:hAnsi="Times New Roman" w:cs="Times New Roman"/>
                <w:color w:val="auto"/>
                <w:sz w:val="24"/>
                <w:szCs w:val="24"/>
                <w:highlight w:val="none"/>
                <w:lang w:val="en-US" w:eastAsia="zh-CN"/>
              </w:rPr>
              <w:t>环境</w:t>
            </w:r>
            <w:r>
              <w:rPr>
                <w:rFonts w:hint="default" w:ascii="Times New Roman" w:hAnsi="Times New Roman" w:cs="Times New Roman"/>
                <w:color w:val="auto"/>
                <w:sz w:val="24"/>
                <w:szCs w:val="24"/>
                <w:highlight w:val="none"/>
                <w:lang w:val="en-US" w:eastAsia="zh-CN"/>
              </w:rPr>
              <w:t>风险潜势为</w:t>
            </w:r>
            <w:r>
              <w:rPr>
                <w:rFonts w:hint="default" w:ascii="Times New Roman" w:hAnsi="Times New Roman" w:eastAsia="宋体" w:cs="Times New Roman"/>
                <w:color w:val="auto"/>
                <w:sz w:val="24"/>
                <w:szCs w:val="24"/>
                <w:highlight w:val="none"/>
                <w:lang w:val="en-US" w:eastAsia="zh-CN"/>
              </w:rPr>
              <w:t>Ⅰ</w:t>
            </w:r>
            <w:r>
              <w:rPr>
                <w:rFonts w:hint="eastAsia" w:ascii="Times New Roman" w:hAnsi="Times New Roman" w:eastAsia="宋体" w:cs="Times New Roman"/>
                <w:color w:val="auto"/>
                <w:sz w:val="24"/>
                <w:szCs w:val="24"/>
                <w:highlight w:val="none"/>
                <w:lang w:val="en-US" w:eastAsia="zh-CN"/>
              </w:rPr>
              <w:t>，进行简单分析</w:t>
            </w:r>
            <w:r>
              <w:rPr>
                <w:rFonts w:hint="default" w:ascii="Times New Roman" w:hAnsi="Times New Roman" w:eastAsia="宋体" w:cs="Times New Roman"/>
                <w:color w:val="auto"/>
                <w:sz w:val="24"/>
                <w:szCs w:val="24"/>
                <w:highlight w:val="none"/>
                <w:lang w:val="en-US" w:eastAsia="zh-CN"/>
              </w:rPr>
              <w:t>。</w:t>
            </w:r>
          </w:p>
          <w:p w14:paraId="6EEC0B0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bCs/>
                <w:snapToGrid/>
                <w:color w:val="auto"/>
                <w:spacing w:val="0"/>
                <w:kern w:val="0"/>
                <w:position w:val="0"/>
                <w:sz w:val="24"/>
                <w:szCs w:val="24"/>
                <w:highlight w:val="none"/>
                <w:lang w:eastAsia="zh-CN"/>
              </w:rPr>
            </w:pPr>
            <w:r>
              <w:rPr>
                <w:rFonts w:hint="default" w:ascii="Times New Roman" w:hAnsi="Times New Roman" w:eastAsia="宋体" w:cs="Times New Roman"/>
                <w:b/>
                <w:bCs/>
                <w:snapToGrid/>
                <w:color w:val="auto"/>
                <w:spacing w:val="0"/>
                <w:kern w:val="0"/>
                <w:position w:val="0"/>
                <w:sz w:val="24"/>
                <w:szCs w:val="24"/>
                <w:highlight w:val="none"/>
              </w:rPr>
              <w:t>环境风险防范措施</w:t>
            </w:r>
            <w:r>
              <w:rPr>
                <w:rFonts w:hint="eastAsia" w:ascii="Times New Roman" w:hAnsi="Times New Roman" w:eastAsia="宋体" w:cs="Times New Roman"/>
                <w:b/>
                <w:bCs/>
                <w:snapToGrid/>
                <w:color w:val="auto"/>
                <w:spacing w:val="0"/>
                <w:kern w:val="0"/>
                <w:position w:val="0"/>
                <w:sz w:val="24"/>
                <w:szCs w:val="24"/>
                <w:highlight w:val="none"/>
                <w:lang w:eastAsia="zh-CN"/>
              </w:rPr>
              <w:t>：</w:t>
            </w:r>
          </w:p>
          <w:p w14:paraId="3245349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240" w:firstLineChars="100"/>
              <w:textAlignment w:val="auto"/>
              <w:rPr>
                <w:rFonts w:hint="default" w:ascii="Times New Roman" w:hAnsi="Times New Roman" w:eastAsia="宋体" w:cs="Times New Roman"/>
                <w:b w:val="0"/>
                <w:i w:val="0"/>
                <w:color w:val="auto"/>
                <w:sz w:val="24"/>
                <w:szCs w:val="24"/>
                <w:highlight w:val="none"/>
                <w:lang w:val="en-US" w:eastAsia="zh-CN"/>
              </w:rPr>
            </w:pPr>
            <w:r>
              <w:rPr>
                <w:rFonts w:hint="eastAsia" w:ascii="Times New Roman" w:hAnsi="Times New Roman" w:eastAsia="宋体" w:cs="Times New Roman"/>
                <w:b w:val="0"/>
                <w:i w:val="0"/>
                <w:color w:val="auto"/>
                <w:sz w:val="24"/>
                <w:szCs w:val="24"/>
                <w:highlight w:val="none"/>
                <w:lang w:val="en-US" w:eastAsia="zh-CN"/>
              </w:rPr>
              <w:t>（1）</w:t>
            </w:r>
            <w:r>
              <w:rPr>
                <w:rFonts w:hint="default" w:ascii="Times New Roman" w:hAnsi="Times New Roman" w:eastAsia="宋体" w:cs="Times New Roman"/>
                <w:b w:val="0"/>
                <w:i w:val="0"/>
                <w:color w:val="auto"/>
                <w:sz w:val="24"/>
                <w:szCs w:val="24"/>
                <w:highlight w:val="none"/>
                <w:lang w:val="en-US" w:eastAsia="zh-CN"/>
              </w:rPr>
              <w:t>环境风险防范措施及应急要求</w:t>
            </w:r>
          </w:p>
          <w:p w14:paraId="773CB87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i w:val="0"/>
                <w:color w:val="auto"/>
                <w:sz w:val="24"/>
                <w:szCs w:val="24"/>
                <w:highlight w:val="none"/>
                <w:lang w:val="en-US" w:eastAsia="zh-CN"/>
              </w:rPr>
            </w:pPr>
            <w:r>
              <w:rPr>
                <w:rFonts w:hint="default" w:ascii="Times New Roman" w:hAnsi="Times New Roman" w:eastAsia="宋体" w:cs="Times New Roman"/>
                <w:b w:val="0"/>
                <w:i w:val="0"/>
                <w:color w:val="auto"/>
                <w:sz w:val="24"/>
                <w:szCs w:val="24"/>
                <w:highlight w:val="none"/>
                <w:lang w:val="en-US" w:eastAsia="zh-CN"/>
              </w:rPr>
              <w:t>为了减轻危险物品发生泄漏事故的危害后果、频率、影响程度和范围，达到同行业可接受水平，建设单位必须采取相应的风险防范措施，本评价提出以下建议：</w:t>
            </w:r>
          </w:p>
          <w:p w14:paraId="1F2B5D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eastAsiaTheme="minorEastAsia"/>
                <w:b w:val="0"/>
                <w:bCs w:val="0"/>
                <w:i w:val="0"/>
                <w:color w:val="auto"/>
                <w:kern w:val="2"/>
                <w:sz w:val="24"/>
                <w:szCs w:val="24"/>
                <w:lang w:val="en-US" w:eastAsia="zh-CN" w:bidi="ar-SA"/>
              </w:rPr>
            </w:pPr>
            <w:r>
              <w:rPr>
                <w:rFonts w:hint="default" w:ascii="Times New Roman" w:hAnsi="Times New Roman" w:cs="Times New Roman" w:eastAsiaTheme="minorEastAsia"/>
                <w:b w:val="0"/>
                <w:bCs w:val="0"/>
                <w:i w:val="0"/>
                <w:color w:val="auto"/>
                <w:kern w:val="2"/>
                <w:sz w:val="24"/>
                <w:szCs w:val="24"/>
                <w:lang w:val="en-US" w:eastAsia="zh-CN" w:bidi="ar-SA"/>
              </w:rPr>
              <w:t>①总平面布置中，充分考虑总体布置的安全性，顺应生产流程布置，严格执行有关标准、规范和规定，并考虑各类工艺生产装置之间的防火间距，以及工艺生产装置与重要辅助设施、道路、行政设施等的防火间距。厂区内道路和厂外道路相连，以利于事故状态下人员疏散和抢救。</w:t>
            </w:r>
          </w:p>
          <w:p w14:paraId="39ED3E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eastAsiaTheme="minorEastAsia"/>
                <w:b w:val="0"/>
                <w:bCs w:val="0"/>
                <w:i w:val="0"/>
                <w:color w:val="auto"/>
                <w:kern w:val="2"/>
                <w:sz w:val="24"/>
                <w:szCs w:val="24"/>
                <w:lang w:val="en-US" w:eastAsia="zh-CN" w:bidi="ar-SA"/>
              </w:rPr>
            </w:pPr>
            <w:r>
              <w:rPr>
                <w:rFonts w:hint="default" w:ascii="Times New Roman" w:hAnsi="Times New Roman" w:cs="Times New Roman"/>
                <w:color w:val="auto"/>
                <w:kern w:val="0"/>
                <w:sz w:val="24"/>
              </w:rPr>
              <w:t>②</w:t>
            </w:r>
            <w:r>
              <w:rPr>
                <w:rFonts w:hint="default" w:ascii="Times New Roman" w:hAnsi="Times New Roman" w:cs="Times New Roman" w:eastAsiaTheme="minorEastAsia"/>
                <w:b w:val="0"/>
                <w:bCs w:val="0"/>
                <w:i w:val="0"/>
                <w:color w:val="auto"/>
                <w:kern w:val="2"/>
                <w:sz w:val="24"/>
                <w:szCs w:val="24"/>
                <w:lang w:val="en-US" w:eastAsia="zh-CN" w:bidi="ar-SA"/>
              </w:rPr>
              <w:t>配备火灾自动报警系统，减小危险物质发生泄漏或火灾时对外环境的影响。</w:t>
            </w:r>
          </w:p>
          <w:p w14:paraId="753D74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eastAsiaTheme="minorEastAsia"/>
                <w:b w:val="0"/>
                <w:bCs w:val="0"/>
                <w:i w:val="0"/>
                <w:color w:val="auto"/>
                <w:kern w:val="2"/>
                <w:sz w:val="24"/>
                <w:szCs w:val="24"/>
                <w:lang w:val="en-US" w:eastAsia="zh-CN" w:bidi="ar-SA"/>
              </w:rPr>
            </w:pPr>
            <w:r>
              <w:rPr>
                <w:rFonts w:hint="default" w:ascii="Times New Roman" w:hAnsi="Times New Roman" w:cs="Times New Roman" w:eastAsiaTheme="minorEastAsia"/>
                <w:b w:val="0"/>
                <w:bCs w:val="0"/>
                <w:i w:val="0"/>
                <w:color w:val="auto"/>
                <w:kern w:val="2"/>
                <w:sz w:val="24"/>
                <w:szCs w:val="24"/>
                <w:lang w:val="en-US" w:eastAsia="zh-CN" w:bidi="ar-SA"/>
              </w:rPr>
              <w:t>③加强设备、管道、管件的巡查和维修，防止“跑、冒、滴、漏”等现象的发生，以避免造成人身和设备事故。</w:t>
            </w:r>
          </w:p>
          <w:p w14:paraId="6C6FF1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olor w:val="000000" w:themeColor="text1"/>
                <w:sz w:val="24"/>
                <w:lang w:eastAsia="zh-CN"/>
                <w14:textFill>
                  <w14:solidFill>
                    <w14:schemeClr w14:val="tx1"/>
                  </w14:solidFill>
                </w14:textFill>
              </w:rPr>
            </w:pPr>
            <w:r>
              <w:rPr>
                <w:rFonts w:hint="default" w:ascii="Times New Roman" w:hAnsi="Times New Roman" w:cs="Times New Roman" w:eastAsiaTheme="minorEastAsia"/>
                <w:b w:val="0"/>
                <w:bCs w:val="0"/>
                <w:i w:val="0"/>
                <w:color w:val="000000" w:themeColor="text1"/>
                <w:kern w:val="2"/>
                <w:sz w:val="24"/>
                <w:szCs w:val="24"/>
                <w:lang w:val="en-US" w:eastAsia="zh-CN" w:bidi="ar-SA"/>
                <w14:textFill>
                  <w14:solidFill>
                    <w14:schemeClr w14:val="tx1"/>
                  </w14:solidFill>
                </w14:textFill>
              </w:rPr>
              <w:t>④</w:t>
            </w:r>
            <w:r>
              <w:rPr>
                <w:rFonts w:hint="default"/>
                <w:color w:val="000000" w:themeColor="text1"/>
                <w:sz w:val="24"/>
                <w14:textFill>
                  <w14:solidFill>
                    <w14:schemeClr w14:val="tx1"/>
                  </w14:solidFill>
                </w14:textFill>
              </w:rPr>
              <w:t>废气事故性排放</w:t>
            </w:r>
            <w:r>
              <w:rPr>
                <w:rFonts w:hint="eastAsia"/>
                <w:color w:val="000000" w:themeColor="text1"/>
                <w:sz w:val="24"/>
                <w:lang w:eastAsia="zh-CN"/>
                <w14:textFill>
                  <w14:solidFill>
                    <w14:schemeClr w14:val="tx1"/>
                  </w14:solidFill>
                </w14:textFill>
              </w:rPr>
              <w:t>对策</w:t>
            </w:r>
          </w:p>
          <w:p w14:paraId="1A7D98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color w:val="000000" w:themeColor="text1"/>
                <w:sz w:val="24"/>
                <w14:textFill>
                  <w14:solidFill>
                    <w14:schemeClr w14:val="tx1"/>
                  </w14:solidFill>
                </w14:textFill>
              </w:rPr>
            </w:pPr>
            <w:r>
              <w:rPr>
                <w:rFonts w:hint="default"/>
                <w:color w:val="000000" w:themeColor="text1"/>
                <w:sz w:val="24"/>
                <w14:textFill>
                  <w14:solidFill>
                    <w14:schemeClr w14:val="tx1"/>
                  </w14:solidFill>
                </w14:textFill>
              </w:rPr>
              <w:t>为了减轻本项目对周围</w:t>
            </w:r>
            <w:r>
              <w:rPr>
                <w:rFonts w:hint="eastAsia"/>
                <w:color w:val="000000" w:themeColor="text1"/>
                <w:sz w:val="24"/>
                <w:lang w:eastAsia="zh-CN"/>
                <w14:textFill>
                  <w14:solidFill>
                    <w14:schemeClr w14:val="tx1"/>
                  </w14:solidFill>
                </w14:textFill>
              </w:rPr>
              <w:t>大气</w:t>
            </w:r>
            <w:r>
              <w:rPr>
                <w:rFonts w:hint="default"/>
                <w:color w:val="000000" w:themeColor="text1"/>
                <w:sz w:val="24"/>
                <w14:textFill>
                  <w14:solidFill>
                    <w14:schemeClr w14:val="tx1"/>
                  </w14:solidFill>
                </w14:textFill>
              </w:rPr>
              <w:t>环境的影响程度和范围，保证该地区的可持续发展，建设方须建立严格、规范的大气污染应急预案，加强废气净化设施的日常管理、维护。当废气处理设备出现故障不能正常运行时，应尽快停产进行维修，避免对周围环境造成污染影响。</w:t>
            </w:r>
          </w:p>
          <w:p w14:paraId="1AECEB90">
            <w:pPr>
              <w:pStyle w:val="59"/>
              <w:spacing w:line="360" w:lineRule="auto"/>
              <w:ind w:firstLine="0"/>
              <w:rPr>
                <w:color w:val="000000" w:themeColor="text1"/>
                <w14:textFill>
                  <w14:solidFill>
                    <w14:schemeClr w14:val="tx1"/>
                  </w14:solidFill>
                </w14:textFill>
              </w:rPr>
            </w:pPr>
            <w:r>
              <w:rPr>
                <w:rFonts w:hint="eastAsia" w:ascii="Times New Roman" w:hAnsi="Times New Roman" w:eastAsia="宋体" w:cs="Times New Roman"/>
                <w:b/>
                <w:bCs/>
                <w:color w:val="000000" w:themeColor="text1"/>
                <w:kern w:val="2"/>
                <w:sz w:val="24"/>
                <w:szCs w:val="28"/>
                <w:lang w:val="en-US" w:eastAsia="zh-CN" w:bidi="ar-SA"/>
                <w14:textFill>
                  <w14:solidFill>
                    <w14:schemeClr w14:val="tx1"/>
                  </w14:solidFill>
                </w14:textFill>
              </w:rPr>
              <w:t>表</w:t>
            </w:r>
            <w:r>
              <w:rPr>
                <w:rFonts w:hint="eastAsia" w:ascii="Times New Roman" w:hAnsi="Times New Roman" w:cs="Times New Roman"/>
                <w:b/>
                <w:bCs/>
                <w:color w:val="000000" w:themeColor="text1"/>
                <w:kern w:val="2"/>
                <w:sz w:val="24"/>
                <w:szCs w:val="28"/>
                <w:lang w:val="en-US" w:eastAsia="zh-CN" w:bidi="ar-SA"/>
                <w14:textFill>
                  <w14:solidFill>
                    <w14:schemeClr w14:val="tx1"/>
                  </w14:solidFill>
                </w14:textFill>
              </w:rPr>
              <w:t>4.1</w:t>
            </w:r>
            <w:r>
              <w:rPr>
                <w:rFonts w:hint="eastAsia" w:cs="Times New Roman"/>
                <w:b/>
                <w:bCs/>
                <w:color w:val="000000" w:themeColor="text1"/>
                <w:kern w:val="2"/>
                <w:sz w:val="24"/>
                <w:szCs w:val="28"/>
                <w:lang w:val="en-US" w:eastAsia="zh-CN" w:bidi="ar-SA"/>
                <w14:textFill>
                  <w14:solidFill>
                    <w14:schemeClr w14:val="tx1"/>
                  </w14:solidFill>
                </w14:textFill>
              </w:rPr>
              <w:t xml:space="preserve">8 </w:t>
            </w:r>
            <w:r>
              <w:rPr>
                <w:rFonts w:hint="eastAsia" w:ascii="Times New Roman" w:hAnsi="Times New Roman" w:eastAsia="宋体" w:cs="Times New Roman"/>
                <w:b/>
                <w:bCs/>
                <w:color w:val="000000" w:themeColor="text1"/>
                <w:kern w:val="2"/>
                <w:sz w:val="24"/>
                <w:szCs w:val="28"/>
                <w:lang w:val="en-US" w:eastAsia="zh-CN" w:bidi="ar-SA"/>
                <w14:textFill>
                  <w14:solidFill>
                    <w14:schemeClr w14:val="tx1"/>
                  </w14:solidFill>
                </w14:textFill>
              </w:rPr>
              <w:t xml:space="preserve"> </w:t>
            </w:r>
            <w:r>
              <w:rPr>
                <w:color w:val="000000" w:themeColor="text1"/>
                <w:sz w:val="24"/>
                <w14:textFill>
                  <w14:solidFill>
                    <w14:schemeClr w14:val="tx1"/>
                  </w14:solidFill>
                </w14:textFill>
              </w:rPr>
              <w:t>建设项目环境风险简单分析内容表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1340"/>
              <w:gridCol w:w="1279"/>
              <w:gridCol w:w="903"/>
              <w:gridCol w:w="1252"/>
              <w:gridCol w:w="2132"/>
            </w:tblGrid>
            <w:tr w14:paraId="7B244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95" w:type="pct"/>
                  <w:noWrap w:val="0"/>
                  <w:vAlign w:val="center"/>
                </w:tcPr>
                <w:p w14:paraId="338A655E">
                  <w:pPr>
                    <w:pStyle w:val="60"/>
                    <w:rPr>
                      <w:color w:val="auto"/>
                      <w:sz w:val="21"/>
                      <w:szCs w:val="21"/>
                    </w:rPr>
                  </w:pPr>
                  <w:r>
                    <w:rPr>
                      <w:color w:val="auto"/>
                      <w:sz w:val="21"/>
                      <w:szCs w:val="21"/>
                    </w:rPr>
                    <w:t>建设项目</w:t>
                  </w:r>
                </w:p>
                <w:p w14:paraId="24901BCB">
                  <w:pPr>
                    <w:pStyle w:val="60"/>
                    <w:rPr>
                      <w:color w:val="auto"/>
                      <w:sz w:val="21"/>
                      <w:szCs w:val="21"/>
                    </w:rPr>
                  </w:pPr>
                  <w:r>
                    <w:rPr>
                      <w:color w:val="auto"/>
                      <w:sz w:val="21"/>
                      <w:szCs w:val="21"/>
                    </w:rPr>
                    <w:t>名称</w:t>
                  </w:r>
                </w:p>
              </w:tc>
              <w:tc>
                <w:tcPr>
                  <w:tcW w:w="4204" w:type="pct"/>
                  <w:gridSpan w:val="5"/>
                  <w:noWrap w:val="0"/>
                  <w:vAlign w:val="center"/>
                </w:tcPr>
                <w:p w14:paraId="6D33F82C">
                  <w:pPr>
                    <w:pStyle w:val="60"/>
                    <w:rPr>
                      <w:rFonts w:hint="eastAsia"/>
                      <w:color w:val="auto"/>
                      <w:sz w:val="21"/>
                      <w:szCs w:val="21"/>
                    </w:rPr>
                  </w:pPr>
                  <w:r>
                    <w:rPr>
                      <w:rFonts w:hint="eastAsia"/>
                      <w:color w:val="auto"/>
                      <w:sz w:val="21"/>
                      <w:szCs w:val="21"/>
                    </w:rPr>
                    <w:t>安徽爱乐新材料科技有限公司年产一万吨高性能秸秆木塑型材智能制造项目</w:t>
                  </w:r>
                </w:p>
              </w:tc>
            </w:tr>
            <w:tr w14:paraId="36E44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pct"/>
                  <w:noWrap w:val="0"/>
                  <w:vAlign w:val="center"/>
                </w:tcPr>
                <w:p w14:paraId="6C230FBF">
                  <w:pPr>
                    <w:pStyle w:val="60"/>
                    <w:rPr>
                      <w:color w:val="auto"/>
                      <w:sz w:val="21"/>
                      <w:szCs w:val="21"/>
                    </w:rPr>
                  </w:pPr>
                  <w:r>
                    <w:rPr>
                      <w:color w:val="auto"/>
                      <w:sz w:val="21"/>
                      <w:szCs w:val="21"/>
                    </w:rPr>
                    <w:t>建设地点</w:t>
                  </w:r>
                </w:p>
              </w:tc>
              <w:tc>
                <w:tcPr>
                  <w:tcW w:w="816" w:type="pct"/>
                  <w:noWrap w:val="0"/>
                  <w:vAlign w:val="center"/>
                </w:tcPr>
                <w:p w14:paraId="242E1A2B">
                  <w:pPr>
                    <w:pStyle w:val="60"/>
                    <w:rPr>
                      <w:rFonts w:hint="eastAsia"/>
                      <w:color w:val="auto"/>
                      <w:sz w:val="21"/>
                      <w:szCs w:val="21"/>
                    </w:rPr>
                  </w:pPr>
                  <w:r>
                    <w:rPr>
                      <w:rFonts w:hint="eastAsia"/>
                      <w:color w:val="auto"/>
                      <w:sz w:val="21"/>
                      <w:szCs w:val="21"/>
                    </w:rPr>
                    <w:t>（安徽）省</w:t>
                  </w:r>
                </w:p>
              </w:tc>
              <w:tc>
                <w:tcPr>
                  <w:tcW w:w="779" w:type="pct"/>
                  <w:noWrap w:val="0"/>
                  <w:vAlign w:val="center"/>
                </w:tcPr>
                <w:p w14:paraId="1FA8DBD9">
                  <w:pPr>
                    <w:pStyle w:val="60"/>
                    <w:rPr>
                      <w:rFonts w:hint="eastAsia"/>
                      <w:color w:val="auto"/>
                      <w:sz w:val="21"/>
                      <w:szCs w:val="21"/>
                    </w:rPr>
                  </w:pPr>
                  <w:r>
                    <w:rPr>
                      <w:rFonts w:hint="eastAsia"/>
                      <w:color w:val="auto"/>
                      <w:sz w:val="21"/>
                      <w:szCs w:val="21"/>
                    </w:rPr>
                    <w:t>（</w:t>
                  </w:r>
                  <w:r>
                    <w:rPr>
                      <w:rFonts w:hint="eastAsia"/>
                      <w:color w:val="auto"/>
                      <w:sz w:val="21"/>
                      <w:szCs w:val="21"/>
                      <w:lang w:eastAsia="zh-CN"/>
                    </w:rPr>
                    <w:t>宿州</w:t>
                  </w:r>
                  <w:r>
                    <w:rPr>
                      <w:rFonts w:hint="eastAsia"/>
                      <w:color w:val="auto"/>
                      <w:sz w:val="21"/>
                      <w:szCs w:val="21"/>
                    </w:rPr>
                    <w:t>）市</w:t>
                  </w:r>
                </w:p>
              </w:tc>
              <w:tc>
                <w:tcPr>
                  <w:tcW w:w="549" w:type="pct"/>
                  <w:noWrap w:val="0"/>
                  <w:vAlign w:val="center"/>
                </w:tcPr>
                <w:p w14:paraId="0FE64DC4">
                  <w:pPr>
                    <w:pStyle w:val="60"/>
                    <w:rPr>
                      <w:rFonts w:hint="eastAsia"/>
                      <w:color w:val="auto"/>
                      <w:sz w:val="21"/>
                      <w:szCs w:val="21"/>
                    </w:rPr>
                  </w:pPr>
                  <w:r>
                    <w:rPr>
                      <w:rFonts w:hint="eastAsia"/>
                      <w:color w:val="auto"/>
                      <w:sz w:val="21"/>
                      <w:szCs w:val="21"/>
                    </w:rPr>
                    <w:t>（</w:t>
                  </w:r>
                  <w:r>
                    <w:rPr>
                      <w:rFonts w:hint="eastAsia"/>
                      <w:color w:val="auto"/>
                      <w:sz w:val="21"/>
                      <w:szCs w:val="21"/>
                      <w:lang w:val="en-US" w:eastAsia="zh-CN"/>
                    </w:rPr>
                    <w:t>埇桥区</w:t>
                  </w:r>
                  <w:r>
                    <w:rPr>
                      <w:rFonts w:hint="eastAsia"/>
                      <w:color w:val="auto"/>
                      <w:sz w:val="21"/>
                      <w:szCs w:val="21"/>
                    </w:rPr>
                    <w:t>）区</w:t>
                  </w:r>
                </w:p>
              </w:tc>
              <w:tc>
                <w:tcPr>
                  <w:tcW w:w="762" w:type="pct"/>
                  <w:noWrap w:val="0"/>
                  <w:vAlign w:val="center"/>
                </w:tcPr>
                <w:p w14:paraId="2935BCFB">
                  <w:pPr>
                    <w:pStyle w:val="60"/>
                    <w:rPr>
                      <w:rFonts w:hint="eastAsia"/>
                      <w:color w:val="auto"/>
                      <w:sz w:val="21"/>
                      <w:szCs w:val="21"/>
                    </w:rPr>
                  </w:pPr>
                  <w:r>
                    <w:rPr>
                      <w:rFonts w:hint="eastAsia"/>
                      <w:color w:val="auto"/>
                      <w:sz w:val="21"/>
                      <w:szCs w:val="21"/>
                      <w:lang w:eastAsia="zh-CN"/>
                    </w:rPr>
                    <w:t>（</w:t>
                  </w:r>
                  <w:r>
                    <w:rPr>
                      <w:rFonts w:hint="eastAsia"/>
                      <w:color w:val="auto"/>
                      <w:sz w:val="21"/>
                      <w:szCs w:val="21"/>
                    </w:rPr>
                    <w:t>）县</w:t>
                  </w:r>
                </w:p>
              </w:tc>
              <w:tc>
                <w:tcPr>
                  <w:tcW w:w="1296" w:type="pct"/>
                  <w:noWrap w:val="0"/>
                  <w:vAlign w:val="center"/>
                </w:tcPr>
                <w:p w14:paraId="4099F54B">
                  <w:pPr>
                    <w:pStyle w:val="60"/>
                    <w:rPr>
                      <w:rFonts w:hint="eastAsia"/>
                      <w:color w:val="auto"/>
                      <w:sz w:val="21"/>
                      <w:szCs w:val="21"/>
                    </w:rPr>
                  </w:pPr>
                  <w:r>
                    <w:rPr>
                      <w:rFonts w:hint="eastAsia"/>
                      <w:color w:val="auto"/>
                      <w:sz w:val="21"/>
                      <w:szCs w:val="21"/>
                    </w:rPr>
                    <w:t>循环经济示范园东二环西侧</w:t>
                  </w:r>
                </w:p>
              </w:tc>
            </w:tr>
            <w:tr w14:paraId="33A2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pct"/>
                  <w:noWrap w:val="0"/>
                  <w:vAlign w:val="center"/>
                </w:tcPr>
                <w:p w14:paraId="2D73E1A1">
                  <w:pPr>
                    <w:pStyle w:val="60"/>
                    <w:rPr>
                      <w:color w:val="auto"/>
                      <w:sz w:val="21"/>
                      <w:szCs w:val="21"/>
                    </w:rPr>
                  </w:pPr>
                  <w:r>
                    <w:rPr>
                      <w:color w:val="auto"/>
                      <w:sz w:val="21"/>
                      <w:szCs w:val="21"/>
                    </w:rPr>
                    <w:t>地理坐标</w:t>
                  </w:r>
                </w:p>
              </w:tc>
              <w:tc>
                <w:tcPr>
                  <w:tcW w:w="816" w:type="pct"/>
                  <w:noWrap w:val="0"/>
                  <w:vAlign w:val="center"/>
                </w:tcPr>
                <w:p w14:paraId="2A869E4A">
                  <w:pPr>
                    <w:pStyle w:val="60"/>
                    <w:rPr>
                      <w:color w:val="auto"/>
                      <w:sz w:val="21"/>
                      <w:szCs w:val="21"/>
                    </w:rPr>
                  </w:pPr>
                  <w:r>
                    <w:rPr>
                      <w:color w:val="auto"/>
                      <w:sz w:val="21"/>
                      <w:szCs w:val="21"/>
                    </w:rPr>
                    <w:t>经度</w:t>
                  </w:r>
                </w:p>
              </w:tc>
              <w:tc>
                <w:tcPr>
                  <w:tcW w:w="1329" w:type="pct"/>
                  <w:gridSpan w:val="2"/>
                  <w:noWrap w:val="0"/>
                  <w:vAlign w:val="center"/>
                </w:tcPr>
                <w:p w14:paraId="45C95EDF">
                  <w:pPr>
                    <w:pStyle w:val="60"/>
                    <w:rPr>
                      <w:color w:val="auto"/>
                      <w:sz w:val="21"/>
                      <w:szCs w:val="21"/>
                    </w:rPr>
                  </w:pPr>
                  <w:r>
                    <w:rPr>
                      <w:color w:val="auto"/>
                      <w:sz w:val="21"/>
                      <w:szCs w:val="21"/>
                    </w:rPr>
                    <w:t>11</w:t>
                  </w:r>
                  <w:r>
                    <w:rPr>
                      <w:rFonts w:hint="eastAsia"/>
                      <w:color w:val="auto"/>
                      <w:sz w:val="21"/>
                      <w:szCs w:val="21"/>
                      <w:lang w:val="en-US" w:eastAsia="zh-CN"/>
                    </w:rPr>
                    <w:t>7</w:t>
                  </w:r>
                  <w:r>
                    <w:rPr>
                      <w:color w:val="auto"/>
                      <w:sz w:val="21"/>
                      <w:szCs w:val="21"/>
                    </w:rPr>
                    <w:t>度</w:t>
                  </w:r>
                  <w:r>
                    <w:rPr>
                      <w:rFonts w:hint="eastAsia"/>
                      <w:color w:val="auto"/>
                      <w:sz w:val="21"/>
                      <w:szCs w:val="21"/>
                      <w:lang w:val="en-US" w:eastAsia="zh-CN"/>
                    </w:rPr>
                    <w:t>2</w:t>
                  </w:r>
                  <w:r>
                    <w:rPr>
                      <w:color w:val="auto"/>
                      <w:sz w:val="21"/>
                      <w:szCs w:val="21"/>
                    </w:rPr>
                    <w:t>分</w:t>
                  </w:r>
                  <w:r>
                    <w:rPr>
                      <w:rFonts w:hint="eastAsia"/>
                      <w:color w:val="auto"/>
                      <w:sz w:val="21"/>
                      <w:szCs w:val="21"/>
                      <w:lang w:val="en-US" w:eastAsia="zh-CN"/>
                    </w:rPr>
                    <w:t>24.356</w:t>
                  </w:r>
                  <w:r>
                    <w:rPr>
                      <w:color w:val="auto"/>
                      <w:sz w:val="21"/>
                      <w:szCs w:val="21"/>
                    </w:rPr>
                    <w:t>秒</w:t>
                  </w:r>
                </w:p>
              </w:tc>
              <w:tc>
                <w:tcPr>
                  <w:tcW w:w="762" w:type="pct"/>
                  <w:noWrap w:val="0"/>
                  <w:vAlign w:val="center"/>
                </w:tcPr>
                <w:p w14:paraId="4E8F3E9F">
                  <w:pPr>
                    <w:pStyle w:val="60"/>
                    <w:rPr>
                      <w:color w:val="auto"/>
                      <w:sz w:val="21"/>
                      <w:szCs w:val="21"/>
                    </w:rPr>
                  </w:pPr>
                  <w:r>
                    <w:rPr>
                      <w:color w:val="auto"/>
                      <w:sz w:val="21"/>
                      <w:szCs w:val="21"/>
                    </w:rPr>
                    <w:t>纬度</w:t>
                  </w:r>
                </w:p>
              </w:tc>
              <w:tc>
                <w:tcPr>
                  <w:tcW w:w="1296" w:type="pct"/>
                  <w:noWrap w:val="0"/>
                  <w:vAlign w:val="center"/>
                </w:tcPr>
                <w:p w14:paraId="50BD0CDB">
                  <w:pPr>
                    <w:pStyle w:val="60"/>
                    <w:rPr>
                      <w:color w:val="auto"/>
                      <w:sz w:val="21"/>
                      <w:szCs w:val="21"/>
                    </w:rPr>
                  </w:pPr>
                  <w:r>
                    <w:rPr>
                      <w:color w:val="auto"/>
                      <w:sz w:val="21"/>
                      <w:szCs w:val="21"/>
                    </w:rPr>
                    <w:t>3</w:t>
                  </w:r>
                  <w:r>
                    <w:rPr>
                      <w:rFonts w:hint="eastAsia"/>
                      <w:color w:val="auto"/>
                      <w:sz w:val="21"/>
                      <w:szCs w:val="21"/>
                      <w:lang w:val="en-US" w:eastAsia="zh-CN"/>
                    </w:rPr>
                    <w:t>3</w:t>
                  </w:r>
                  <w:r>
                    <w:rPr>
                      <w:color w:val="auto"/>
                      <w:sz w:val="21"/>
                      <w:szCs w:val="21"/>
                    </w:rPr>
                    <w:t>度</w:t>
                  </w:r>
                  <w:r>
                    <w:rPr>
                      <w:rFonts w:hint="eastAsia"/>
                      <w:color w:val="auto"/>
                      <w:sz w:val="21"/>
                      <w:szCs w:val="21"/>
                      <w:lang w:val="en-US" w:eastAsia="zh-CN"/>
                    </w:rPr>
                    <w:t>38</w:t>
                  </w:r>
                  <w:r>
                    <w:rPr>
                      <w:color w:val="auto"/>
                      <w:sz w:val="21"/>
                      <w:szCs w:val="21"/>
                    </w:rPr>
                    <w:t>分</w:t>
                  </w:r>
                  <w:r>
                    <w:rPr>
                      <w:rFonts w:hint="eastAsia"/>
                      <w:color w:val="auto"/>
                      <w:sz w:val="21"/>
                      <w:szCs w:val="21"/>
                      <w:lang w:val="en-US" w:eastAsia="zh-CN"/>
                    </w:rPr>
                    <w:t>30.906</w:t>
                  </w:r>
                  <w:r>
                    <w:rPr>
                      <w:color w:val="auto"/>
                      <w:sz w:val="21"/>
                      <w:szCs w:val="21"/>
                    </w:rPr>
                    <w:t>秒</w:t>
                  </w:r>
                </w:p>
              </w:tc>
            </w:tr>
            <w:tr w14:paraId="4AE5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pct"/>
                  <w:noWrap w:val="0"/>
                  <w:vAlign w:val="center"/>
                </w:tcPr>
                <w:p w14:paraId="2F02FE81">
                  <w:pPr>
                    <w:pStyle w:val="60"/>
                    <w:rPr>
                      <w:color w:val="auto"/>
                      <w:sz w:val="21"/>
                      <w:szCs w:val="21"/>
                    </w:rPr>
                  </w:pPr>
                  <w:r>
                    <w:rPr>
                      <w:color w:val="auto"/>
                      <w:sz w:val="21"/>
                      <w:szCs w:val="21"/>
                    </w:rPr>
                    <w:t>主要危险物质分布</w:t>
                  </w:r>
                </w:p>
              </w:tc>
              <w:tc>
                <w:tcPr>
                  <w:tcW w:w="4204" w:type="pct"/>
                  <w:gridSpan w:val="5"/>
                  <w:noWrap w:val="0"/>
                  <w:vAlign w:val="center"/>
                </w:tcPr>
                <w:p w14:paraId="3AEED73F">
                  <w:pPr>
                    <w:pStyle w:val="60"/>
                    <w:rPr>
                      <w:rFonts w:hint="eastAsia" w:eastAsia="宋体"/>
                      <w:color w:val="auto"/>
                      <w:sz w:val="21"/>
                      <w:szCs w:val="21"/>
                      <w:lang w:eastAsia="zh-CN"/>
                    </w:rPr>
                  </w:pPr>
                  <w:r>
                    <w:rPr>
                      <w:rFonts w:hint="eastAsia"/>
                      <w:color w:val="auto"/>
                      <w:sz w:val="21"/>
                      <w:szCs w:val="21"/>
                      <w:lang w:eastAsia="zh-CN"/>
                    </w:rPr>
                    <w:t>危废间</w:t>
                  </w:r>
                </w:p>
              </w:tc>
            </w:tr>
            <w:tr w14:paraId="3643E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noWrap w:val="0"/>
                  <w:vAlign w:val="center"/>
                </w:tcPr>
                <w:p w14:paraId="7CB938D8">
                  <w:pPr>
                    <w:pStyle w:val="60"/>
                    <w:rPr>
                      <w:color w:val="auto"/>
                      <w:sz w:val="21"/>
                      <w:szCs w:val="21"/>
                    </w:rPr>
                  </w:pPr>
                  <w:r>
                    <w:rPr>
                      <w:color w:val="auto"/>
                      <w:sz w:val="21"/>
                      <w:szCs w:val="21"/>
                    </w:rPr>
                    <w:t>环境影响途径及危害后果（大气、地表水、地下水等）</w:t>
                  </w:r>
                </w:p>
              </w:tc>
              <w:tc>
                <w:tcPr>
                  <w:tcW w:w="4204" w:type="pct"/>
                  <w:gridSpan w:val="5"/>
                  <w:noWrap w:val="0"/>
                  <w:vAlign w:val="center"/>
                </w:tcPr>
                <w:p w14:paraId="0E5CF460">
                  <w:pPr>
                    <w:pStyle w:val="60"/>
                    <w:rPr>
                      <w:rFonts w:hint="eastAsia"/>
                      <w:color w:val="auto"/>
                      <w:sz w:val="21"/>
                      <w:szCs w:val="21"/>
                      <w:lang w:val="en-US" w:eastAsia="zh-CN"/>
                    </w:rPr>
                  </w:pPr>
                  <w:r>
                    <w:rPr>
                      <w:rFonts w:hint="eastAsia"/>
                      <w:color w:val="auto"/>
                      <w:sz w:val="21"/>
                      <w:szCs w:val="21"/>
                      <w:lang w:val="en-US" w:eastAsia="zh-CN"/>
                    </w:rPr>
                    <w:t>大气环境：燃烧发生火灾引起的大气二次污染物主要为一氧化碳，浓度范围在数十至数百毫克</w:t>
                  </w:r>
                  <w:r>
                    <w:rPr>
                      <w:rFonts w:hint="default"/>
                      <w:color w:val="auto"/>
                      <w:sz w:val="21"/>
                      <w:szCs w:val="21"/>
                      <w:lang w:val="en-US" w:eastAsia="zh-CN"/>
                    </w:rPr>
                    <w:t>/</w:t>
                  </w:r>
                  <w:r>
                    <w:rPr>
                      <w:rFonts w:hint="eastAsia"/>
                      <w:color w:val="auto"/>
                      <w:sz w:val="21"/>
                      <w:szCs w:val="21"/>
                      <w:lang w:val="en-US" w:eastAsia="zh-CN"/>
                    </w:rPr>
                    <w:t>立方米之间，对于下风向的环境空气质量在短时间内</w:t>
                  </w:r>
                </w:p>
                <w:p w14:paraId="5A31E2FE">
                  <w:pPr>
                    <w:pStyle w:val="60"/>
                    <w:jc w:val="both"/>
                    <w:rPr>
                      <w:color w:val="auto"/>
                      <w:sz w:val="21"/>
                      <w:szCs w:val="21"/>
                    </w:rPr>
                  </w:pPr>
                  <w:r>
                    <w:rPr>
                      <w:rFonts w:hint="eastAsia"/>
                      <w:color w:val="auto"/>
                      <w:sz w:val="21"/>
                      <w:szCs w:val="21"/>
                      <w:lang w:val="en-US" w:eastAsia="zh-CN"/>
                    </w:rPr>
                    <w:t>有较小影响，长期影响甚微。</w:t>
                  </w:r>
                </w:p>
                <w:p w14:paraId="37B10A17">
                  <w:pPr>
                    <w:pStyle w:val="60"/>
                    <w:jc w:val="left"/>
                    <w:rPr>
                      <w:color w:val="auto"/>
                      <w:sz w:val="21"/>
                      <w:szCs w:val="21"/>
                    </w:rPr>
                  </w:pPr>
                  <w:r>
                    <w:rPr>
                      <w:rFonts w:hint="eastAsia"/>
                      <w:color w:val="auto"/>
                      <w:sz w:val="21"/>
                      <w:szCs w:val="21"/>
                      <w:lang w:val="en-US" w:eastAsia="zh-CN"/>
                    </w:rPr>
                    <w:t>水环境：项目生产废水经与生活污水汇合排入城东污水处理厂进行处理。</w:t>
                  </w:r>
                </w:p>
                <w:p w14:paraId="7D05FD73">
                  <w:pPr>
                    <w:pStyle w:val="60"/>
                    <w:jc w:val="left"/>
                    <w:rPr>
                      <w:color w:val="auto"/>
                      <w:sz w:val="21"/>
                      <w:szCs w:val="21"/>
                    </w:rPr>
                  </w:pPr>
                  <w:r>
                    <w:rPr>
                      <w:rFonts w:hint="eastAsia"/>
                      <w:color w:val="auto"/>
                      <w:sz w:val="21"/>
                      <w:szCs w:val="21"/>
                      <w:lang w:val="en-US" w:eastAsia="zh-CN"/>
                    </w:rPr>
                    <w:t>地下水：项目危废暂存间地面做防腐防渗处理，故本项目对地下水影响较小。</w:t>
                  </w:r>
                </w:p>
                <w:p w14:paraId="64DD64AD">
                  <w:pPr>
                    <w:pStyle w:val="60"/>
                    <w:rPr>
                      <w:color w:val="auto"/>
                      <w:sz w:val="21"/>
                      <w:szCs w:val="21"/>
                    </w:rPr>
                  </w:pPr>
                  <w:r>
                    <w:rPr>
                      <w:rFonts w:hint="eastAsia"/>
                      <w:color w:val="auto"/>
                      <w:sz w:val="21"/>
                      <w:szCs w:val="21"/>
                      <w:lang w:val="en-US" w:eastAsia="zh-CN"/>
                    </w:rPr>
                    <w:t xml:space="preserve">废气处理装置故障事故影响分析：事故情况下污染物的排放浓度会有一定 </w:t>
                  </w:r>
                </w:p>
                <w:p w14:paraId="6CFC6597">
                  <w:pPr>
                    <w:pStyle w:val="60"/>
                    <w:rPr>
                      <w:color w:val="auto"/>
                      <w:sz w:val="21"/>
                      <w:szCs w:val="21"/>
                    </w:rPr>
                  </w:pPr>
                  <w:r>
                    <w:rPr>
                      <w:rFonts w:hint="eastAsia"/>
                      <w:color w:val="auto"/>
                      <w:sz w:val="21"/>
                      <w:szCs w:val="21"/>
                      <w:lang w:val="en-US" w:eastAsia="zh-CN"/>
                    </w:rPr>
                    <w:t>程度的增加，并超过相关质量标准，对周围的大气环境产生一定的影响。</w:t>
                  </w:r>
                </w:p>
              </w:tc>
            </w:tr>
            <w:tr w14:paraId="557B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pct"/>
                  <w:noWrap w:val="0"/>
                  <w:vAlign w:val="center"/>
                </w:tcPr>
                <w:p w14:paraId="73F2A364">
                  <w:pPr>
                    <w:pStyle w:val="60"/>
                    <w:rPr>
                      <w:color w:val="auto"/>
                      <w:sz w:val="21"/>
                      <w:szCs w:val="21"/>
                    </w:rPr>
                  </w:pPr>
                  <w:r>
                    <w:rPr>
                      <w:color w:val="auto"/>
                      <w:sz w:val="21"/>
                      <w:szCs w:val="21"/>
                    </w:rPr>
                    <w:t>风险防范措施要求</w:t>
                  </w:r>
                </w:p>
              </w:tc>
              <w:tc>
                <w:tcPr>
                  <w:tcW w:w="4204" w:type="pct"/>
                  <w:gridSpan w:val="5"/>
                  <w:noWrap w:val="0"/>
                  <w:vAlign w:val="center"/>
                </w:tcPr>
                <w:p w14:paraId="78BE77AC">
                  <w:pPr>
                    <w:pStyle w:val="60"/>
                    <w:jc w:val="both"/>
                    <w:rPr>
                      <w:color w:val="auto"/>
                      <w:sz w:val="21"/>
                      <w:szCs w:val="21"/>
                    </w:rPr>
                  </w:pPr>
                  <w:r>
                    <w:rPr>
                      <w:color w:val="auto"/>
                      <w:sz w:val="21"/>
                      <w:szCs w:val="21"/>
                    </w:rPr>
                    <w:t>（1）</w:t>
                  </w:r>
                  <w:r>
                    <w:rPr>
                      <w:rFonts w:hint="eastAsia"/>
                      <w:color w:val="auto"/>
                      <w:sz w:val="21"/>
                      <w:szCs w:val="21"/>
                    </w:rPr>
                    <w:t>生产</w:t>
                  </w:r>
                  <w:r>
                    <w:rPr>
                      <w:color w:val="auto"/>
                      <w:sz w:val="21"/>
                      <w:szCs w:val="21"/>
                    </w:rPr>
                    <w:t>厂房、危废</w:t>
                  </w:r>
                  <w:r>
                    <w:rPr>
                      <w:rFonts w:hint="eastAsia"/>
                      <w:color w:val="auto"/>
                      <w:sz w:val="21"/>
                      <w:szCs w:val="21"/>
                      <w:lang w:eastAsia="zh-CN"/>
                    </w:rPr>
                    <w:t>暂存间、</w:t>
                  </w:r>
                  <w:r>
                    <w:rPr>
                      <w:color w:val="auto"/>
                      <w:sz w:val="21"/>
                      <w:szCs w:val="21"/>
                    </w:rPr>
                    <w:t>禁止吸烟，远离火源、热源、电源，无产生火花的条件，禁止明火作业；</w:t>
                  </w:r>
                </w:p>
                <w:p w14:paraId="4855384E">
                  <w:pPr>
                    <w:pStyle w:val="60"/>
                    <w:jc w:val="both"/>
                    <w:rPr>
                      <w:color w:val="auto"/>
                      <w:sz w:val="21"/>
                      <w:szCs w:val="21"/>
                    </w:rPr>
                  </w:pPr>
                  <w:r>
                    <w:rPr>
                      <w:color w:val="auto"/>
                      <w:sz w:val="21"/>
                      <w:szCs w:val="21"/>
                    </w:rPr>
                    <w:t>（2）配备完善的消防器材如灭火器、</w:t>
                  </w:r>
                  <w:r>
                    <w:rPr>
                      <w:rFonts w:hint="eastAsia"/>
                      <w:color w:val="auto"/>
                      <w:sz w:val="21"/>
                      <w:szCs w:val="21"/>
                      <w:lang w:eastAsia="zh-CN"/>
                    </w:rPr>
                    <w:t>消防栓</w:t>
                  </w:r>
                  <w:r>
                    <w:rPr>
                      <w:color w:val="auto"/>
                      <w:sz w:val="21"/>
                      <w:szCs w:val="21"/>
                    </w:rPr>
                    <w:t>和通风设备消防器材定期检查；</w:t>
                  </w:r>
                </w:p>
                <w:p w14:paraId="0B28BD37">
                  <w:pPr>
                    <w:pStyle w:val="60"/>
                    <w:jc w:val="both"/>
                    <w:rPr>
                      <w:color w:val="auto"/>
                      <w:sz w:val="21"/>
                      <w:szCs w:val="21"/>
                    </w:rPr>
                  </w:pPr>
                  <w:r>
                    <w:rPr>
                      <w:color w:val="auto"/>
                      <w:sz w:val="21"/>
                      <w:szCs w:val="21"/>
                    </w:rPr>
                    <w:t>（3）加强管理，确保废气处理设施正常运行，防止出现风机失效；如处理设备出现故障，应立即停止所有生产以减少废气排放，由专人检查、维修后恢复运行。</w:t>
                  </w:r>
                </w:p>
                <w:p w14:paraId="76C1A23F">
                  <w:pPr>
                    <w:pStyle w:val="60"/>
                    <w:jc w:val="left"/>
                    <w:rPr>
                      <w:color w:val="auto"/>
                      <w:sz w:val="21"/>
                      <w:szCs w:val="21"/>
                    </w:rPr>
                  </w:pPr>
                  <w:r>
                    <w:rPr>
                      <w:color w:val="auto"/>
                      <w:sz w:val="21"/>
                      <w:szCs w:val="21"/>
                    </w:rPr>
                    <w:t>（4）危废仓库严格按照《危险废物贮存污染控制标准》（GB18597-20</w:t>
                  </w:r>
                  <w:r>
                    <w:rPr>
                      <w:rFonts w:hint="eastAsia"/>
                      <w:color w:val="auto"/>
                      <w:sz w:val="21"/>
                      <w:szCs w:val="21"/>
                    </w:rPr>
                    <w:t>23</w:t>
                  </w:r>
                  <w:r>
                    <w:rPr>
                      <w:color w:val="auto"/>
                      <w:sz w:val="21"/>
                      <w:szCs w:val="21"/>
                    </w:rPr>
                    <w:t>）的要求进行设计、建设和管理以防危险废物事故排放污染环境。定期对所贮存的危险废物包装容器及贮存设施进行检查，发现破损，应及时采取措施清理更换。</w:t>
                  </w:r>
                </w:p>
              </w:tc>
            </w:tr>
            <w:tr w14:paraId="64A5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6"/>
                  <w:noWrap w:val="0"/>
                  <w:vAlign w:val="center"/>
                </w:tcPr>
                <w:p w14:paraId="7BC6A3C9">
                  <w:pPr>
                    <w:pStyle w:val="60"/>
                    <w:jc w:val="left"/>
                    <w:rPr>
                      <w:rFonts w:hint="eastAsia"/>
                      <w:color w:val="auto"/>
                      <w:sz w:val="21"/>
                      <w:szCs w:val="21"/>
                    </w:rPr>
                  </w:pPr>
                  <w:r>
                    <w:rPr>
                      <w:rFonts w:hint="eastAsia"/>
                      <w:color w:val="auto"/>
                      <w:sz w:val="21"/>
                      <w:szCs w:val="21"/>
                    </w:rPr>
                    <w:t>填表说明：项目环境风险潜势为Ⅰ，只需要进行简单分析。</w:t>
                  </w:r>
                </w:p>
                <w:p w14:paraId="2570ED6E">
                  <w:pPr>
                    <w:pStyle w:val="60"/>
                    <w:jc w:val="left"/>
                    <w:rPr>
                      <w:color w:val="FF0000"/>
                      <w:sz w:val="21"/>
                      <w:szCs w:val="21"/>
                    </w:rPr>
                  </w:pPr>
                  <w:r>
                    <w:rPr>
                      <w:rFonts w:hint="eastAsia"/>
                      <w:color w:val="auto"/>
                      <w:sz w:val="21"/>
                      <w:szCs w:val="21"/>
                    </w:rPr>
                    <w:t>本项目建成后，通过加强风险管理后，该项目的环境风险可降至最低，通过加强防范措施及配备相应的应急预案，可以最大限度地减少风险事故的发生以及风险事故发生时造成的环境和人身安全的伤害。为保证生产的正常、安全，建设单位须建立必要的安全生产规章制度措施，加强个人安全防护知识和职工操作技能的教育培训工作。同时在厂区原料堆放区配置灭火器，制定相应的应急预案，确保厂区发生环境风险时，及时应对。在认真落实工程拟采取的措施及评价所提出的设施和对策后，项目对周围影响是可以接受的。</w:t>
                  </w:r>
                </w:p>
              </w:tc>
            </w:tr>
          </w:tbl>
          <w:p w14:paraId="42F2DC4B">
            <w:pPr>
              <w:widowControl/>
              <w:snapToGrid w:val="0"/>
              <w:spacing w:line="360" w:lineRule="auto"/>
              <w:rPr>
                <w:rFonts w:hint="default" w:ascii="Times New Roman" w:hAnsi="Times New Roman" w:eastAsia="宋体" w:cs="Times New Roman"/>
                <w:b/>
                <w:bCs/>
                <w:snapToGrid/>
                <w:color w:val="000000" w:themeColor="text1"/>
                <w:spacing w:val="0"/>
                <w:kern w:val="0"/>
                <w:position w:val="0"/>
                <w:sz w:val="24"/>
                <w:szCs w:val="24"/>
                <w:highlight w:val="none"/>
                <w14:textFill>
                  <w14:solidFill>
                    <w14:schemeClr w14:val="tx1"/>
                  </w14:solidFill>
                </w14:textFill>
              </w:rPr>
            </w:pPr>
            <w:r>
              <w:rPr>
                <w:rFonts w:hint="eastAsia" w:cs="Times New Roman"/>
                <w:b/>
                <w:bCs/>
                <w:snapToGrid/>
                <w:color w:val="000000" w:themeColor="text1"/>
                <w:spacing w:val="0"/>
                <w:kern w:val="0"/>
                <w:position w:val="0"/>
                <w:sz w:val="24"/>
                <w:szCs w:val="24"/>
                <w:highlight w:val="none"/>
                <w:lang w:val="en-US" w:eastAsia="zh-CN"/>
                <w14:textFill>
                  <w14:solidFill>
                    <w14:schemeClr w14:val="tx1"/>
                  </w14:solidFill>
                </w14:textFill>
              </w:rPr>
              <w:t>7.</w:t>
            </w:r>
            <w:r>
              <w:rPr>
                <w:rFonts w:hint="default" w:ascii="Times New Roman" w:hAnsi="Times New Roman" w:eastAsia="宋体" w:cs="Times New Roman"/>
                <w:b/>
                <w:bCs/>
                <w:snapToGrid/>
                <w:color w:val="000000" w:themeColor="text1"/>
                <w:spacing w:val="0"/>
                <w:kern w:val="0"/>
                <w:position w:val="0"/>
                <w:sz w:val="24"/>
                <w:szCs w:val="24"/>
                <w:highlight w:val="none"/>
                <w14:textFill>
                  <w14:solidFill>
                    <w14:schemeClr w14:val="tx1"/>
                  </w14:solidFill>
                </w14:textFill>
              </w:rPr>
              <w:t>环保投资估算</w:t>
            </w:r>
          </w:p>
          <w:p w14:paraId="20A4D9B8">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b/>
                <w:snapToGrid/>
                <w:color w:val="auto"/>
                <w:spacing w:val="0"/>
                <w:kern w:val="0"/>
                <w:position w:val="0"/>
                <w:sz w:val="24"/>
                <w:szCs w:val="24"/>
                <w:highlight w:val="none"/>
                <w:lang w:val="zh-CN"/>
              </w:rPr>
            </w:pPr>
            <w:r>
              <w:rPr>
                <w:rFonts w:hint="default" w:ascii="Times New Roman" w:hAnsi="Times New Roman" w:eastAsia="宋体" w:cs="Times New Roman"/>
                <w:bCs/>
                <w:snapToGrid/>
                <w:color w:val="auto"/>
                <w:spacing w:val="0"/>
                <w:kern w:val="0"/>
                <w:position w:val="0"/>
                <w:sz w:val="24"/>
                <w:szCs w:val="24"/>
                <w:highlight w:val="none"/>
              </w:rPr>
              <w:t>项目总投资</w:t>
            </w:r>
            <w:r>
              <w:rPr>
                <w:rFonts w:hint="eastAsia" w:cs="Times New Roman"/>
                <w:color w:val="auto"/>
                <w:sz w:val="24"/>
                <w:lang w:val="en-US" w:eastAsia="zh-CN"/>
              </w:rPr>
              <w:t>3000</w:t>
            </w:r>
            <w:r>
              <w:rPr>
                <w:rFonts w:hint="default" w:ascii="Times New Roman" w:hAnsi="Times New Roman" w:eastAsia="宋体" w:cs="Times New Roman"/>
                <w:bCs/>
                <w:snapToGrid/>
                <w:color w:val="auto"/>
                <w:spacing w:val="0"/>
                <w:kern w:val="0"/>
                <w:position w:val="0"/>
                <w:sz w:val="24"/>
                <w:szCs w:val="24"/>
                <w:highlight w:val="none"/>
              </w:rPr>
              <w:t>万元，其中环保投资</w:t>
            </w:r>
            <w:r>
              <w:rPr>
                <w:rFonts w:hint="eastAsia" w:cs="Times New Roman"/>
                <w:bCs/>
                <w:snapToGrid/>
                <w:color w:val="auto"/>
                <w:spacing w:val="0"/>
                <w:kern w:val="0"/>
                <w:position w:val="0"/>
                <w:sz w:val="24"/>
                <w:szCs w:val="24"/>
                <w:highlight w:val="none"/>
                <w:lang w:val="en-US" w:eastAsia="zh-CN"/>
              </w:rPr>
              <w:t>50</w:t>
            </w:r>
            <w:r>
              <w:rPr>
                <w:rFonts w:hint="default" w:ascii="Times New Roman" w:hAnsi="Times New Roman" w:eastAsia="宋体" w:cs="Times New Roman"/>
                <w:bCs/>
                <w:snapToGrid/>
                <w:color w:val="auto"/>
                <w:spacing w:val="0"/>
                <w:kern w:val="0"/>
                <w:position w:val="0"/>
                <w:sz w:val="24"/>
                <w:szCs w:val="24"/>
                <w:highlight w:val="none"/>
              </w:rPr>
              <w:t>万元</w:t>
            </w:r>
            <w:r>
              <w:rPr>
                <w:rFonts w:hint="default" w:ascii="Times New Roman" w:hAnsi="Times New Roman" w:eastAsia="宋体" w:cs="Times New Roman"/>
                <w:bCs/>
                <w:snapToGrid/>
                <w:color w:val="auto"/>
                <w:spacing w:val="0"/>
                <w:kern w:val="0"/>
                <w:position w:val="0"/>
                <w:sz w:val="24"/>
                <w:szCs w:val="24"/>
                <w:highlight w:val="none"/>
                <w:lang w:val="en-US" w:eastAsia="zh-CN"/>
              </w:rPr>
              <w:t>，</w:t>
            </w:r>
            <w:r>
              <w:rPr>
                <w:rFonts w:hint="default" w:ascii="Times New Roman" w:hAnsi="Times New Roman" w:eastAsia="宋体" w:cs="Times New Roman"/>
                <w:bCs/>
                <w:snapToGrid/>
                <w:color w:val="auto"/>
                <w:spacing w:val="0"/>
                <w:kern w:val="0"/>
                <w:position w:val="0"/>
                <w:sz w:val="24"/>
                <w:szCs w:val="24"/>
                <w:highlight w:val="none"/>
              </w:rPr>
              <w:t>约占总投资</w:t>
            </w:r>
            <w:r>
              <w:rPr>
                <w:rFonts w:hint="eastAsia" w:cs="Times New Roman"/>
                <w:bCs/>
                <w:snapToGrid/>
                <w:color w:val="auto"/>
                <w:spacing w:val="0"/>
                <w:kern w:val="0"/>
                <w:position w:val="0"/>
                <w:sz w:val="24"/>
                <w:szCs w:val="24"/>
                <w:highlight w:val="none"/>
                <w:lang w:val="en-US" w:eastAsia="zh-CN"/>
              </w:rPr>
              <w:t>1.7</w:t>
            </w:r>
            <w:r>
              <w:rPr>
                <w:rFonts w:hint="default" w:ascii="Times New Roman" w:hAnsi="Times New Roman" w:eastAsia="宋体" w:cs="Times New Roman"/>
                <w:bCs/>
                <w:snapToGrid/>
                <w:color w:val="auto"/>
                <w:spacing w:val="0"/>
                <w:kern w:val="0"/>
                <w:position w:val="0"/>
                <w:sz w:val="24"/>
                <w:szCs w:val="24"/>
                <w:highlight w:val="none"/>
              </w:rPr>
              <w:t>%，主要用于废水、废气、固体废物和噪声污染的治理。</w:t>
            </w:r>
          </w:p>
          <w:p w14:paraId="50A5A1C7">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snapToGrid/>
                <w:color w:val="auto"/>
                <w:spacing w:val="0"/>
                <w:kern w:val="0"/>
                <w:position w:val="0"/>
                <w:sz w:val="24"/>
                <w:szCs w:val="24"/>
                <w:highlight w:val="none"/>
                <w:lang w:val="zh-CN"/>
              </w:rPr>
            </w:pPr>
            <w:r>
              <w:rPr>
                <w:rFonts w:hint="default" w:ascii="Times New Roman" w:hAnsi="Times New Roman" w:eastAsia="宋体" w:cs="Times New Roman"/>
                <w:b/>
                <w:snapToGrid/>
                <w:color w:val="auto"/>
                <w:spacing w:val="0"/>
                <w:kern w:val="0"/>
                <w:position w:val="0"/>
                <w:sz w:val="24"/>
                <w:szCs w:val="24"/>
                <w:highlight w:val="none"/>
                <w:lang w:val="zh-CN"/>
              </w:rPr>
              <w:t>表</w:t>
            </w:r>
            <w:r>
              <w:rPr>
                <w:rFonts w:hint="eastAsia" w:ascii="Times New Roman" w:hAnsi="Times New Roman" w:eastAsia="宋体" w:cs="Times New Roman"/>
                <w:b/>
                <w:snapToGrid/>
                <w:color w:val="auto"/>
                <w:spacing w:val="0"/>
                <w:kern w:val="0"/>
                <w:position w:val="0"/>
                <w:sz w:val="24"/>
                <w:szCs w:val="24"/>
                <w:highlight w:val="none"/>
                <w:lang w:val="en-US" w:eastAsia="zh-CN"/>
              </w:rPr>
              <w:t>4</w:t>
            </w:r>
            <w:r>
              <w:rPr>
                <w:rFonts w:hint="eastAsia" w:cs="Times New Roman"/>
                <w:b/>
                <w:snapToGrid/>
                <w:color w:val="auto"/>
                <w:spacing w:val="0"/>
                <w:kern w:val="0"/>
                <w:position w:val="0"/>
                <w:sz w:val="24"/>
                <w:szCs w:val="24"/>
                <w:highlight w:val="none"/>
                <w:lang w:val="en-US" w:eastAsia="zh-CN"/>
              </w:rPr>
              <w:t xml:space="preserve">.19 </w:t>
            </w:r>
            <w:r>
              <w:rPr>
                <w:rFonts w:hint="default" w:ascii="Times New Roman" w:hAnsi="Times New Roman" w:eastAsia="宋体" w:cs="Times New Roman"/>
                <w:b/>
                <w:snapToGrid/>
                <w:color w:val="auto"/>
                <w:spacing w:val="0"/>
                <w:kern w:val="0"/>
                <w:position w:val="0"/>
                <w:sz w:val="24"/>
                <w:szCs w:val="24"/>
                <w:highlight w:val="none"/>
              </w:rPr>
              <w:t xml:space="preserve"> </w:t>
            </w:r>
            <w:r>
              <w:rPr>
                <w:rFonts w:hint="default" w:ascii="Times New Roman" w:hAnsi="Times New Roman" w:eastAsia="宋体" w:cs="Times New Roman"/>
                <w:b/>
                <w:snapToGrid/>
                <w:color w:val="auto"/>
                <w:spacing w:val="0"/>
                <w:kern w:val="0"/>
                <w:position w:val="0"/>
                <w:sz w:val="24"/>
                <w:szCs w:val="24"/>
                <w:highlight w:val="none"/>
                <w:lang w:val="zh-CN"/>
              </w:rPr>
              <w:t>项目环保防治措施及投资估算表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777"/>
              <w:gridCol w:w="4277"/>
              <w:gridCol w:w="1147"/>
            </w:tblGrid>
            <w:tr w14:paraId="29A6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14:paraId="0F4508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污染类别</w:t>
                  </w:r>
                </w:p>
              </w:tc>
              <w:tc>
                <w:tcPr>
                  <w:tcW w:w="1777" w:type="dxa"/>
                  <w:noWrap w:val="0"/>
                  <w:vAlign w:val="center"/>
                </w:tcPr>
                <w:p w14:paraId="5986C9F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污染防治对象</w:t>
                  </w:r>
                </w:p>
              </w:tc>
              <w:tc>
                <w:tcPr>
                  <w:tcW w:w="4277" w:type="dxa"/>
                  <w:noWrap w:val="0"/>
                  <w:vAlign w:val="center"/>
                </w:tcPr>
                <w:p w14:paraId="5B9BE89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治理措施</w:t>
                  </w:r>
                </w:p>
              </w:tc>
              <w:tc>
                <w:tcPr>
                  <w:tcW w:w="1147" w:type="dxa"/>
                  <w:noWrap w:val="0"/>
                  <w:vAlign w:val="center"/>
                </w:tcPr>
                <w:p w14:paraId="6A8F7BE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投资估算（万元）</w:t>
                  </w:r>
                </w:p>
              </w:tc>
            </w:tr>
            <w:tr w14:paraId="5131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14:paraId="36EFFA3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eastAsia="zh-CN"/>
                    </w:rPr>
                  </w:pPr>
                  <w:r>
                    <w:rPr>
                      <w:rFonts w:hint="default" w:ascii="Times New Roman" w:hAnsi="Times New Roman" w:eastAsia="宋体" w:cs="Times New Roman"/>
                      <w:b w:val="0"/>
                      <w:bCs w:val="0"/>
                      <w:snapToGrid/>
                      <w:color w:val="auto"/>
                      <w:spacing w:val="0"/>
                      <w:kern w:val="0"/>
                      <w:position w:val="0"/>
                      <w:sz w:val="21"/>
                      <w:szCs w:val="21"/>
                      <w:highlight w:val="none"/>
                      <w:lang w:eastAsia="zh-CN"/>
                    </w:rPr>
                    <w:t>废水</w:t>
                  </w:r>
                </w:p>
              </w:tc>
              <w:tc>
                <w:tcPr>
                  <w:tcW w:w="1777" w:type="dxa"/>
                  <w:noWrap w:val="0"/>
                  <w:vAlign w:val="center"/>
                </w:tcPr>
                <w:p w14:paraId="1A78B5E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eastAsia="zh-CN"/>
                    </w:rPr>
                  </w:pPr>
                  <w:r>
                    <w:rPr>
                      <w:rFonts w:hint="default" w:ascii="Times New Roman" w:hAnsi="Times New Roman" w:eastAsia="宋体" w:cs="Times New Roman"/>
                      <w:b w:val="0"/>
                      <w:bCs w:val="0"/>
                      <w:snapToGrid/>
                      <w:color w:val="auto"/>
                      <w:spacing w:val="0"/>
                      <w:kern w:val="0"/>
                      <w:position w:val="0"/>
                      <w:sz w:val="21"/>
                      <w:szCs w:val="21"/>
                      <w:highlight w:val="none"/>
                      <w:lang w:eastAsia="zh-CN"/>
                    </w:rPr>
                    <w:t>生活污水</w:t>
                  </w:r>
                </w:p>
              </w:tc>
              <w:tc>
                <w:tcPr>
                  <w:tcW w:w="4277" w:type="dxa"/>
                  <w:noWrap w:val="0"/>
                  <w:vAlign w:val="center"/>
                </w:tcPr>
                <w:p w14:paraId="792144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eastAsia="zh-CN"/>
                    </w:rPr>
                  </w:pPr>
                  <w:r>
                    <w:rPr>
                      <w:rFonts w:hint="default" w:cs="Times New Roman"/>
                      <w:color w:val="auto"/>
                      <w:szCs w:val="21"/>
                      <w:lang w:val="en-US" w:eastAsia="zh-CN"/>
                    </w:rPr>
                    <w:t>化粪池</w:t>
                  </w:r>
                  <w:r>
                    <w:rPr>
                      <w:rFonts w:hint="eastAsia" w:cs="Times New Roman"/>
                      <w:color w:val="auto"/>
                      <w:szCs w:val="21"/>
                      <w:lang w:val="en-US" w:eastAsia="zh-CN"/>
                    </w:rPr>
                    <w:t>（依托）</w:t>
                  </w:r>
                </w:p>
              </w:tc>
              <w:tc>
                <w:tcPr>
                  <w:tcW w:w="1147" w:type="dxa"/>
                  <w:noWrap w:val="0"/>
                  <w:vAlign w:val="center"/>
                </w:tcPr>
                <w:p w14:paraId="7A01EC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w:t>
                  </w:r>
                </w:p>
              </w:tc>
            </w:tr>
            <w:tr w14:paraId="7027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vMerge w:val="restart"/>
                  <w:noWrap w:val="0"/>
                  <w:vAlign w:val="center"/>
                </w:tcPr>
                <w:p w14:paraId="24F54E1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eastAsia="zh-CN"/>
                    </w:rPr>
                  </w:pPr>
                  <w:r>
                    <w:rPr>
                      <w:rFonts w:hint="eastAsia" w:cs="Times New Roman"/>
                      <w:b w:val="0"/>
                      <w:bCs w:val="0"/>
                      <w:snapToGrid/>
                      <w:color w:val="auto"/>
                      <w:spacing w:val="0"/>
                      <w:kern w:val="0"/>
                      <w:position w:val="0"/>
                      <w:sz w:val="21"/>
                      <w:szCs w:val="21"/>
                      <w:highlight w:val="none"/>
                      <w:lang w:val="en-US" w:eastAsia="zh-CN"/>
                    </w:rPr>
                    <w:t>废气</w:t>
                  </w:r>
                </w:p>
              </w:tc>
              <w:tc>
                <w:tcPr>
                  <w:tcW w:w="1777" w:type="dxa"/>
                  <w:noWrap w:val="0"/>
                  <w:vAlign w:val="center"/>
                </w:tcPr>
                <w:p w14:paraId="652BF13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eastAsia="zh-CN"/>
                    </w:rPr>
                  </w:pPr>
                  <w:r>
                    <w:rPr>
                      <w:rFonts w:hint="default" w:ascii="Times New Roman" w:hAnsi="Times New Roman" w:eastAsia="宋体" w:cs="Times New Roman"/>
                      <w:b w:val="0"/>
                      <w:bCs w:val="0"/>
                      <w:snapToGrid/>
                      <w:color w:val="auto"/>
                      <w:spacing w:val="0"/>
                      <w:kern w:val="0"/>
                      <w:position w:val="0"/>
                      <w:sz w:val="21"/>
                      <w:szCs w:val="21"/>
                      <w:highlight w:val="none"/>
                      <w:lang w:eastAsia="zh-CN"/>
                    </w:rPr>
                    <w:t>混料、牵引切割、精确切割、砂光打磨废气</w:t>
                  </w:r>
                </w:p>
              </w:tc>
              <w:tc>
                <w:tcPr>
                  <w:tcW w:w="4277" w:type="dxa"/>
                  <w:noWrap w:val="0"/>
                  <w:vAlign w:val="center"/>
                </w:tcPr>
                <w:p w14:paraId="4C0AB13A">
                  <w:pPr>
                    <w:adjustRightInd w:val="0"/>
                    <w:snapToGrid w:val="0"/>
                    <w:jc w:val="center"/>
                    <w:rPr>
                      <w:rFonts w:hint="default" w:ascii="Times New Roman" w:hAnsi="Times New Roman" w:eastAsia="宋体" w:cs="Times New Roman"/>
                      <w:snapToGrid/>
                      <w:color w:val="auto"/>
                      <w:spacing w:val="0"/>
                      <w:kern w:val="0"/>
                      <w:position w:val="0"/>
                      <w:sz w:val="21"/>
                      <w:szCs w:val="21"/>
                    </w:rPr>
                  </w:pPr>
                  <w:r>
                    <w:rPr>
                      <w:rFonts w:hint="eastAsia"/>
                      <w:color w:val="auto"/>
                      <w:sz w:val="21"/>
                      <w:szCs w:val="21"/>
                      <w:lang w:val="en-US" w:eastAsia="zh-CN"/>
                    </w:rPr>
                    <w:t>集气罩+</w:t>
                  </w:r>
                  <w:r>
                    <w:rPr>
                      <w:rFonts w:hint="eastAsia" w:cs="Times New Roman"/>
                      <w:color w:val="auto"/>
                      <w:kern w:val="2"/>
                      <w:sz w:val="21"/>
                      <w:szCs w:val="21"/>
                      <w:lang w:val="en-US" w:eastAsia="zh-CN" w:bidi="ar-SA"/>
                    </w:rPr>
                    <w:t>布</w:t>
                  </w:r>
                  <w:r>
                    <w:rPr>
                      <w:rFonts w:hint="eastAsia" w:ascii="Times New Roman" w:hAnsi="Times New Roman" w:eastAsia="宋体" w:cs="Times New Roman"/>
                      <w:color w:val="auto"/>
                      <w:kern w:val="2"/>
                      <w:sz w:val="21"/>
                      <w:szCs w:val="21"/>
                      <w:lang w:val="en-US" w:eastAsia="zh-CN" w:bidi="ar-SA"/>
                    </w:rPr>
                    <w:t>袋除尘器</w:t>
                  </w:r>
                  <w:r>
                    <w:rPr>
                      <w:rFonts w:hint="eastAsia"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15m</w:t>
                  </w:r>
                  <w:r>
                    <w:rPr>
                      <w:rFonts w:hint="default" w:ascii="Times New Roman" w:hAnsi="Times New Roman" w:eastAsia="宋体" w:cs="Times New Roman"/>
                      <w:color w:val="auto"/>
                      <w:sz w:val="21"/>
                      <w:szCs w:val="21"/>
                      <w:lang w:val="en-US" w:eastAsia="zh-CN"/>
                    </w:rPr>
                    <w:t>排气筒（DA00</w:t>
                  </w:r>
                  <w:r>
                    <w:rPr>
                      <w:rFonts w:hint="eastAsia" w:cs="Times New Roman"/>
                      <w:color w:val="auto"/>
                      <w:sz w:val="21"/>
                      <w:szCs w:val="21"/>
                      <w:lang w:val="en-US" w:eastAsia="zh-CN"/>
                    </w:rPr>
                    <w:t>6</w:t>
                  </w:r>
                  <w:r>
                    <w:rPr>
                      <w:rFonts w:hint="default" w:ascii="Times New Roman" w:hAnsi="Times New Roman" w:eastAsia="宋体" w:cs="Times New Roman"/>
                      <w:color w:val="auto"/>
                      <w:sz w:val="21"/>
                      <w:szCs w:val="21"/>
                      <w:lang w:val="en-US" w:eastAsia="zh-CN"/>
                    </w:rPr>
                    <w:t>）排放</w:t>
                  </w:r>
                  <w:r>
                    <w:rPr>
                      <w:rFonts w:hint="eastAsia" w:cs="Times New Roman"/>
                      <w:color w:val="auto"/>
                      <w:sz w:val="21"/>
                      <w:szCs w:val="21"/>
                      <w:lang w:val="en-US" w:eastAsia="zh-CN"/>
                    </w:rPr>
                    <w:t>。</w:t>
                  </w:r>
                </w:p>
              </w:tc>
              <w:tc>
                <w:tcPr>
                  <w:tcW w:w="1147" w:type="dxa"/>
                  <w:noWrap w:val="0"/>
                  <w:vAlign w:val="center"/>
                </w:tcPr>
                <w:p w14:paraId="55AAE5A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5</w:t>
                  </w:r>
                </w:p>
              </w:tc>
            </w:tr>
            <w:tr w14:paraId="570A9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vMerge w:val="continue"/>
                  <w:noWrap w:val="0"/>
                  <w:vAlign w:val="center"/>
                </w:tcPr>
                <w:p w14:paraId="77DC258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snapToGrid/>
                      <w:color w:val="auto"/>
                      <w:spacing w:val="0"/>
                      <w:kern w:val="0"/>
                      <w:position w:val="0"/>
                      <w:sz w:val="21"/>
                      <w:szCs w:val="21"/>
                      <w:highlight w:val="none"/>
                      <w:lang w:val="en-US" w:eastAsia="zh-CN"/>
                    </w:rPr>
                  </w:pPr>
                </w:p>
              </w:tc>
              <w:tc>
                <w:tcPr>
                  <w:tcW w:w="1777" w:type="dxa"/>
                  <w:noWrap w:val="0"/>
                  <w:vAlign w:val="center"/>
                </w:tcPr>
                <w:p w14:paraId="24A40A1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eastAsia="zh-CN"/>
                    </w:rPr>
                  </w:pPr>
                  <w:r>
                    <w:rPr>
                      <w:rFonts w:hint="eastAsia" w:cs="Times New Roman"/>
                      <w:b w:val="0"/>
                      <w:bCs w:val="0"/>
                      <w:color w:val="auto"/>
                      <w:sz w:val="21"/>
                      <w:szCs w:val="21"/>
                      <w:lang w:val="en-US" w:eastAsia="zh-CN"/>
                    </w:rPr>
                    <w:t>融熔挤出废气</w:t>
                  </w:r>
                </w:p>
              </w:tc>
              <w:tc>
                <w:tcPr>
                  <w:tcW w:w="4277" w:type="dxa"/>
                  <w:noWrap w:val="0"/>
                  <w:vAlign w:val="center"/>
                </w:tcPr>
                <w:p w14:paraId="570A2FFB">
                  <w:pPr>
                    <w:jc w:val="center"/>
                    <w:rPr>
                      <w:rFonts w:hint="eastAsia" w:cs="Times New Roman"/>
                      <w:color w:val="auto"/>
                      <w:szCs w:val="21"/>
                      <w:lang w:val="en-US" w:eastAsia="zh-CN"/>
                    </w:rPr>
                  </w:pPr>
                  <w:r>
                    <w:rPr>
                      <w:rFonts w:hint="eastAsia" w:cs="Times New Roman"/>
                      <w:b w:val="0"/>
                      <w:bCs w:val="0"/>
                      <w:color w:val="auto"/>
                      <w:sz w:val="21"/>
                      <w:szCs w:val="21"/>
                      <w:lang w:val="en-US" w:eastAsia="zh-CN"/>
                    </w:rPr>
                    <w:t>集气罩+</w:t>
                  </w:r>
                  <w:r>
                    <w:rPr>
                      <w:rFonts w:hint="eastAsia" w:cs="Times New Roman"/>
                      <w:color w:val="auto"/>
                      <w:kern w:val="2"/>
                      <w:sz w:val="21"/>
                      <w:szCs w:val="21"/>
                      <w:lang w:val="en-US" w:eastAsia="zh-CN" w:bidi="ar-SA"/>
                    </w:rPr>
                    <w:t>碱液喷淋+除雾器+活性炭+CO催化燃烧装置+</w:t>
                  </w:r>
                  <w:r>
                    <w:rPr>
                      <w:rFonts w:hint="eastAsia" w:cs="Times New Roman"/>
                      <w:color w:val="auto"/>
                      <w:sz w:val="21"/>
                      <w:szCs w:val="21"/>
                      <w:lang w:val="en-US" w:eastAsia="zh-CN"/>
                    </w:rPr>
                    <w:t>15m</w:t>
                  </w:r>
                  <w:r>
                    <w:rPr>
                      <w:rFonts w:hint="default" w:ascii="Times New Roman" w:hAnsi="Times New Roman" w:eastAsia="宋体" w:cs="Times New Roman"/>
                      <w:color w:val="auto"/>
                      <w:sz w:val="21"/>
                      <w:szCs w:val="21"/>
                      <w:lang w:val="en-US" w:eastAsia="zh-CN"/>
                    </w:rPr>
                    <w:t>排气筒（DA00</w:t>
                  </w:r>
                  <w:r>
                    <w:rPr>
                      <w:rFonts w:hint="eastAsia" w:cs="Times New Roman"/>
                      <w:color w:val="auto"/>
                      <w:sz w:val="21"/>
                      <w:szCs w:val="21"/>
                      <w:lang w:val="en-US" w:eastAsia="zh-CN"/>
                    </w:rPr>
                    <w:t>7</w:t>
                  </w:r>
                  <w:r>
                    <w:rPr>
                      <w:rFonts w:hint="default" w:ascii="Times New Roman" w:hAnsi="Times New Roman" w:eastAsia="宋体" w:cs="Times New Roman"/>
                      <w:color w:val="auto"/>
                      <w:sz w:val="21"/>
                      <w:szCs w:val="21"/>
                      <w:lang w:val="en-US" w:eastAsia="zh-CN"/>
                    </w:rPr>
                    <w:t>）排放</w:t>
                  </w:r>
                  <w:r>
                    <w:rPr>
                      <w:rFonts w:hint="eastAsia" w:eastAsia="宋体" w:cs="Times New Roman"/>
                      <w:color w:val="auto"/>
                      <w:sz w:val="21"/>
                      <w:szCs w:val="21"/>
                      <w:lang w:val="en-US" w:eastAsia="zh-CN"/>
                    </w:rPr>
                    <w:t>。</w:t>
                  </w:r>
                </w:p>
              </w:tc>
              <w:tc>
                <w:tcPr>
                  <w:tcW w:w="1147" w:type="dxa"/>
                  <w:noWrap w:val="0"/>
                  <w:vAlign w:val="center"/>
                </w:tcPr>
                <w:p w14:paraId="1744DC9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15</w:t>
                  </w:r>
                </w:p>
              </w:tc>
            </w:tr>
            <w:tr w14:paraId="662B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noWrap w:val="0"/>
                  <w:vAlign w:val="center"/>
                </w:tcPr>
                <w:p w14:paraId="39C732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噪声</w:t>
                  </w:r>
                </w:p>
              </w:tc>
              <w:tc>
                <w:tcPr>
                  <w:tcW w:w="1777" w:type="dxa"/>
                  <w:noWrap w:val="0"/>
                  <w:vAlign w:val="center"/>
                </w:tcPr>
                <w:p w14:paraId="56494F8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设备噪声等</w:t>
                  </w:r>
                </w:p>
              </w:tc>
              <w:tc>
                <w:tcPr>
                  <w:tcW w:w="4277" w:type="dxa"/>
                  <w:noWrap w:val="0"/>
                  <w:vAlign w:val="center"/>
                </w:tcPr>
                <w:p w14:paraId="3DBAAAA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选用低噪声设备、建筑隔声等</w:t>
                  </w:r>
                </w:p>
              </w:tc>
              <w:tc>
                <w:tcPr>
                  <w:tcW w:w="1147" w:type="dxa"/>
                  <w:noWrap w:val="0"/>
                  <w:vAlign w:val="center"/>
                </w:tcPr>
                <w:p w14:paraId="1C27800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10</w:t>
                  </w:r>
                </w:p>
              </w:tc>
            </w:tr>
            <w:tr w14:paraId="2316F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vMerge w:val="restart"/>
                  <w:noWrap w:val="0"/>
                  <w:vAlign w:val="center"/>
                </w:tcPr>
                <w:p w14:paraId="08EF65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固废</w:t>
                  </w:r>
                </w:p>
              </w:tc>
              <w:tc>
                <w:tcPr>
                  <w:tcW w:w="1777" w:type="dxa"/>
                  <w:noWrap w:val="0"/>
                  <w:vAlign w:val="center"/>
                </w:tcPr>
                <w:p w14:paraId="17C7572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lang w:eastAsia="zh-CN"/>
                    </w:rPr>
                    <w:t>一般工业固体废物</w:t>
                  </w:r>
                </w:p>
              </w:tc>
              <w:tc>
                <w:tcPr>
                  <w:tcW w:w="4277" w:type="dxa"/>
                  <w:noWrap w:val="0"/>
                  <w:vAlign w:val="center"/>
                </w:tcPr>
                <w:p w14:paraId="2C1A951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eastAsia" w:cs="Times New Roman"/>
                      <w:b w:val="0"/>
                      <w:bCs w:val="0"/>
                      <w:snapToGrid/>
                      <w:color w:val="auto"/>
                      <w:spacing w:val="0"/>
                      <w:kern w:val="0"/>
                      <w:position w:val="0"/>
                      <w:sz w:val="21"/>
                      <w:szCs w:val="21"/>
                      <w:highlight w:val="none"/>
                      <w:lang w:eastAsia="zh-CN"/>
                    </w:rPr>
                    <w:t>建设</w:t>
                  </w:r>
                  <w:r>
                    <w:rPr>
                      <w:rFonts w:hint="default" w:ascii="Times New Roman" w:hAnsi="Times New Roman" w:eastAsia="宋体" w:cs="Times New Roman"/>
                      <w:snapToGrid/>
                      <w:color w:val="auto"/>
                      <w:spacing w:val="0"/>
                      <w:kern w:val="0"/>
                      <w:position w:val="0"/>
                      <w:sz w:val="21"/>
                      <w:szCs w:val="21"/>
                      <w:highlight w:val="none"/>
                      <w:lang w:eastAsia="zh-CN"/>
                    </w:rPr>
                    <w:t>一般固废暂存间</w:t>
                  </w:r>
                </w:p>
              </w:tc>
              <w:tc>
                <w:tcPr>
                  <w:tcW w:w="1147" w:type="dxa"/>
                  <w:noWrap w:val="0"/>
                  <w:vAlign w:val="center"/>
                </w:tcPr>
                <w:p w14:paraId="79E832D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4</w:t>
                  </w:r>
                </w:p>
              </w:tc>
            </w:tr>
            <w:tr w14:paraId="6D718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vMerge w:val="continue"/>
                  <w:noWrap w:val="0"/>
                  <w:vAlign w:val="center"/>
                </w:tcPr>
                <w:p w14:paraId="1A6E2D7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p>
              </w:tc>
              <w:tc>
                <w:tcPr>
                  <w:tcW w:w="1777" w:type="dxa"/>
                  <w:noWrap w:val="0"/>
                  <w:vAlign w:val="center"/>
                </w:tcPr>
                <w:p w14:paraId="4AB25B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lang w:eastAsia="zh-CN"/>
                    </w:rPr>
                    <w:t>危险废物</w:t>
                  </w:r>
                </w:p>
              </w:tc>
              <w:tc>
                <w:tcPr>
                  <w:tcW w:w="4277" w:type="dxa"/>
                  <w:noWrap w:val="0"/>
                  <w:vAlign w:val="center"/>
                </w:tcPr>
                <w:p w14:paraId="49AEDB6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eastAsia" w:cs="Times New Roman"/>
                      <w:b w:val="0"/>
                      <w:bCs w:val="0"/>
                      <w:snapToGrid/>
                      <w:color w:val="auto"/>
                      <w:spacing w:val="0"/>
                      <w:kern w:val="0"/>
                      <w:position w:val="0"/>
                      <w:sz w:val="21"/>
                      <w:szCs w:val="21"/>
                      <w:highlight w:val="none"/>
                      <w:lang w:eastAsia="zh-CN"/>
                    </w:rPr>
                    <w:t>建设</w:t>
                  </w:r>
                  <w:r>
                    <w:rPr>
                      <w:rFonts w:hint="default" w:ascii="Times New Roman" w:hAnsi="Times New Roman" w:eastAsia="宋体" w:cs="Times New Roman"/>
                      <w:b w:val="0"/>
                      <w:bCs w:val="0"/>
                      <w:snapToGrid/>
                      <w:color w:val="auto"/>
                      <w:spacing w:val="0"/>
                      <w:kern w:val="0"/>
                      <w:position w:val="0"/>
                      <w:sz w:val="21"/>
                      <w:szCs w:val="21"/>
                      <w:highlight w:val="none"/>
                      <w:lang w:eastAsia="zh-CN"/>
                    </w:rPr>
                    <w:t>危险废物暂存间</w:t>
                  </w:r>
                </w:p>
              </w:tc>
              <w:tc>
                <w:tcPr>
                  <w:tcW w:w="1147" w:type="dxa"/>
                  <w:noWrap w:val="0"/>
                  <w:vAlign w:val="center"/>
                </w:tcPr>
                <w:p w14:paraId="34E7A43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6</w:t>
                  </w:r>
                </w:p>
              </w:tc>
            </w:tr>
            <w:tr w14:paraId="72EE6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8" w:type="dxa"/>
                  <w:vMerge w:val="continue"/>
                  <w:noWrap w:val="0"/>
                  <w:vAlign w:val="center"/>
                </w:tcPr>
                <w:p w14:paraId="7FEC9AE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p>
              </w:tc>
              <w:tc>
                <w:tcPr>
                  <w:tcW w:w="1777" w:type="dxa"/>
                  <w:noWrap w:val="0"/>
                  <w:vAlign w:val="center"/>
                </w:tcPr>
                <w:p w14:paraId="726231E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生活垃圾</w:t>
                  </w:r>
                </w:p>
              </w:tc>
              <w:tc>
                <w:tcPr>
                  <w:tcW w:w="4277" w:type="dxa"/>
                  <w:noWrap w:val="0"/>
                  <w:vAlign w:val="center"/>
                </w:tcPr>
                <w:p w14:paraId="58160FB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垃圾桶等</w:t>
                  </w:r>
                </w:p>
              </w:tc>
              <w:tc>
                <w:tcPr>
                  <w:tcW w:w="1147" w:type="dxa"/>
                  <w:noWrap w:val="0"/>
                  <w:vAlign w:val="center"/>
                </w:tcPr>
                <w:p w14:paraId="0A7F69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1</w:t>
                  </w:r>
                </w:p>
              </w:tc>
            </w:tr>
            <w:tr w14:paraId="6617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85" w:type="dxa"/>
                  <w:gridSpan w:val="2"/>
                  <w:noWrap w:val="0"/>
                  <w:vAlign w:val="center"/>
                </w:tcPr>
                <w:p w14:paraId="06E66F0C">
                  <w:pPr>
                    <w:spacing w:line="240" w:lineRule="atLeast"/>
                    <w:jc w:val="center"/>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color w:val="auto"/>
                      <w:sz w:val="21"/>
                      <w:szCs w:val="21"/>
                      <w:lang w:eastAsia="zh-CN"/>
                    </w:rPr>
                    <w:t>地下水</w:t>
                  </w:r>
                </w:p>
              </w:tc>
              <w:tc>
                <w:tcPr>
                  <w:tcW w:w="4277" w:type="dxa"/>
                  <w:noWrap w:val="0"/>
                  <w:vAlign w:val="center"/>
                </w:tcPr>
                <w:p w14:paraId="00948C8E">
                  <w:pPr>
                    <w:keepNext w:val="0"/>
                    <w:keepLines w:val="0"/>
                    <w:pageBreakBefore w:val="0"/>
                    <w:widowControl w:val="0"/>
                    <w:kinsoku/>
                    <w:wordWrap/>
                    <w:overflowPunct/>
                    <w:topLinePunct w:val="0"/>
                    <w:autoSpaceDE/>
                    <w:autoSpaceDN/>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color w:val="auto"/>
                      <w:sz w:val="21"/>
                      <w:szCs w:val="21"/>
                    </w:rPr>
                    <w:t>一般防渗、重点防渗</w:t>
                  </w:r>
                </w:p>
              </w:tc>
              <w:tc>
                <w:tcPr>
                  <w:tcW w:w="1147" w:type="dxa"/>
                  <w:noWrap w:val="0"/>
                  <w:vAlign w:val="center"/>
                </w:tcPr>
                <w:p w14:paraId="653824B7">
                  <w:pPr>
                    <w:spacing w:line="240" w:lineRule="atLeast"/>
                    <w:jc w:val="center"/>
                    <w:rPr>
                      <w:rFonts w:hint="default" w:ascii="Times New Roman" w:hAnsi="Times New Roman" w:eastAsia="宋体"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5</w:t>
                  </w:r>
                </w:p>
              </w:tc>
            </w:tr>
            <w:tr w14:paraId="7361B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85" w:type="dxa"/>
                  <w:gridSpan w:val="2"/>
                  <w:noWrap w:val="0"/>
                  <w:vAlign w:val="center"/>
                </w:tcPr>
                <w:p w14:paraId="625197A7">
                  <w:pPr>
                    <w:spacing w:line="240" w:lineRule="atLeast"/>
                    <w:jc w:val="center"/>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color w:val="auto"/>
                      <w:sz w:val="21"/>
                      <w:szCs w:val="21"/>
                      <w:lang w:eastAsia="zh-CN"/>
                    </w:rPr>
                    <w:t>环境风险</w:t>
                  </w:r>
                </w:p>
              </w:tc>
              <w:tc>
                <w:tcPr>
                  <w:tcW w:w="4277" w:type="dxa"/>
                  <w:noWrap w:val="0"/>
                  <w:vAlign w:val="center"/>
                </w:tcPr>
                <w:p w14:paraId="0655EA07">
                  <w:pPr>
                    <w:keepNext w:val="0"/>
                    <w:keepLines w:val="0"/>
                    <w:pageBreakBefore w:val="0"/>
                    <w:widowControl w:val="0"/>
                    <w:kinsoku/>
                    <w:wordWrap/>
                    <w:overflowPunct/>
                    <w:topLinePunct w:val="0"/>
                    <w:autoSpaceDE/>
                    <w:autoSpaceDN/>
                    <w:bidi w:val="0"/>
                    <w:adjustRightInd w:val="0"/>
                    <w:snapToGrid w:val="0"/>
                    <w:spacing w:before="63" w:beforeLines="20" w:line="240" w:lineRule="auto"/>
                    <w:ind w:firstLine="0" w:firstLineChars="0"/>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color w:val="auto"/>
                      <w:sz w:val="21"/>
                      <w:szCs w:val="21"/>
                      <w:lang w:eastAsia="zh-CN"/>
                    </w:rPr>
                    <w:t>设置室外消火栓、灭火器、制定风险应急预案等。</w:t>
                  </w:r>
                </w:p>
              </w:tc>
              <w:tc>
                <w:tcPr>
                  <w:tcW w:w="1147" w:type="dxa"/>
                  <w:noWrap w:val="0"/>
                  <w:vAlign w:val="center"/>
                </w:tcPr>
                <w:p w14:paraId="396548DE">
                  <w:pPr>
                    <w:spacing w:line="240" w:lineRule="atLeast"/>
                    <w:jc w:val="center"/>
                    <w:rPr>
                      <w:rFonts w:hint="default" w:ascii="Times New Roman" w:hAnsi="Times New Roman" w:eastAsia="宋体"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4</w:t>
                  </w:r>
                </w:p>
              </w:tc>
            </w:tr>
            <w:tr w14:paraId="55B21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2" w:type="dxa"/>
                  <w:gridSpan w:val="3"/>
                  <w:noWrap w:val="0"/>
                  <w:vAlign w:val="center"/>
                </w:tcPr>
                <w:p w14:paraId="43C17F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rPr>
                  </w:pPr>
                  <w:r>
                    <w:rPr>
                      <w:rFonts w:hint="default" w:ascii="Times New Roman" w:hAnsi="Times New Roman" w:eastAsia="宋体" w:cs="Times New Roman"/>
                      <w:b w:val="0"/>
                      <w:bCs w:val="0"/>
                      <w:snapToGrid/>
                      <w:color w:val="auto"/>
                      <w:spacing w:val="0"/>
                      <w:kern w:val="0"/>
                      <w:position w:val="0"/>
                      <w:sz w:val="21"/>
                      <w:szCs w:val="21"/>
                      <w:highlight w:val="none"/>
                    </w:rPr>
                    <w:t>合计</w:t>
                  </w:r>
                </w:p>
              </w:tc>
              <w:tc>
                <w:tcPr>
                  <w:tcW w:w="1147" w:type="dxa"/>
                  <w:noWrap w:val="0"/>
                  <w:vAlign w:val="center"/>
                </w:tcPr>
                <w:p w14:paraId="39B2C9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snapToGrid/>
                      <w:color w:val="auto"/>
                      <w:spacing w:val="0"/>
                      <w:kern w:val="0"/>
                      <w:position w:val="0"/>
                      <w:sz w:val="21"/>
                      <w:szCs w:val="21"/>
                      <w:highlight w:val="none"/>
                      <w:lang w:val="en-US" w:eastAsia="zh-CN"/>
                    </w:rPr>
                  </w:pPr>
                  <w:r>
                    <w:rPr>
                      <w:rFonts w:hint="eastAsia" w:cs="Times New Roman"/>
                      <w:b w:val="0"/>
                      <w:bCs w:val="0"/>
                      <w:snapToGrid/>
                      <w:color w:val="auto"/>
                      <w:spacing w:val="0"/>
                      <w:kern w:val="0"/>
                      <w:position w:val="0"/>
                      <w:sz w:val="21"/>
                      <w:szCs w:val="21"/>
                      <w:highlight w:val="none"/>
                      <w:lang w:val="en-US" w:eastAsia="zh-CN"/>
                    </w:rPr>
                    <w:t>50</w:t>
                  </w:r>
                </w:p>
              </w:tc>
            </w:tr>
          </w:tbl>
          <w:p w14:paraId="434731B6">
            <w:pPr>
              <w:pStyle w:val="33"/>
              <w:widowControl/>
              <w:adjustRightInd/>
              <w:spacing w:line="360" w:lineRule="auto"/>
              <w:ind w:firstLine="480" w:firstLineChars="200"/>
              <w:textAlignment w:val="auto"/>
              <w:rPr>
                <w:rFonts w:hint="default" w:ascii="Times New Roman" w:hAnsi="Times New Roman" w:cs="Times New Roman"/>
                <w:color w:val="auto"/>
                <w:sz w:val="24"/>
                <w:szCs w:val="24"/>
                <w:lang w:val="en-US" w:eastAsia="zh-CN"/>
              </w:rPr>
            </w:pPr>
          </w:p>
          <w:p w14:paraId="529F7D5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eastAsia="宋体"/>
                <w:snapToGrid/>
                <w:color w:val="FF0000"/>
                <w:spacing w:val="0"/>
                <w:kern w:val="0"/>
                <w:position w:val="0"/>
                <w:sz w:val="24"/>
                <w:szCs w:val="24"/>
                <w:lang w:val="en-US" w:eastAsia="zh-CN"/>
              </w:rPr>
            </w:pPr>
          </w:p>
        </w:tc>
      </w:tr>
    </w:tbl>
    <w:p w14:paraId="14777364">
      <w:pPr>
        <w:adjustRightInd w:val="0"/>
        <w:snapToGrid w:val="0"/>
        <w:jc w:val="both"/>
        <w:rPr>
          <w:rFonts w:hint="default" w:ascii="Times New Roman" w:hAnsi="Times New Roman" w:eastAsia="宋体" w:cs="Times New Roman"/>
          <w:b w:val="0"/>
          <w:bCs w:val="0"/>
          <w:snapToGrid/>
          <w:color w:val="000000" w:themeColor="text1"/>
          <w:spacing w:val="0"/>
          <w:kern w:val="0"/>
          <w:position w:val="0"/>
          <w:sz w:val="24"/>
          <w:szCs w:val="24"/>
          <w14:textFill>
            <w14:solidFill>
              <w14:schemeClr w14:val="tx1"/>
            </w14:solidFill>
          </w14:textFill>
        </w:rPr>
        <w:sectPr>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10274342">
      <w:pPr>
        <w:pStyle w:val="22"/>
        <w:jc w:val="center"/>
        <w:outlineLvl w:val="0"/>
        <w:rPr>
          <w:rFonts w:hint="eastAsia" w:ascii="宋体" w:hAnsi="宋体" w:eastAsia="宋体" w:cs="宋体"/>
          <w:b/>
          <w:bCs/>
          <w:snapToGrid w:val="0"/>
          <w:sz w:val="30"/>
          <w:szCs w:val="30"/>
        </w:rPr>
      </w:pPr>
      <w:r>
        <w:rPr>
          <w:rFonts w:hint="eastAsia" w:ascii="宋体" w:hAnsi="宋体" w:eastAsia="宋体" w:cs="宋体"/>
          <w:b/>
          <w:bCs/>
          <w:snapToGrid w:val="0"/>
          <w:sz w:val="30"/>
          <w:szCs w:val="30"/>
        </w:rPr>
        <w:t>五、</w:t>
      </w:r>
      <w:bookmarkStart w:id="5" w:name="_Hlk54167917"/>
      <w:r>
        <w:rPr>
          <w:rFonts w:hint="eastAsia" w:ascii="宋体" w:hAnsi="宋体" w:eastAsia="宋体" w:cs="宋体"/>
          <w:b/>
          <w:bCs/>
          <w:snapToGrid w:val="0"/>
          <w:sz w:val="30"/>
          <w:szCs w:val="30"/>
        </w:rPr>
        <w:t>环境保护措施监督检查清单</w:t>
      </w:r>
      <w:bookmarkEnd w:id="5"/>
    </w:p>
    <w:tbl>
      <w:tblPr>
        <w:tblStyle w:val="24"/>
        <w:tblW w:w="880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78"/>
        <w:gridCol w:w="1855"/>
        <w:gridCol w:w="1281"/>
        <w:gridCol w:w="1824"/>
        <w:gridCol w:w="2162"/>
      </w:tblGrid>
      <w:tr w14:paraId="2D4426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tcBorders>
              <w:tl2br w:val="single" w:color="auto" w:sz="8" w:space="0"/>
            </w:tcBorders>
            <w:noWrap w:val="0"/>
            <w:vAlign w:val="top"/>
          </w:tcPr>
          <w:p w14:paraId="51299DA6">
            <w:pPr>
              <w:adjustRightInd w:val="0"/>
              <w:snapToGrid w:val="0"/>
              <w:ind w:firstLine="84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内容</w:t>
            </w:r>
          </w:p>
          <w:p w14:paraId="6B28EBF4">
            <w:pPr>
              <w:adjustRightInd w:val="0"/>
              <w:snapToGrid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要素</w:t>
            </w:r>
          </w:p>
        </w:tc>
        <w:tc>
          <w:tcPr>
            <w:tcW w:w="1855" w:type="dxa"/>
            <w:tcBorders>
              <w:tl2br w:val="nil"/>
              <w:tr2bl w:val="nil"/>
            </w:tcBorders>
            <w:noWrap w:val="0"/>
            <w:vAlign w:val="center"/>
          </w:tcPr>
          <w:p w14:paraId="2454E3B2">
            <w:pPr>
              <w:adjustRightInd w:val="0"/>
              <w:snapToGrid w:val="0"/>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排放口</w:t>
            </w:r>
            <w:r>
              <w:rPr>
                <w:rFonts w:hint="eastAsia" w:cs="Times New Roman"/>
                <w:color w:val="000000"/>
                <w:sz w:val="24"/>
                <w:szCs w:val="24"/>
                <w:lang w:eastAsia="zh-CN"/>
              </w:rPr>
              <w:t>（</w:t>
            </w:r>
            <w:r>
              <w:rPr>
                <w:rFonts w:hint="default" w:ascii="Times New Roman" w:hAnsi="Times New Roman" w:eastAsia="宋体" w:cs="Times New Roman"/>
                <w:color w:val="000000"/>
                <w:sz w:val="24"/>
                <w:szCs w:val="24"/>
              </w:rPr>
              <w:t>编号、</w:t>
            </w:r>
          </w:p>
          <w:p w14:paraId="3BFC0372">
            <w:pPr>
              <w:adjustRightInd w:val="0"/>
              <w:snapToGrid w:val="0"/>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名称</w:t>
            </w:r>
            <w:r>
              <w:rPr>
                <w:rFonts w:hint="eastAsia" w:cs="Times New Roman"/>
                <w:color w:val="000000"/>
                <w:sz w:val="24"/>
                <w:szCs w:val="24"/>
                <w:lang w:eastAsia="zh-CN"/>
              </w:rPr>
              <w:t>）</w:t>
            </w:r>
            <w:r>
              <w:rPr>
                <w:rFonts w:hint="default" w:ascii="Times New Roman" w:hAnsi="Times New Roman" w:eastAsia="宋体" w:cs="Times New Roman"/>
                <w:color w:val="000000"/>
                <w:sz w:val="24"/>
                <w:szCs w:val="24"/>
              </w:rPr>
              <w:t>/污染源</w:t>
            </w:r>
          </w:p>
        </w:tc>
        <w:tc>
          <w:tcPr>
            <w:tcW w:w="1281" w:type="dxa"/>
            <w:tcBorders>
              <w:tl2br w:val="nil"/>
              <w:tr2bl w:val="nil"/>
            </w:tcBorders>
            <w:noWrap w:val="0"/>
            <w:vAlign w:val="center"/>
          </w:tcPr>
          <w:p w14:paraId="3809E51B">
            <w:pPr>
              <w:adjustRightInd w:val="0"/>
              <w:snapToGrid w:val="0"/>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污染物项目</w:t>
            </w:r>
          </w:p>
        </w:tc>
        <w:tc>
          <w:tcPr>
            <w:tcW w:w="1824" w:type="dxa"/>
            <w:tcBorders>
              <w:tl2br w:val="nil"/>
              <w:tr2bl w:val="nil"/>
            </w:tcBorders>
            <w:noWrap w:val="0"/>
            <w:vAlign w:val="center"/>
          </w:tcPr>
          <w:p w14:paraId="3C31F2B2">
            <w:pPr>
              <w:adjustRightInd w:val="0"/>
              <w:snapToGrid w:val="0"/>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环境保护措施</w:t>
            </w:r>
          </w:p>
        </w:tc>
        <w:tc>
          <w:tcPr>
            <w:tcW w:w="2162" w:type="dxa"/>
            <w:tcBorders>
              <w:tl2br w:val="nil"/>
              <w:tr2bl w:val="nil"/>
            </w:tcBorders>
            <w:noWrap w:val="0"/>
            <w:vAlign w:val="center"/>
          </w:tcPr>
          <w:p w14:paraId="3ECD5861">
            <w:pPr>
              <w:adjustRightInd w:val="0"/>
              <w:snapToGrid w:val="0"/>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执行标准</w:t>
            </w:r>
          </w:p>
        </w:tc>
      </w:tr>
      <w:tr w14:paraId="39B1C1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restart"/>
            <w:tcBorders>
              <w:tl2br w:val="nil"/>
              <w:tr2bl w:val="nil"/>
            </w:tcBorders>
            <w:noWrap w:val="0"/>
            <w:vAlign w:val="center"/>
          </w:tcPr>
          <w:p w14:paraId="1173001C">
            <w:pPr>
              <w:adjustRightInd w:val="0"/>
              <w:snapToGrid w:val="0"/>
              <w:jc w:val="center"/>
              <w:rPr>
                <w:rFonts w:hint="default" w:ascii="Times New Roman" w:hAnsi="Times New Roman" w:eastAsia="宋体" w:cs="Times New Roman"/>
                <w:b w:val="0"/>
                <w:bCs w:val="0"/>
                <w:color w:val="FF0000"/>
                <w:sz w:val="24"/>
                <w:szCs w:val="24"/>
              </w:rPr>
            </w:pPr>
            <w:r>
              <w:rPr>
                <w:rFonts w:hint="default" w:ascii="Times New Roman" w:hAnsi="Times New Roman" w:eastAsia="宋体" w:cs="Times New Roman"/>
                <w:b w:val="0"/>
                <w:bCs w:val="0"/>
                <w:color w:val="000000" w:themeColor="text1"/>
                <w:sz w:val="24"/>
                <w:szCs w:val="24"/>
                <w14:textFill>
                  <w14:solidFill>
                    <w14:schemeClr w14:val="tx1"/>
                  </w14:solidFill>
                </w14:textFill>
              </w:rPr>
              <w:t>大气环境</w:t>
            </w:r>
          </w:p>
        </w:tc>
        <w:tc>
          <w:tcPr>
            <w:tcW w:w="1855" w:type="dxa"/>
            <w:tcBorders>
              <w:tl2br w:val="nil"/>
              <w:tr2bl w:val="nil"/>
            </w:tcBorders>
            <w:noWrap w:val="0"/>
            <w:vAlign w:val="center"/>
          </w:tcPr>
          <w:p w14:paraId="227FDCD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4"/>
                <w:szCs w:val="24"/>
                <w:lang w:val="en-US" w:eastAsia="zh-CN"/>
              </w:rPr>
            </w:pPr>
            <w:r>
              <w:rPr>
                <w:rFonts w:hint="default" w:ascii="Times New Roman" w:hAnsi="Times New Roman" w:eastAsia="宋体" w:cs="Times New Roman"/>
                <w:b w:val="0"/>
                <w:bCs w:val="0"/>
                <w:snapToGrid/>
                <w:color w:val="auto"/>
                <w:spacing w:val="0"/>
                <w:kern w:val="0"/>
                <w:position w:val="0"/>
                <w:sz w:val="24"/>
                <w:szCs w:val="24"/>
                <w:highlight w:val="none"/>
                <w:lang w:eastAsia="zh-CN"/>
              </w:rPr>
              <w:t>混料、</w:t>
            </w:r>
            <w:r>
              <w:rPr>
                <w:rFonts w:hint="eastAsia" w:cs="Times New Roman"/>
                <w:color w:val="000000" w:themeColor="text1"/>
                <w:kern w:val="2"/>
                <w:sz w:val="24"/>
                <w:szCs w:val="24"/>
                <w:lang w:val="en-US" w:eastAsia="zh-CN" w:bidi="ar-SA"/>
                <w14:textFill>
                  <w14:solidFill>
                    <w14:schemeClr w14:val="tx1"/>
                  </w14:solidFill>
                </w14:textFill>
              </w:rPr>
              <w:t>牵引切割、精确切割</w:t>
            </w:r>
            <w:r>
              <w:rPr>
                <w:rFonts w:hint="default" w:ascii="Times New Roman" w:hAnsi="Times New Roman" w:eastAsia="宋体" w:cs="Times New Roman"/>
                <w:b w:val="0"/>
                <w:bCs w:val="0"/>
                <w:snapToGrid/>
                <w:color w:val="auto"/>
                <w:spacing w:val="0"/>
                <w:kern w:val="0"/>
                <w:position w:val="0"/>
                <w:sz w:val="24"/>
                <w:szCs w:val="24"/>
                <w:highlight w:val="none"/>
                <w:lang w:eastAsia="zh-CN"/>
              </w:rPr>
              <w:t>、砂光打磨废气</w:t>
            </w:r>
            <w:r>
              <w:rPr>
                <w:rFonts w:hint="eastAsia" w:eastAsia="宋体" w:cs="Times New Roman"/>
                <w:b w:val="0"/>
                <w:bCs w:val="0"/>
                <w:snapToGrid/>
                <w:color w:val="auto"/>
                <w:spacing w:val="0"/>
                <w:kern w:val="0"/>
                <w:position w:val="0"/>
                <w:sz w:val="24"/>
                <w:szCs w:val="24"/>
                <w:highlight w:val="none"/>
                <w:lang w:eastAsia="zh-CN"/>
              </w:rPr>
              <w:t>排放口</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DA006</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w:t>
            </w:r>
            <w:r>
              <w:rPr>
                <w:rFonts w:hint="default" w:ascii="Times New Roman" w:hAnsi="Times New Roman" w:eastAsia="宋体" w:cs="Times New Roman"/>
                <w:b w:val="0"/>
                <w:bCs w:val="0"/>
                <w:snapToGrid/>
                <w:color w:val="auto"/>
                <w:spacing w:val="0"/>
                <w:kern w:val="0"/>
                <w:position w:val="0"/>
                <w:sz w:val="24"/>
                <w:szCs w:val="24"/>
                <w:highlight w:val="none"/>
                <w:lang w:eastAsia="zh-CN"/>
              </w:rPr>
              <w:t>混料、切割、砂光打磨</w:t>
            </w:r>
          </w:p>
        </w:tc>
        <w:tc>
          <w:tcPr>
            <w:tcW w:w="1281" w:type="dxa"/>
            <w:tcBorders>
              <w:tl2br w:val="nil"/>
              <w:tr2bl w:val="nil"/>
            </w:tcBorders>
            <w:noWrap w:val="0"/>
            <w:vAlign w:val="center"/>
          </w:tcPr>
          <w:p w14:paraId="5CAD8E2F">
            <w:pPr>
              <w:adjustRightInd w:val="0"/>
              <w:snapToGrid w:val="0"/>
              <w:jc w:val="center"/>
              <w:rPr>
                <w:rFonts w:hint="default" w:ascii="Times New Roman" w:hAnsi="Times New Roman" w:eastAsia="宋体" w:cs="Times New Roman"/>
                <w:snapToGrid/>
                <w:color w:val="auto"/>
                <w:spacing w:val="0"/>
                <w:kern w:val="0"/>
                <w:position w:val="0"/>
                <w:sz w:val="24"/>
                <w:szCs w:val="24"/>
                <w:lang w:val="en-US" w:eastAsia="zh-CN"/>
              </w:rPr>
            </w:pPr>
            <w:r>
              <w:rPr>
                <w:rFonts w:hint="eastAsia" w:cs="Times New Roman"/>
                <w:snapToGrid/>
                <w:color w:val="auto"/>
                <w:spacing w:val="0"/>
                <w:kern w:val="0"/>
                <w:position w:val="0"/>
                <w:sz w:val="24"/>
                <w:szCs w:val="24"/>
                <w:lang w:val="en-US" w:eastAsia="zh-CN"/>
              </w:rPr>
              <w:t>颗粒物</w:t>
            </w:r>
          </w:p>
        </w:tc>
        <w:tc>
          <w:tcPr>
            <w:tcW w:w="1824" w:type="dxa"/>
            <w:tcBorders>
              <w:tl2br w:val="nil"/>
              <w:tr2bl w:val="nil"/>
            </w:tcBorders>
            <w:noWrap w:val="0"/>
            <w:vAlign w:val="center"/>
          </w:tcPr>
          <w:p w14:paraId="41EDAF27">
            <w:pPr>
              <w:adjustRightInd w:val="0"/>
              <w:snapToGrid w:val="0"/>
              <w:jc w:val="center"/>
              <w:rPr>
                <w:rFonts w:hint="eastAsia" w:cs="Times New Roman"/>
                <w:color w:val="auto"/>
                <w:sz w:val="24"/>
                <w:szCs w:val="24"/>
                <w:lang w:val="en-US" w:eastAsia="zh-CN"/>
              </w:rPr>
            </w:pPr>
            <w:r>
              <w:rPr>
                <w:rFonts w:hint="eastAsia"/>
                <w:color w:val="auto"/>
                <w:sz w:val="24"/>
                <w:szCs w:val="24"/>
                <w:lang w:val="en-US" w:eastAsia="zh-CN"/>
              </w:rPr>
              <w:t>集气罩+</w:t>
            </w:r>
            <w:r>
              <w:rPr>
                <w:rFonts w:hint="eastAsia" w:cs="Times New Roman"/>
                <w:color w:val="auto"/>
                <w:kern w:val="2"/>
                <w:sz w:val="24"/>
                <w:szCs w:val="24"/>
                <w:lang w:val="en-US" w:eastAsia="zh-CN" w:bidi="ar-SA"/>
              </w:rPr>
              <w:t>布</w:t>
            </w:r>
            <w:r>
              <w:rPr>
                <w:rFonts w:hint="eastAsia" w:ascii="Times New Roman" w:hAnsi="Times New Roman" w:eastAsia="宋体" w:cs="Times New Roman"/>
                <w:color w:val="auto"/>
                <w:kern w:val="2"/>
                <w:sz w:val="24"/>
                <w:szCs w:val="24"/>
                <w:lang w:val="en-US" w:eastAsia="zh-CN" w:bidi="ar-SA"/>
              </w:rPr>
              <w:t>袋除尘器</w:t>
            </w:r>
            <w:r>
              <w:rPr>
                <w:rFonts w:hint="eastAsia"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15m</w:t>
            </w:r>
            <w:r>
              <w:rPr>
                <w:rFonts w:hint="default" w:ascii="Times New Roman" w:hAnsi="Times New Roman" w:eastAsia="宋体" w:cs="Times New Roman"/>
                <w:color w:val="auto"/>
                <w:sz w:val="24"/>
                <w:szCs w:val="24"/>
                <w:lang w:val="en-US" w:eastAsia="zh-CN"/>
              </w:rPr>
              <w:t>排气筒（DA00</w:t>
            </w:r>
            <w:r>
              <w:rPr>
                <w:rFonts w:hint="eastAsia" w:cs="Times New Roman"/>
                <w:color w:val="auto"/>
                <w:sz w:val="24"/>
                <w:szCs w:val="24"/>
                <w:lang w:val="en-US" w:eastAsia="zh-CN"/>
              </w:rPr>
              <w:t>6</w:t>
            </w:r>
            <w:r>
              <w:rPr>
                <w:rFonts w:hint="default" w:ascii="Times New Roman" w:hAnsi="Times New Roman" w:eastAsia="宋体" w:cs="Times New Roman"/>
                <w:color w:val="auto"/>
                <w:sz w:val="24"/>
                <w:szCs w:val="24"/>
                <w:lang w:val="en-US" w:eastAsia="zh-CN"/>
              </w:rPr>
              <w:t>）排放</w:t>
            </w:r>
          </w:p>
        </w:tc>
        <w:tc>
          <w:tcPr>
            <w:tcW w:w="2162" w:type="dxa"/>
            <w:tcBorders>
              <w:tl2br w:val="nil"/>
              <w:tr2bl w:val="nil"/>
            </w:tcBorders>
            <w:noWrap w:val="0"/>
            <w:vAlign w:val="center"/>
          </w:tcPr>
          <w:p w14:paraId="4251F21E">
            <w:pPr>
              <w:adjustRightInd w:val="0"/>
              <w:snapToGrid w:val="0"/>
              <w:jc w:val="center"/>
              <w:rPr>
                <w:rFonts w:hint="eastAsia"/>
                <w:color w:val="auto"/>
                <w:sz w:val="24"/>
                <w:lang w:eastAsia="zh-CN"/>
              </w:rPr>
            </w:pPr>
            <w:r>
              <w:rPr>
                <w:rFonts w:hint="eastAsia"/>
                <w:color w:val="auto"/>
                <w:sz w:val="24"/>
                <w:lang w:eastAsia="zh-CN"/>
              </w:rPr>
              <w:t>《合成树脂工业污染物排放标准》（GB31572-2015）</w:t>
            </w:r>
          </w:p>
        </w:tc>
      </w:tr>
      <w:tr w14:paraId="02BF3C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678" w:type="dxa"/>
            <w:vMerge w:val="continue"/>
            <w:tcBorders>
              <w:tl2br w:val="nil"/>
              <w:tr2bl w:val="nil"/>
            </w:tcBorders>
            <w:noWrap w:val="0"/>
            <w:vAlign w:val="center"/>
          </w:tcPr>
          <w:p w14:paraId="3F4FF6C1">
            <w:pPr>
              <w:adjustRightInd w:val="0"/>
              <w:snapToGrid w:val="0"/>
              <w:jc w:val="center"/>
              <w:rPr>
                <w:rFonts w:hint="default" w:ascii="Times New Roman" w:hAnsi="Times New Roman" w:eastAsia="宋体" w:cs="Times New Roman"/>
                <w:b w:val="0"/>
                <w:bCs w:val="0"/>
                <w:color w:val="FF0000"/>
                <w:sz w:val="24"/>
                <w:szCs w:val="24"/>
              </w:rPr>
            </w:pPr>
          </w:p>
        </w:tc>
        <w:tc>
          <w:tcPr>
            <w:tcW w:w="1855" w:type="dxa"/>
            <w:vMerge w:val="restart"/>
            <w:tcBorders>
              <w:tl2br w:val="nil"/>
              <w:tr2bl w:val="nil"/>
            </w:tcBorders>
            <w:noWrap w:val="0"/>
            <w:vAlign w:val="center"/>
          </w:tcPr>
          <w:p w14:paraId="1017728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color w:val="auto"/>
                <w:sz w:val="24"/>
                <w:szCs w:val="24"/>
                <w:lang w:val="en-US" w:eastAsia="zh-CN"/>
              </w:rPr>
            </w:pPr>
            <w:r>
              <w:rPr>
                <w:rFonts w:hint="eastAsia" w:cs="Times New Roman"/>
                <w:b w:val="0"/>
                <w:bCs w:val="0"/>
                <w:color w:val="auto"/>
                <w:sz w:val="24"/>
                <w:szCs w:val="24"/>
                <w:lang w:val="en-US" w:eastAsia="zh-CN"/>
              </w:rPr>
              <w:t>融熔挤出废气排放</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DA007</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/融熔挤出</w:t>
            </w:r>
          </w:p>
        </w:tc>
        <w:tc>
          <w:tcPr>
            <w:tcW w:w="1281" w:type="dxa"/>
            <w:tcBorders>
              <w:tl2br w:val="nil"/>
              <w:tr2bl w:val="nil"/>
            </w:tcBorders>
            <w:noWrap w:val="0"/>
            <w:vAlign w:val="center"/>
          </w:tcPr>
          <w:p w14:paraId="7427FC47">
            <w:pPr>
              <w:adjustRightInd w:val="0"/>
              <w:snapToGrid w:val="0"/>
              <w:jc w:val="center"/>
              <w:rPr>
                <w:rFonts w:hint="default" w:ascii="Times New Roman" w:hAnsi="Times New Roman" w:eastAsia="宋体" w:cs="Times New Roman"/>
                <w:snapToGrid/>
                <w:color w:val="auto"/>
                <w:spacing w:val="0"/>
                <w:kern w:val="0"/>
                <w:position w:val="0"/>
                <w:sz w:val="24"/>
                <w:szCs w:val="24"/>
                <w:lang w:val="en-US" w:eastAsia="zh-CN"/>
              </w:rPr>
            </w:pPr>
            <w:r>
              <w:rPr>
                <w:rFonts w:hint="eastAsia" w:cs="Times New Roman"/>
                <w:snapToGrid/>
                <w:color w:val="auto"/>
                <w:spacing w:val="0"/>
                <w:kern w:val="0"/>
                <w:position w:val="0"/>
                <w:sz w:val="24"/>
                <w:szCs w:val="24"/>
                <w:lang w:val="en-US" w:eastAsia="zh-CN"/>
              </w:rPr>
              <w:t>非甲烷总烃</w:t>
            </w:r>
          </w:p>
        </w:tc>
        <w:tc>
          <w:tcPr>
            <w:tcW w:w="1824" w:type="dxa"/>
            <w:vMerge w:val="restart"/>
            <w:tcBorders>
              <w:tl2br w:val="nil"/>
              <w:tr2bl w:val="nil"/>
            </w:tcBorders>
            <w:noWrap w:val="0"/>
            <w:vAlign w:val="center"/>
          </w:tcPr>
          <w:p w14:paraId="02BE7CAF">
            <w:pPr>
              <w:adjustRightInd w:val="0"/>
              <w:snapToGrid w:val="0"/>
              <w:jc w:val="center"/>
              <w:rPr>
                <w:rFonts w:hint="eastAsia" w:cs="Times New Roman"/>
                <w:color w:val="auto"/>
                <w:sz w:val="24"/>
                <w:szCs w:val="24"/>
                <w:lang w:val="en-US" w:eastAsia="zh-CN"/>
              </w:rPr>
            </w:pPr>
            <w:r>
              <w:rPr>
                <w:rFonts w:hint="eastAsia" w:cs="Times New Roman"/>
                <w:b w:val="0"/>
                <w:bCs w:val="0"/>
                <w:color w:val="auto"/>
                <w:sz w:val="24"/>
                <w:szCs w:val="24"/>
                <w:lang w:val="en-US" w:eastAsia="zh-CN"/>
              </w:rPr>
              <w:t>集气罩+</w:t>
            </w:r>
            <w:r>
              <w:rPr>
                <w:rFonts w:hint="eastAsia" w:cs="Times New Roman"/>
                <w:color w:val="auto"/>
                <w:kern w:val="2"/>
                <w:sz w:val="24"/>
                <w:szCs w:val="24"/>
                <w:lang w:val="en-US" w:eastAsia="zh-CN" w:bidi="ar-SA"/>
              </w:rPr>
              <w:t>碱液喷淋+除雾器+活性炭+CO催化燃烧装置+</w:t>
            </w:r>
            <w:r>
              <w:rPr>
                <w:rFonts w:hint="eastAsia" w:cs="Times New Roman"/>
                <w:color w:val="auto"/>
                <w:sz w:val="24"/>
                <w:szCs w:val="24"/>
                <w:lang w:val="en-US" w:eastAsia="zh-CN"/>
              </w:rPr>
              <w:t>15m</w:t>
            </w:r>
            <w:r>
              <w:rPr>
                <w:rFonts w:hint="default" w:ascii="Times New Roman" w:hAnsi="Times New Roman" w:eastAsia="宋体" w:cs="Times New Roman"/>
                <w:color w:val="auto"/>
                <w:sz w:val="24"/>
                <w:szCs w:val="24"/>
                <w:lang w:val="en-US" w:eastAsia="zh-CN"/>
              </w:rPr>
              <w:t>排气筒（DA00</w:t>
            </w:r>
            <w:r>
              <w:rPr>
                <w:rFonts w:hint="eastAsia"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）排放</w:t>
            </w:r>
          </w:p>
        </w:tc>
        <w:tc>
          <w:tcPr>
            <w:tcW w:w="2162" w:type="dxa"/>
            <w:vMerge w:val="restart"/>
            <w:tcBorders>
              <w:tl2br w:val="nil"/>
              <w:tr2bl w:val="nil"/>
            </w:tcBorders>
            <w:noWrap w:val="0"/>
            <w:vAlign w:val="center"/>
          </w:tcPr>
          <w:p w14:paraId="24414A7C">
            <w:pPr>
              <w:adjustRightInd w:val="0"/>
              <w:snapToGrid w:val="0"/>
              <w:jc w:val="center"/>
              <w:rPr>
                <w:rFonts w:hint="eastAsia"/>
                <w:color w:val="auto"/>
                <w:sz w:val="24"/>
                <w:szCs w:val="24"/>
                <w:lang w:eastAsia="zh-CN"/>
              </w:rPr>
            </w:pPr>
            <w:r>
              <w:rPr>
                <w:rFonts w:hint="eastAsia"/>
                <w:color w:val="auto"/>
                <w:sz w:val="24"/>
                <w:szCs w:val="24"/>
                <w:lang w:eastAsia="zh-CN"/>
              </w:rPr>
              <w:t>《固定源挥发性有机物综合排放标准第6部分：其他行业》（DB34/4812.6-2024）</w:t>
            </w:r>
            <w:r>
              <w:rPr>
                <w:rFonts w:hint="eastAsia" w:eastAsia="宋体" w:cs="Times New Roman"/>
                <w:b w:val="0"/>
                <w:bCs/>
                <w:color w:val="auto"/>
                <w:sz w:val="24"/>
                <w:szCs w:val="24"/>
                <w:highlight w:val="none"/>
                <w:lang w:eastAsia="zh-CN"/>
              </w:rPr>
              <w:t>；《合成树脂工业污染物排放标准》（GB31572-2015）</w:t>
            </w:r>
            <w:r>
              <w:rPr>
                <w:rFonts w:hint="eastAsia" w:cs="Times New Roman"/>
                <w:b w:val="0"/>
                <w:bCs/>
                <w:color w:val="auto"/>
                <w:sz w:val="24"/>
                <w:szCs w:val="24"/>
                <w:highlight w:val="none"/>
                <w:lang w:eastAsia="zh-CN"/>
              </w:rPr>
              <w:t>；</w:t>
            </w:r>
          </w:p>
          <w:p w14:paraId="07586E4E">
            <w:pPr>
              <w:adjustRightInd w:val="0"/>
              <w:snapToGrid w:val="0"/>
              <w:jc w:val="center"/>
              <w:rPr>
                <w:rFonts w:hint="eastAsia"/>
                <w:color w:val="FF0000"/>
                <w:sz w:val="24"/>
                <w:lang w:eastAsia="zh-CN"/>
              </w:rPr>
            </w:pPr>
          </w:p>
        </w:tc>
      </w:tr>
      <w:tr w14:paraId="79FB00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678" w:type="dxa"/>
            <w:vMerge w:val="continue"/>
            <w:tcBorders>
              <w:tl2br w:val="nil"/>
              <w:tr2bl w:val="nil"/>
            </w:tcBorders>
            <w:noWrap w:val="0"/>
            <w:vAlign w:val="center"/>
          </w:tcPr>
          <w:p w14:paraId="5105A0ED">
            <w:pPr>
              <w:adjustRightInd w:val="0"/>
              <w:snapToGrid w:val="0"/>
              <w:jc w:val="center"/>
              <w:rPr>
                <w:rFonts w:hint="default" w:ascii="Times New Roman" w:hAnsi="Times New Roman" w:eastAsia="宋体" w:cs="Times New Roman"/>
                <w:b w:val="0"/>
                <w:bCs w:val="0"/>
                <w:color w:val="FF0000"/>
                <w:sz w:val="24"/>
                <w:szCs w:val="24"/>
              </w:rPr>
            </w:pPr>
          </w:p>
        </w:tc>
        <w:tc>
          <w:tcPr>
            <w:tcW w:w="1855" w:type="dxa"/>
            <w:vMerge w:val="continue"/>
            <w:tcBorders>
              <w:tl2br w:val="nil"/>
              <w:tr2bl w:val="nil"/>
            </w:tcBorders>
            <w:noWrap w:val="0"/>
            <w:vAlign w:val="center"/>
          </w:tcPr>
          <w:p w14:paraId="41B681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auto"/>
                <w:sz w:val="24"/>
                <w:szCs w:val="24"/>
                <w:lang w:val="en-US" w:eastAsia="zh-CN"/>
              </w:rPr>
            </w:pPr>
          </w:p>
        </w:tc>
        <w:tc>
          <w:tcPr>
            <w:tcW w:w="1281" w:type="dxa"/>
            <w:tcBorders>
              <w:tl2br w:val="nil"/>
              <w:tr2bl w:val="nil"/>
            </w:tcBorders>
            <w:noWrap w:val="0"/>
            <w:vAlign w:val="center"/>
          </w:tcPr>
          <w:p w14:paraId="68FFD0C5">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snapToGrid/>
                <w:color w:val="FF0000"/>
                <w:spacing w:val="0"/>
                <w:kern w:val="0"/>
                <w:position w:val="0"/>
                <w:sz w:val="24"/>
                <w:szCs w:val="24"/>
                <w:lang w:val="en-US" w:eastAsia="zh-CN"/>
              </w:rPr>
            </w:pPr>
            <w:r>
              <w:rPr>
                <w:rFonts w:hint="eastAsia" w:ascii="Times New Roman" w:hAnsi="Times New Roman" w:eastAsia="宋体" w:cs="Times New Roman"/>
                <w:color w:val="auto"/>
                <w:sz w:val="24"/>
                <w:szCs w:val="24"/>
                <w:lang w:val="en-US" w:eastAsia="zh-CN"/>
              </w:rPr>
              <w:t>氯乙烯</w:t>
            </w:r>
          </w:p>
        </w:tc>
        <w:tc>
          <w:tcPr>
            <w:tcW w:w="1824" w:type="dxa"/>
            <w:vMerge w:val="continue"/>
            <w:tcBorders>
              <w:tl2br w:val="nil"/>
              <w:tr2bl w:val="nil"/>
            </w:tcBorders>
            <w:noWrap w:val="0"/>
            <w:vAlign w:val="center"/>
          </w:tcPr>
          <w:p w14:paraId="686EB0AE">
            <w:pPr>
              <w:adjustRightInd w:val="0"/>
              <w:snapToGrid w:val="0"/>
              <w:jc w:val="center"/>
              <w:rPr>
                <w:rFonts w:hint="eastAsia" w:cs="Times New Roman"/>
                <w:b w:val="0"/>
                <w:bCs w:val="0"/>
                <w:color w:val="auto"/>
                <w:sz w:val="24"/>
                <w:szCs w:val="24"/>
                <w:lang w:val="en-US" w:eastAsia="zh-CN"/>
              </w:rPr>
            </w:pPr>
          </w:p>
        </w:tc>
        <w:tc>
          <w:tcPr>
            <w:tcW w:w="2162" w:type="dxa"/>
            <w:vMerge w:val="continue"/>
            <w:tcBorders>
              <w:tl2br w:val="nil"/>
              <w:tr2bl w:val="nil"/>
            </w:tcBorders>
            <w:noWrap w:val="0"/>
            <w:vAlign w:val="center"/>
          </w:tcPr>
          <w:p w14:paraId="479FCC3D">
            <w:pPr>
              <w:adjustRightInd w:val="0"/>
              <w:snapToGrid w:val="0"/>
              <w:jc w:val="center"/>
              <w:rPr>
                <w:rFonts w:hint="eastAsia"/>
                <w:color w:val="FF0000"/>
                <w:sz w:val="24"/>
                <w:lang w:eastAsia="zh-CN"/>
              </w:rPr>
            </w:pPr>
          </w:p>
        </w:tc>
      </w:tr>
      <w:tr w14:paraId="3220AE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4112457D">
            <w:pPr>
              <w:adjustRightInd w:val="0"/>
              <w:snapToGrid w:val="0"/>
              <w:jc w:val="center"/>
              <w:rPr>
                <w:rFonts w:hint="default" w:ascii="Times New Roman" w:hAnsi="Times New Roman" w:eastAsia="宋体" w:cs="Times New Roman"/>
                <w:b w:val="0"/>
                <w:bCs w:val="0"/>
                <w:color w:val="FF0000"/>
                <w:sz w:val="24"/>
                <w:szCs w:val="24"/>
              </w:rPr>
            </w:pPr>
          </w:p>
        </w:tc>
        <w:tc>
          <w:tcPr>
            <w:tcW w:w="1855" w:type="dxa"/>
            <w:vMerge w:val="continue"/>
            <w:tcBorders>
              <w:tl2br w:val="nil"/>
              <w:tr2bl w:val="nil"/>
            </w:tcBorders>
            <w:noWrap w:val="0"/>
            <w:vAlign w:val="center"/>
          </w:tcPr>
          <w:p w14:paraId="34A3123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auto"/>
                <w:sz w:val="24"/>
                <w:szCs w:val="24"/>
                <w:lang w:val="en-US" w:eastAsia="zh-CN"/>
              </w:rPr>
            </w:pPr>
          </w:p>
        </w:tc>
        <w:tc>
          <w:tcPr>
            <w:tcW w:w="1281" w:type="dxa"/>
            <w:tcBorders>
              <w:tl2br w:val="nil"/>
              <w:tr2bl w:val="nil"/>
            </w:tcBorders>
            <w:noWrap w:val="0"/>
            <w:vAlign w:val="center"/>
          </w:tcPr>
          <w:p w14:paraId="4C3A51C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snapToGrid/>
                <w:color w:val="FF0000"/>
                <w:spacing w:val="0"/>
                <w:kern w:val="0"/>
                <w:position w:val="0"/>
                <w:sz w:val="24"/>
                <w:szCs w:val="24"/>
                <w:lang w:val="en-US" w:eastAsia="zh-CN"/>
              </w:rPr>
            </w:pPr>
            <w:r>
              <w:rPr>
                <w:rFonts w:hint="eastAsia" w:ascii="Times New Roman" w:hAnsi="Times New Roman" w:eastAsia="宋体" w:cs="Times New Roman"/>
                <w:color w:val="auto"/>
                <w:sz w:val="24"/>
                <w:szCs w:val="24"/>
                <w:lang w:val="en-US" w:eastAsia="zh-CN"/>
              </w:rPr>
              <w:t>氯化氢</w:t>
            </w:r>
          </w:p>
        </w:tc>
        <w:tc>
          <w:tcPr>
            <w:tcW w:w="1824" w:type="dxa"/>
            <w:vMerge w:val="continue"/>
            <w:tcBorders>
              <w:tl2br w:val="nil"/>
              <w:tr2bl w:val="nil"/>
            </w:tcBorders>
            <w:noWrap w:val="0"/>
            <w:vAlign w:val="center"/>
          </w:tcPr>
          <w:p w14:paraId="0B1CA88D">
            <w:pPr>
              <w:adjustRightInd w:val="0"/>
              <w:snapToGrid w:val="0"/>
              <w:jc w:val="center"/>
              <w:rPr>
                <w:rFonts w:hint="eastAsia" w:cs="Times New Roman"/>
                <w:b w:val="0"/>
                <w:bCs w:val="0"/>
                <w:color w:val="auto"/>
                <w:sz w:val="24"/>
                <w:szCs w:val="24"/>
                <w:lang w:val="en-US" w:eastAsia="zh-CN"/>
              </w:rPr>
            </w:pPr>
          </w:p>
        </w:tc>
        <w:tc>
          <w:tcPr>
            <w:tcW w:w="2162" w:type="dxa"/>
            <w:vMerge w:val="continue"/>
            <w:tcBorders>
              <w:tl2br w:val="nil"/>
              <w:tr2bl w:val="nil"/>
            </w:tcBorders>
            <w:noWrap w:val="0"/>
            <w:vAlign w:val="center"/>
          </w:tcPr>
          <w:p w14:paraId="3A22B4C6">
            <w:pPr>
              <w:adjustRightInd w:val="0"/>
              <w:snapToGrid w:val="0"/>
              <w:jc w:val="center"/>
              <w:rPr>
                <w:rFonts w:hint="eastAsia"/>
                <w:color w:val="FF0000"/>
                <w:sz w:val="24"/>
                <w:lang w:eastAsia="zh-CN"/>
              </w:rPr>
            </w:pPr>
          </w:p>
        </w:tc>
      </w:tr>
      <w:tr w14:paraId="228B6F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35BD0F28">
            <w:pPr>
              <w:adjustRightInd w:val="0"/>
              <w:snapToGrid w:val="0"/>
              <w:jc w:val="center"/>
              <w:rPr>
                <w:rFonts w:hint="default" w:ascii="Times New Roman" w:hAnsi="Times New Roman" w:eastAsia="宋体" w:cs="Times New Roman"/>
                <w:b w:val="0"/>
                <w:bCs w:val="0"/>
                <w:color w:val="FF0000"/>
                <w:sz w:val="24"/>
                <w:szCs w:val="24"/>
              </w:rPr>
            </w:pPr>
          </w:p>
        </w:tc>
        <w:tc>
          <w:tcPr>
            <w:tcW w:w="1855" w:type="dxa"/>
            <w:vMerge w:val="continue"/>
            <w:tcBorders>
              <w:tl2br w:val="nil"/>
              <w:tr2bl w:val="nil"/>
            </w:tcBorders>
            <w:noWrap w:val="0"/>
            <w:vAlign w:val="center"/>
          </w:tcPr>
          <w:p w14:paraId="38763DF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auto"/>
                <w:sz w:val="24"/>
                <w:szCs w:val="24"/>
                <w:lang w:val="en-US" w:eastAsia="zh-CN"/>
              </w:rPr>
            </w:pPr>
          </w:p>
        </w:tc>
        <w:tc>
          <w:tcPr>
            <w:tcW w:w="1281" w:type="dxa"/>
            <w:tcBorders>
              <w:tl2br w:val="nil"/>
              <w:tr2bl w:val="nil"/>
            </w:tcBorders>
            <w:noWrap w:val="0"/>
            <w:vAlign w:val="center"/>
          </w:tcPr>
          <w:p w14:paraId="4B16E46C">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cs="Times New Roman"/>
                <w:snapToGrid/>
                <w:color w:val="FF0000"/>
                <w:spacing w:val="0"/>
                <w:kern w:val="0"/>
                <w:position w:val="0"/>
                <w:sz w:val="24"/>
                <w:szCs w:val="24"/>
                <w:lang w:val="en-US" w:eastAsia="zh-CN"/>
              </w:rPr>
            </w:pPr>
            <w:r>
              <w:rPr>
                <w:rFonts w:hint="eastAsia" w:ascii="Times New Roman" w:hAnsi="Times New Roman" w:eastAsia="宋体" w:cs="Times New Roman"/>
                <w:color w:val="auto"/>
                <w:sz w:val="24"/>
                <w:szCs w:val="24"/>
                <w:lang w:val="en-US" w:eastAsia="zh-CN"/>
              </w:rPr>
              <w:t>臭气浓度</w:t>
            </w:r>
          </w:p>
        </w:tc>
        <w:tc>
          <w:tcPr>
            <w:tcW w:w="1824" w:type="dxa"/>
            <w:vMerge w:val="continue"/>
            <w:tcBorders>
              <w:tl2br w:val="nil"/>
              <w:tr2bl w:val="nil"/>
            </w:tcBorders>
            <w:noWrap w:val="0"/>
            <w:vAlign w:val="center"/>
          </w:tcPr>
          <w:p w14:paraId="51A2B666">
            <w:pPr>
              <w:adjustRightInd w:val="0"/>
              <w:snapToGrid w:val="0"/>
              <w:jc w:val="center"/>
              <w:rPr>
                <w:rFonts w:hint="eastAsia" w:cs="Times New Roman"/>
                <w:b w:val="0"/>
                <w:bCs w:val="0"/>
                <w:color w:val="auto"/>
                <w:sz w:val="24"/>
                <w:szCs w:val="24"/>
                <w:lang w:val="en-US" w:eastAsia="zh-CN"/>
              </w:rPr>
            </w:pPr>
          </w:p>
        </w:tc>
        <w:tc>
          <w:tcPr>
            <w:tcW w:w="2162" w:type="dxa"/>
            <w:tcBorders>
              <w:tl2br w:val="nil"/>
              <w:tr2bl w:val="nil"/>
            </w:tcBorders>
            <w:noWrap w:val="0"/>
            <w:vAlign w:val="center"/>
          </w:tcPr>
          <w:p w14:paraId="697D774F">
            <w:pPr>
              <w:adjustRightInd w:val="0"/>
              <w:snapToGrid w:val="0"/>
              <w:jc w:val="center"/>
              <w:rPr>
                <w:rFonts w:hint="eastAsia"/>
                <w:color w:val="FF0000"/>
                <w:sz w:val="24"/>
                <w:lang w:eastAsia="zh-CN"/>
              </w:rPr>
            </w:pPr>
            <w:r>
              <w:rPr>
                <w:rFonts w:hint="eastAsia" w:cs="Times New Roman"/>
                <w:b w:val="0"/>
                <w:bCs/>
                <w:color w:val="auto"/>
                <w:sz w:val="24"/>
                <w:szCs w:val="24"/>
                <w:highlight w:val="none"/>
                <w:lang w:eastAsia="zh-CN"/>
              </w:rPr>
              <w:t>《恶臭污染物排放标准》（ GB14554-93）</w:t>
            </w:r>
          </w:p>
        </w:tc>
      </w:tr>
      <w:tr w14:paraId="71AAE7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771571F7">
            <w:pPr>
              <w:adjustRightInd w:val="0"/>
              <w:snapToGrid w:val="0"/>
              <w:jc w:val="center"/>
              <w:rPr>
                <w:rFonts w:hint="default" w:ascii="Times New Roman" w:hAnsi="Times New Roman" w:eastAsia="宋体" w:cs="Times New Roman"/>
                <w:b w:val="0"/>
                <w:bCs w:val="0"/>
                <w:color w:val="FF0000"/>
                <w:sz w:val="24"/>
                <w:szCs w:val="24"/>
              </w:rPr>
            </w:pPr>
          </w:p>
        </w:tc>
        <w:tc>
          <w:tcPr>
            <w:tcW w:w="1855" w:type="dxa"/>
            <w:vMerge w:val="restart"/>
            <w:tcBorders>
              <w:tl2br w:val="nil"/>
              <w:tr2bl w:val="nil"/>
            </w:tcBorders>
            <w:noWrap w:val="0"/>
            <w:vAlign w:val="center"/>
          </w:tcPr>
          <w:p w14:paraId="7166A1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厂界</w:t>
            </w:r>
          </w:p>
        </w:tc>
        <w:tc>
          <w:tcPr>
            <w:tcW w:w="1281" w:type="dxa"/>
            <w:tcBorders>
              <w:tl2br w:val="nil"/>
              <w:tr2bl w:val="nil"/>
            </w:tcBorders>
            <w:noWrap w:val="0"/>
            <w:vAlign w:val="center"/>
          </w:tcPr>
          <w:p w14:paraId="00CDB226">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颗粒物</w:t>
            </w:r>
          </w:p>
        </w:tc>
        <w:tc>
          <w:tcPr>
            <w:tcW w:w="1824" w:type="dxa"/>
            <w:tcBorders>
              <w:tl2br w:val="nil"/>
              <w:tr2bl w:val="nil"/>
            </w:tcBorders>
            <w:noWrap w:val="0"/>
            <w:vAlign w:val="center"/>
          </w:tcPr>
          <w:p w14:paraId="30430281">
            <w:pPr>
              <w:adjustRightInd w:val="0"/>
              <w:snapToGrid w:val="0"/>
              <w:jc w:val="center"/>
              <w:rPr>
                <w:rFonts w:hint="default" w:cs="Times New Roman"/>
                <w:b w:val="0"/>
                <w:bCs w:val="0"/>
                <w:color w:val="auto"/>
                <w:sz w:val="24"/>
                <w:szCs w:val="24"/>
                <w:lang w:val="en-US" w:eastAsia="zh-CN"/>
              </w:rPr>
            </w:pPr>
            <w:r>
              <w:rPr>
                <w:rFonts w:hint="eastAsia" w:cs="Times New Roman"/>
                <w:b w:val="0"/>
                <w:bCs w:val="0"/>
                <w:color w:val="auto"/>
                <w:sz w:val="24"/>
                <w:szCs w:val="24"/>
                <w:lang w:val="en-US" w:eastAsia="zh-CN"/>
              </w:rPr>
              <w:t>/</w:t>
            </w:r>
          </w:p>
        </w:tc>
        <w:tc>
          <w:tcPr>
            <w:tcW w:w="2162" w:type="dxa"/>
            <w:tcBorders>
              <w:tl2br w:val="nil"/>
              <w:tr2bl w:val="nil"/>
            </w:tcBorders>
            <w:noWrap w:val="0"/>
            <w:vAlign w:val="center"/>
          </w:tcPr>
          <w:p w14:paraId="24FEA088">
            <w:pPr>
              <w:adjustRightInd w:val="0"/>
              <w:snapToGrid w:val="0"/>
              <w:jc w:val="center"/>
              <w:rPr>
                <w:rFonts w:hint="eastAsia"/>
                <w:color w:val="FF0000"/>
                <w:sz w:val="24"/>
                <w:lang w:eastAsia="zh-CN"/>
              </w:rPr>
            </w:pPr>
            <w:r>
              <w:rPr>
                <w:rFonts w:hint="default" w:ascii="Times New Roman" w:hAnsi="Times New Roman" w:eastAsia="宋体" w:cs="Times New Roman"/>
                <w:color w:val="auto"/>
                <w:sz w:val="21"/>
                <w:szCs w:val="21"/>
                <w:lang w:val="en-US"/>
              </w:rPr>
              <w:t>《合成树脂工业污染物排放标准》（GB31572-2015）</w:t>
            </w:r>
          </w:p>
        </w:tc>
      </w:tr>
      <w:tr w14:paraId="735B4B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1863B060">
            <w:pPr>
              <w:adjustRightInd w:val="0"/>
              <w:snapToGrid w:val="0"/>
              <w:jc w:val="center"/>
              <w:rPr>
                <w:rFonts w:hint="default" w:ascii="Times New Roman" w:hAnsi="Times New Roman" w:eastAsia="宋体" w:cs="Times New Roman"/>
                <w:b w:val="0"/>
                <w:bCs w:val="0"/>
                <w:color w:val="FF0000"/>
                <w:sz w:val="24"/>
                <w:szCs w:val="24"/>
              </w:rPr>
            </w:pPr>
          </w:p>
        </w:tc>
        <w:tc>
          <w:tcPr>
            <w:tcW w:w="1855" w:type="dxa"/>
            <w:vMerge w:val="continue"/>
            <w:tcBorders>
              <w:tl2br w:val="nil"/>
              <w:tr2bl w:val="nil"/>
            </w:tcBorders>
            <w:noWrap w:val="0"/>
            <w:vAlign w:val="center"/>
          </w:tcPr>
          <w:p w14:paraId="2E86802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auto"/>
                <w:sz w:val="24"/>
                <w:szCs w:val="24"/>
                <w:lang w:val="en-US" w:eastAsia="zh-CN"/>
              </w:rPr>
            </w:pPr>
          </w:p>
        </w:tc>
        <w:tc>
          <w:tcPr>
            <w:tcW w:w="1281" w:type="dxa"/>
            <w:tcBorders>
              <w:tl2br w:val="nil"/>
              <w:tr2bl w:val="nil"/>
            </w:tcBorders>
            <w:noWrap w:val="0"/>
            <w:vAlign w:val="center"/>
          </w:tcPr>
          <w:p w14:paraId="3E4C6D4E">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非甲烷总烃</w:t>
            </w:r>
          </w:p>
        </w:tc>
        <w:tc>
          <w:tcPr>
            <w:tcW w:w="1824" w:type="dxa"/>
            <w:tcBorders>
              <w:tl2br w:val="nil"/>
              <w:tr2bl w:val="nil"/>
            </w:tcBorders>
            <w:noWrap w:val="0"/>
            <w:vAlign w:val="center"/>
          </w:tcPr>
          <w:p w14:paraId="54FA4F97">
            <w:pPr>
              <w:adjustRightInd w:val="0"/>
              <w:snapToGrid w:val="0"/>
              <w:jc w:val="center"/>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w:t>
            </w:r>
          </w:p>
        </w:tc>
        <w:tc>
          <w:tcPr>
            <w:tcW w:w="2162" w:type="dxa"/>
            <w:tcBorders>
              <w:tl2br w:val="nil"/>
              <w:tr2bl w:val="nil"/>
            </w:tcBorders>
            <w:noWrap w:val="0"/>
            <w:vAlign w:val="center"/>
          </w:tcPr>
          <w:p w14:paraId="543A7550">
            <w:pPr>
              <w:adjustRightInd w:val="0"/>
              <w:snapToGrid w:val="0"/>
              <w:jc w:val="center"/>
              <w:rPr>
                <w:rFonts w:hint="eastAsia"/>
                <w:color w:val="FF0000"/>
                <w:sz w:val="24"/>
                <w:lang w:eastAsia="zh-CN"/>
              </w:rPr>
            </w:pPr>
            <w:r>
              <w:rPr>
                <w:rFonts w:hint="default" w:ascii="Times New Roman" w:hAnsi="Times New Roman" w:eastAsia="宋体" w:cs="Times New Roman"/>
                <w:b w:val="0"/>
                <w:bCs/>
                <w:color w:val="auto"/>
                <w:sz w:val="21"/>
                <w:szCs w:val="21"/>
                <w:highlight w:val="none"/>
                <w:lang w:eastAsia="zh-CN"/>
              </w:rPr>
              <w:t>《大气污染物综合排放标准》（GB16297-1996）</w:t>
            </w:r>
            <w:r>
              <w:rPr>
                <w:rFonts w:hint="eastAsia" w:ascii="Times New Roman" w:hAnsi="Times New Roman" w:eastAsia="宋体" w:cs="Times New Roman"/>
                <w:b w:val="0"/>
                <w:bCs/>
                <w:color w:val="auto"/>
                <w:sz w:val="21"/>
                <w:szCs w:val="21"/>
                <w:highlight w:val="none"/>
                <w:lang w:val="en-US" w:eastAsia="zh-CN"/>
              </w:rPr>
              <w:t>中无组织</w:t>
            </w:r>
            <w:r>
              <w:rPr>
                <w:rFonts w:hint="default" w:ascii="Times New Roman" w:hAnsi="Times New Roman" w:eastAsia="宋体" w:cs="Times New Roman"/>
                <w:b w:val="0"/>
                <w:bCs/>
                <w:color w:val="auto"/>
                <w:sz w:val="21"/>
                <w:szCs w:val="21"/>
                <w:highlight w:val="none"/>
                <w:lang w:eastAsia="zh-CN"/>
              </w:rPr>
              <w:t>排放</w:t>
            </w:r>
            <w:r>
              <w:rPr>
                <w:rFonts w:hint="eastAsia" w:cs="Times New Roman"/>
                <w:b w:val="0"/>
                <w:bCs/>
                <w:color w:val="auto"/>
                <w:sz w:val="21"/>
                <w:szCs w:val="21"/>
                <w:highlight w:val="none"/>
                <w:lang w:val="en-US" w:eastAsia="zh-CN"/>
              </w:rPr>
              <w:t>标准</w:t>
            </w:r>
          </w:p>
        </w:tc>
      </w:tr>
      <w:tr w14:paraId="68033F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3631B8EA">
            <w:pPr>
              <w:adjustRightInd w:val="0"/>
              <w:snapToGrid w:val="0"/>
              <w:jc w:val="center"/>
              <w:rPr>
                <w:rFonts w:hint="default" w:ascii="Times New Roman" w:hAnsi="Times New Roman" w:eastAsia="宋体" w:cs="Times New Roman"/>
                <w:b w:val="0"/>
                <w:bCs w:val="0"/>
                <w:color w:val="FF0000"/>
                <w:sz w:val="24"/>
                <w:szCs w:val="24"/>
              </w:rPr>
            </w:pPr>
          </w:p>
        </w:tc>
        <w:tc>
          <w:tcPr>
            <w:tcW w:w="1855" w:type="dxa"/>
            <w:tcBorders>
              <w:tl2br w:val="nil"/>
              <w:tr2bl w:val="nil"/>
            </w:tcBorders>
            <w:noWrap w:val="0"/>
            <w:vAlign w:val="center"/>
          </w:tcPr>
          <w:p w14:paraId="058C560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 w:val="0"/>
                <w:bCs w:val="0"/>
                <w:color w:val="auto"/>
                <w:sz w:val="24"/>
                <w:szCs w:val="24"/>
                <w:lang w:val="en-US" w:eastAsia="zh-CN"/>
              </w:rPr>
            </w:pPr>
            <w:r>
              <w:rPr>
                <w:rFonts w:hint="eastAsia" w:cs="Times New Roman"/>
                <w:b w:val="0"/>
                <w:bCs w:val="0"/>
                <w:color w:val="auto"/>
                <w:sz w:val="24"/>
                <w:szCs w:val="24"/>
                <w:lang w:val="en-US" w:eastAsia="zh-CN"/>
              </w:rPr>
              <w:t>厂区内</w:t>
            </w:r>
          </w:p>
        </w:tc>
        <w:tc>
          <w:tcPr>
            <w:tcW w:w="1281" w:type="dxa"/>
            <w:tcBorders>
              <w:tl2br w:val="nil"/>
              <w:tr2bl w:val="nil"/>
            </w:tcBorders>
            <w:noWrap w:val="0"/>
            <w:vAlign w:val="center"/>
          </w:tcPr>
          <w:p w14:paraId="0E790A32">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非甲烷总烃</w:t>
            </w:r>
          </w:p>
        </w:tc>
        <w:tc>
          <w:tcPr>
            <w:tcW w:w="1824" w:type="dxa"/>
            <w:tcBorders>
              <w:tl2br w:val="nil"/>
              <w:tr2bl w:val="nil"/>
            </w:tcBorders>
            <w:noWrap w:val="0"/>
            <w:vAlign w:val="center"/>
          </w:tcPr>
          <w:p w14:paraId="425AEF7A">
            <w:pPr>
              <w:adjustRightInd w:val="0"/>
              <w:snapToGrid w:val="0"/>
              <w:jc w:val="center"/>
              <w:rPr>
                <w:rFonts w:hint="default" w:cs="Times New Roman"/>
                <w:b w:val="0"/>
                <w:bCs w:val="0"/>
                <w:color w:val="auto"/>
                <w:sz w:val="24"/>
                <w:szCs w:val="24"/>
                <w:lang w:val="en-US" w:eastAsia="zh-CN"/>
              </w:rPr>
            </w:pPr>
            <w:r>
              <w:rPr>
                <w:rFonts w:hint="eastAsia" w:cs="Times New Roman"/>
                <w:b w:val="0"/>
                <w:bCs w:val="0"/>
                <w:color w:val="auto"/>
                <w:sz w:val="24"/>
                <w:szCs w:val="24"/>
                <w:lang w:val="en-US" w:eastAsia="zh-CN"/>
              </w:rPr>
              <w:t>/</w:t>
            </w:r>
          </w:p>
        </w:tc>
        <w:tc>
          <w:tcPr>
            <w:tcW w:w="2162" w:type="dxa"/>
            <w:tcBorders>
              <w:tl2br w:val="nil"/>
              <w:tr2bl w:val="nil"/>
            </w:tcBorders>
            <w:noWrap w:val="0"/>
            <w:vAlign w:val="center"/>
          </w:tcPr>
          <w:p w14:paraId="69912496">
            <w:pPr>
              <w:adjustRightInd w:val="0"/>
              <w:snapToGrid w:val="0"/>
              <w:jc w:val="center"/>
              <w:rPr>
                <w:rFonts w:hint="eastAsia"/>
                <w:color w:val="FF0000"/>
                <w:sz w:val="24"/>
                <w:lang w:eastAsia="zh-CN"/>
              </w:rPr>
            </w:pPr>
            <w:r>
              <w:rPr>
                <w:rFonts w:hint="default" w:ascii="Times New Roman" w:hAnsi="Times New Roman" w:cs="Times New Roman"/>
                <w:color w:val="000000" w:themeColor="text1"/>
                <w:sz w:val="21"/>
                <w:szCs w:val="21"/>
                <w:vertAlign w:val="baseline"/>
                <w:lang w:val="en-US" w:eastAsia="zh-CN"/>
                <w14:textFill>
                  <w14:solidFill>
                    <w14:schemeClr w14:val="tx1"/>
                  </w14:solidFill>
                </w14:textFill>
              </w:rPr>
              <w:t>《固定源挥发性有机物综合排放标准第6部分：其他行业》（DB34/4812.6-2024）</w:t>
            </w:r>
          </w:p>
        </w:tc>
      </w:tr>
      <w:tr w14:paraId="05F0AA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restart"/>
            <w:tcBorders>
              <w:tl2br w:val="nil"/>
              <w:tr2bl w:val="nil"/>
            </w:tcBorders>
            <w:noWrap w:val="0"/>
            <w:vAlign w:val="center"/>
          </w:tcPr>
          <w:p w14:paraId="48B6E8EB">
            <w:pPr>
              <w:adjustRightInd w:val="0"/>
              <w:snapToGrid w:val="0"/>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地表水环境</w:t>
            </w:r>
          </w:p>
        </w:tc>
        <w:tc>
          <w:tcPr>
            <w:tcW w:w="1855" w:type="dxa"/>
            <w:vMerge w:val="restart"/>
            <w:tcBorders>
              <w:tl2br w:val="nil"/>
              <w:tr2bl w:val="nil"/>
            </w:tcBorders>
            <w:noWrap w:val="0"/>
            <w:vAlign w:val="center"/>
          </w:tcPr>
          <w:p w14:paraId="796F316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生活污水</w:t>
            </w:r>
          </w:p>
        </w:tc>
        <w:tc>
          <w:tcPr>
            <w:tcW w:w="1281" w:type="dxa"/>
            <w:tcBorders>
              <w:tl2br w:val="nil"/>
              <w:tr2bl w:val="nil"/>
            </w:tcBorders>
            <w:noWrap w:val="0"/>
            <w:vAlign w:val="center"/>
          </w:tcPr>
          <w:p w14:paraId="6B2A4D05">
            <w:pPr>
              <w:adjustRightInd w:val="0"/>
              <w:snapToGrid w:val="0"/>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napToGrid/>
                <w:color w:val="auto"/>
                <w:spacing w:val="0"/>
                <w:kern w:val="0"/>
                <w:position w:val="0"/>
                <w:sz w:val="24"/>
                <w:szCs w:val="24"/>
                <w:lang w:val="en-US" w:eastAsia="zh-CN"/>
              </w:rPr>
              <w:t>COD</w:t>
            </w:r>
          </w:p>
        </w:tc>
        <w:tc>
          <w:tcPr>
            <w:tcW w:w="1824" w:type="dxa"/>
            <w:vMerge w:val="restart"/>
            <w:tcBorders>
              <w:tl2br w:val="nil"/>
              <w:tr2bl w:val="nil"/>
            </w:tcBorders>
            <w:noWrap w:val="0"/>
            <w:vAlign w:val="center"/>
          </w:tcPr>
          <w:p w14:paraId="4502719B">
            <w:pPr>
              <w:adjustRightInd w:val="0"/>
              <w:snapToGrid w:val="0"/>
              <w:jc w:val="center"/>
              <w:rPr>
                <w:rFonts w:hint="eastAsia"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化粪池</w:t>
            </w:r>
          </w:p>
        </w:tc>
        <w:tc>
          <w:tcPr>
            <w:tcW w:w="2162" w:type="dxa"/>
            <w:vMerge w:val="restart"/>
            <w:tcBorders>
              <w:tl2br w:val="nil"/>
              <w:tr2bl w:val="nil"/>
            </w:tcBorders>
            <w:noWrap w:val="0"/>
            <w:vAlign w:val="center"/>
          </w:tcPr>
          <w:p w14:paraId="76F57B42">
            <w:pPr>
              <w:adjustRightInd w:val="0"/>
              <w:snapToGrid w:val="0"/>
              <w:jc w:val="center"/>
              <w:rPr>
                <w:rFonts w:hint="default" w:ascii="Times New Roman" w:hAnsi="Times New Roman" w:eastAsia="宋体" w:cs="Times New Roman"/>
                <w:color w:val="auto"/>
                <w:sz w:val="24"/>
                <w:szCs w:val="24"/>
                <w:lang w:val="en-US" w:eastAsia="zh-CN"/>
              </w:rPr>
            </w:pPr>
            <w:r>
              <w:rPr>
                <w:rFonts w:hint="eastAsia"/>
                <w:color w:val="auto"/>
                <w:sz w:val="24"/>
                <w:lang w:eastAsia="zh-CN"/>
              </w:rPr>
              <w:t>城东污水处理厂</w:t>
            </w:r>
            <w:r>
              <w:rPr>
                <w:rFonts w:hint="default" w:ascii="Times New Roman" w:hAnsi="Times New Roman" w:eastAsia="宋体" w:cs="Times New Roman"/>
                <w:color w:val="auto"/>
                <w:sz w:val="24"/>
                <w:szCs w:val="24"/>
                <w:lang w:val="en-US" w:eastAsia="zh-CN"/>
              </w:rPr>
              <w:t>接管限值</w:t>
            </w:r>
          </w:p>
        </w:tc>
      </w:tr>
      <w:tr w14:paraId="17E838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6A076268">
            <w:pPr>
              <w:adjustRightInd w:val="0"/>
              <w:snapToGrid w:val="0"/>
              <w:jc w:val="center"/>
              <w:rPr>
                <w:rFonts w:hint="default" w:ascii="Times New Roman" w:hAnsi="Times New Roman" w:eastAsia="宋体" w:cs="Times New Roman"/>
                <w:b w:val="0"/>
                <w:bCs w:val="0"/>
                <w:color w:val="auto"/>
                <w:sz w:val="24"/>
                <w:szCs w:val="24"/>
              </w:rPr>
            </w:pPr>
          </w:p>
        </w:tc>
        <w:tc>
          <w:tcPr>
            <w:tcW w:w="1855" w:type="dxa"/>
            <w:vMerge w:val="continue"/>
            <w:tcBorders>
              <w:tl2br w:val="nil"/>
              <w:tr2bl w:val="nil"/>
            </w:tcBorders>
            <w:noWrap w:val="0"/>
            <w:vAlign w:val="center"/>
          </w:tcPr>
          <w:p w14:paraId="6484A9AB">
            <w:pPr>
              <w:adjustRightInd w:val="0"/>
              <w:snapToGrid w:val="0"/>
              <w:jc w:val="center"/>
              <w:rPr>
                <w:rFonts w:hint="default" w:ascii="Times New Roman" w:hAnsi="Times New Roman" w:eastAsia="宋体" w:cs="Times New Roman"/>
                <w:color w:val="auto"/>
                <w:sz w:val="24"/>
                <w:szCs w:val="24"/>
                <w:lang w:val="en-US" w:eastAsia="zh-CN"/>
              </w:rPr>
            </w:pPr>
          </w:p>
        </w:tc>
        <w:tc>
          <w:tcPr>
            <w:tcW w:w="1281" w:type="dxa"/>
            <w:tcBorders>
              <w:tl2br w:val="nil"/>
              <w:tr2bl w:val="nil"/>
            </w:tcBorders>
            <w:noWrap w:val="0"/>
            <w:vAlign w:val="center"/>
          </w:tcPr>
          <w:p w14:paraId="244C0774">
            <w:pPr>
              <w:adjustRightInd w:val="0"/>
              <w:snapToGrid w:val="0"/>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napToGrid/>
                <w:color w:val="auto"/>
                <w:spacing w:val="0"/>
                <w:kern w:val="0"/>
                <w:position w:val="0"/>
                <w:sz w:val="24"/>
                <w:szCs w:val="24"/>
                <w:lang w:val="en-US" w:eastAsia="zh-CN"/>
              </w:rPr>
              <w:t>SS</w:t>
            </w:r>
          </w:p>
        </w:tc>
        <w:tc>
          <w:tcPr>
            <w:tcW w:w="1824" w:type="dxa"/>
            <w:vMerge w:val="continue"/>
            <w:tcBorders>
              <w:tl2br w:val="nil"/>
              <w:tr2bl w:val="nil"/>
            </w:tcBorders>
            <w:noWrap w:val="0"/>
            <w:vAlign w:val="center"/>
          </w:tcPr>
          <w:p w14:paraId="27CA5210">
            <w:pPr>
              <w:adjustRightInd w:val="0"/>
              <w:snapToGrid w:val="0"/>
              <w:jc w:val="center"/>
              <w:rPr>
                <w:rFonts w:hint="default" w:ascii="Times New Roman" w:hAnsi="Times New Roman" w:eastAsia="宋体" w:cs="Times New Roman"/>
                <w:color w:val="auto"/>
                <w:sz w:val="24"/>
                <w:szCs w:val="24"/>
              </w:rPr>
            </w:pPr>
          </w:p>
        </w:tc>
        <w:tc>
          <w:tcPr>
            <w:tcW w:w="2162" w:type="dxa"/>
            <w:vMerge w:val="continue"/>
            <w:tcBorders>
              <w:tl2br w:val="nil"/>
              <w:tr2bl w:val="nil"/>
            </w:tcBorders>
            <w:noWrap w:val="0"/>
            <w:vAlign w:val="center"/>
          </w:tcPr>
          <w:p w14:paraId="2A3BC4B4">
            <w:pPr>
              <w:adjustRightInd w:val="0"/>
              <w:snapToGrid w:val="0"/>
              <w:jc w:val="center"/>
              <w:rPr>
                <w:rFonts w:hint="default" w:ascii="Times New Roman" w:hAnsi="Times New Roman" w:eastAsia="宋体" w:cs="Times New Roman"/>
                <w:color w:val="auto"/>
                <w:sz w:val="24"/>
                <w:szCs w:val="24"/>
              </w:rPr>
            </w:pPr>
          </w:p>
        </w:tc>
      </w:tr>
      <w:tr w14:paraId="21EF16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29AFF51D">
            <w:pPr>
              <w:adjustRightInd w:val="0"/>
              <w:snapToGrid w:val="0"/>
              <w:jc w:val="center"/>
              <w:rPr>
                <w:rFonts w:hint="default" w:ascii="Times New Roman" w:hAnsi="Times New Roman" w:eastAsia="宋体" w:cs="Times New Roman"/>
                <w:b w:val="0"/>
                <w:bCs w:val="0"/>
                <w:color w:val="auto"/>
                <w:sz w:val="24"/>
                <w:szCs w:val="24"/>
              </w:rPr>
            </w:pPr>
          </w:p>
        </w:tc>
        <w:tc>
          <w:tcPr>
            <w:tcW w:w="1855" w:type="dxa"/>
            <w:vMerge w:val="continue"/>
            <w:tcBorders>
              <w:tl2br w:val="nil"/>
              <w:tr2bl w:val="nil"/>
            </w:tcBorders>
            <w:noWrap w:val="0"/>
            <w:vAlign w:val="center"/>
          </w:tcPr>
          <w:p w14:paraId="4E64D3B7">
            <w:pPr>
              <w:adjustRightInd w:val="0"/>
              <w:snapToGrid w:val="0"/>
              <w:jc w:val="center"/>
              <w:rPr>
                <w:rFonts w:hint="default" w:ascii="Times New Roman" w:hAnsi="Times New Roman" w:eastAsia="宋体" w:cs="Times New Roman"/>
                <w:color w:val="auto"/>
                <w:sz w:val="24"/>
                <w:szCs w:val="24"/>
                <w:lang w:val="en-US" w:eastAsia="zh-CN"/>
              </w:rPr>
            </w:pPr>
          </w:p>
        </w:tc>
        <w:tc>
          <w:tcPr>
            <w:tcW w:w="1281" w:type="dxa"/>
            <w:tcBorders>
              <w:tl2br w:val="nil"/>
              <w:tr2bl w:val="nil"/>
            </w:tcBorders>
            <w:noWrap w:val="0"/>
            <w:vAlign w:val="center"/>
          </w:tcPr>
          <w:p w14:paraId="5A8AC230">
            <w:pPr>
              <w:adjustRightInd w:val="0"/>
              <w:snapToGrid w:val="0"/>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napToGrid/>
                <w:color w:val="auto"/>
                <w:spacing w:val="0"/>
                <w:kern w:val="0"/>
                <w:position w:val="0"/>
                <w:sz w:val="24"/>
                <w:szCs w:val="24"/>
                <w:lang w:val="en-US" w:eastAsia="zh-CN"/>
              </w:rPr>
              <w:t>BOD</w:t>
            </w:r>
            <w:r>
              <w:rPr>
                <w:rFonts w:hint="default" w:ascii="Times New Roman" w:hAnsi="Times New Roman" w:eastAsia="宋体" w:cs="Times New Roman"/>
                <w:snapToGrid/>
                <w:color w:val="auto"/>
                <w:spacing w:val="0"/>
                <w:kern w:val="0"/>
                <w:position w:val="0"/>
                <w:sz w:val="24"/>
                <w:szCs w:val="24"/>
                <w:vertAlign w:val="subscript"/>
                <w:lang w:val="en-US" w:eastAsia="zh-CN"/>
              </w:rPr>
              <w:t>5</w:t>
            </w:r>
          </w:p>
        </w:tc>
        <w:tc>
          <w:tcPr>
            <w:tcW w:w="1824" w:type="dxa"/>
            <w:vMerge w:val="continue"/>
            <w:tcBorders>
              <w:tl2br w:val="nil"/>
              <w:tr2bl w:val="nil"/>
            </w:tcBorders>
            <w:noWrap w:val="0"/>
            <w:vAlign w:val="center"/>
          </w:tcPr>
          <w:p w14:paraId="0A0AE1A3">
            <w:pPr>
              <w:adjustRightInd w:val="0"/>
              <w:snapToGrid w:val="0"/>
              <w:jc w:val="center"/>
              <w:rPr>
                <w:rFonts w:hint="default" w:ascii="Times New Roman" w:hAnsi="Times New Roman" w:eastAsia="宋体" w:cs="Times New Roman"/>
                <w:color w:val="auto"/>
                <w:sz w:val="24"/>
                <w:szCs w:val="24"/>
              </w:rPr>
            </w:pPr>
          </w:p>
        </w:tc>
        <w:tc>
          <w:tcPr>
            <w:tcW w:w="2162" w:type="dxa"/>
            <w:vMerge w:val="continue"/>
            <w:tcBorders>
              <w:tl2br w:val="nil"/>
              <w:tr2bl w:val="nil"/>
            </w:tcBorders>
            <w:noWrap w:val="0"/>
            <w:vAlign w:val="center"/>
          </w:tcPr>
          <w:p w14:paraId="305BD245">
            <w:pPr>
              <w:adjustRightInd w:val="0"/>
              <w:snapToGrid w:val="0"/>
              <w:jc w:val="center"/>
              <w:rPr>
                <w:rFonts w:hint="default" w:ascii="Times New Roman" w:hAnsi="Times New Roman" w:eastAsia="宋体" w:cs="Times New Roman"/>
                <w:color w:val="auto"/>
                <w:sz w:val="24"/>
                <w:szCs w:val="24"/>
              </w:rPr>
            </w:pPr>
          </w:p>
        </w:tc>
      </w:tr>
      <w:tr w14:paraId="3D26DD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60BB7142">
            <w:pPr>
              <w:adjustRightInd w:val="0"/>
              <w:snapToGrid w:val="0"/>
              <w:jc w:val="center"/>
              <w:rPr>
                <w:rFonts w:hint="default" w:ascii="Times New Roman" w:hAnsi="Times New Roman" w:eastAsia="宋体" w:cs="Times New Roman"/>
                <w:b w:val="0"/>
                <w:bCs w:val="0"/>
                <w:color w:val="auto"/>
                <w:sz w:val="24"/>
                <w:szCs w:val="24"/>
              </w:rPr>
            </w:pPr>
          </w:p>
        </w:tc>
        <w:tc>
          <w:tcPr>
            <w:tcW w:w="1855" w:type="dxa"/>
            <w:vMerge w:val="continue"/>
            <w:tcBorders>
              <w:tl2br w:val="nil"/>
              <w:tr2bl w:val="nil"/>
            </w:tcBorders>
            <w:noWrap w:val="0"/>
            <w:vAlign w:val="center"/>
          </w:tcPr>
          <w:p w14:paraId="50008407">
            <w:pPr>
              <w:adjustRightInd w:val="0"/>
              <w:snapToGrid w:val="0"/>
              <w:jc w:val="center"/>
              <w:rPr>
                <w:rFonts w:hint="default" w:ascii="Times New Roman" w:hAnsi="Times New Roman" w:eastAsia="宋体" w:cs="Times New Roman"/>
                <w:color w:val="auto"/>
                <w:sz w:val="24"/>
                <w:szCs w:val="24"/>
                <w:lang w:val="en-US" w:eastAsia="zh-CN"/>
              </w:rPr>
            </w:pPr>
          </w:p>
        </w:tc>
        <w:tc>
          <w:tcPr>
            <w:tcW w:w="1281" w:type="dxa"/>
            <w:tcBorders>
              <w:tl2br w:val="nil"/>
              <w:tr2bl w:val="nil"/>
            </w:tcBorders>
            <w:noWrap w:val="0"/>
            <w:vAlign w:val="center"/>
          </w:tcPr>
          <w:p w14:paraId="3AE9E906">
            <w:pPr>
              <w:adjustRightInd w:val="0"/>
              <w:snapToGrid w:val="0"/>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napToGrid/>
                <w:color w:val="auto"/>
                <w:spacing w:val="0"/>
                <w:kern w:val="0"/>
                <w:position w:val="0"/>
                <w:sz w:val="24"/>
                <w:szCs w:val="24"/>
              </w:rPr>
              <w:t>NH</w:t>
            </w:r>
            <w:r>
              <w:rPr>
                <w:rFonts w:hint="default" w:ascii="Times New Roman" w:hAnsi="Times New Roman" w:eastAsia="宋体" w:cs="Times New Roman"/>
                <w:snapToGrid/>
                <w:color w:val="auto"/>
                <w:spacing w:val="0"/>
                <w:kern w:val="0"/>
                <w:position w:val="0"/>
                <w:sz w:val="24"/>
                <w:szCs w:val="24"/>
                <w:vertAlign w:val="subscript"/>
              </w:rPr>
              <w:t>3</w:t>
            </w:r>
            <w:r>
              <w:rPr>
                <w:rFonts w:hint="default" w:ascii="Times New Roman" w:hAnsi="Times New Roman" w:eastAsia="宋体" w:cs="Times New Roman"/>
                <w:snapToGrid/>
                <w:color w:val="auto"/>
                <w:spacing w:val="0"/>
                <w:kern w:val="0"/>
                <w:position w:val="0"/>
                <w:sz w:val="24"/>
                <w:szCs w:val="24"/>
              </w:rPr>
              <w:t>-N</w:t>
            </w:r>
          </w:p>
        </w:tc>
        <w:tc>
          <w:tcPr>
            <w:tcW w:w="1824" w:type="dxa"/>
            <w:vMerge w:val="continue"/>
            <w:tcBorders>
              <w:tl2br w:val="nil"/>
              <w:tr2bl w:val="nil"/>
            </w:tcBorders>
            <w:noWrap w:val="0"/>
            <w:vAlign w:val="center"/>
          </w:tcPr>
          <w:p w14:paraId="227F4427">
            <w:pPr>
              <w:adjustRightInd w:val="0"/>
              <w:snapToGrid w:val="0"/>
              <w:jc w:val="center"/>
              <w:rPr>
                <w:rFonts w:hint="default" w:ascii="Times New Roman" w:hAnsi="Times New Roman" w:eastAsia="宋体" w:cs="Times New Roman"/>
                <w:color w:val="auto"/>
                <w:sz w:val="24"/>
                <w:szCs w:val="24"/>
              </w:rPr>
            </w:pPr>
          </w:p>
        </w:tc>
        <w:tc>
          <w:tcPr>
            <w:tcW w:w="2162" w:type="dxa"/>
            <w:vMerge w:val="continue"/>
            <w:tcBorders>
              <w:tl2br w:val="nil"/>
              <w:tr2bl w:val="nil"/>
            </w:tcBorders>
            <w:noWrap w:val="0"/>
            <w:vAlign w:val="center"/>
          </w:tcPr>
          <w:p w14:paraId="7F23EBC2">
            <w:pPr>
              <w:adjustRightInd w:val="0"/>
              <w:snapToGrid w:val="0"/>
              <w:jc w:val="center"/>
              <w:rPr>
                <w:rFonts w:hint="default" w:ascii="Times New Roman" w:hAnsi="Times New Roman" w:eastAsia="宋体" w:cs="Times New Roman"/>
                <w:color w:val="auto"/>
                <w:sz w:val="24"/>
                <w:szCs w:val="24"/>
              </w:rPr>
            </w:pPr>
          </w:p>
        </w:tc>
      </w:tr>
      <w:tr w14:paraId="4A3902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1702DAE4">
            <w:pPr>
              <w:adjustRightInd w:val="0"/>
              <w:snapToGrid w:val="0"/>
              <w:jc w:val="center"/>
              <w:rPr>
                <w:rFonts w:hint="default" w:ascii="Times New Roman" w:hAnsi="Times New Roman" w:eastAsia="宋体" w:cs="Times New Roman"/>
                <w:b w:val="0"/>
                <w:bCs w:val="0"/>
                <w:color w:val="auto"/>
                <w:sz w:val="24"/>
                <w:szCs w:val="24"/>
              </w:rPr>
            </w:pPr>
          </w:p>
        </w:tc>
        <w:tc>
          <w:tcPr>
            <w:tcW w:w="1855" w:type="dxa"/>
            <w:vMerge w:val="restart"/>
            <w:tcBorders>
              <w:tl2br w:val="nil"/>
              <w:tr2bl w:val="nil"/>
            </w:tcBorders>
            <w:noWrap w:val="0"/>
            <w:vAlign w:val="center"/>
          </w:tcPr>
          <w:p w14:paraId="3E0B21E0">
            <w:pPr>
              <w:adjustRightInd w:val="0"/>
              <w:snapToGrid w:val="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生产废水</w:t>
            </w:r>
          </w:p>
        </w:tc>
        <w:tc>
          <w:tcPr>
            <w:tcW w:w="1281" w:type="dxa"/>
            <w:tcBorders>
              <w:tl2br w:val="nil"/>
              <w:tr2bl w:val="nil"/>
            </w:tcBorders>
            <w:noWrap w:val="0"/>
            <w:vAlign w:val="center"/>
          </w:tcPr>
          <w:p w14:paraId="78AC9EA1">
            <w:pPr>
              <w:adjustRightInd w:val="0"/>
              <w:snapToGrid w:val="0"/>
              <w:jc w:val="center"/>
              <w:rPr>
                <w:rFonts w:hint="default" w:ascii="Times New Roman" w:hAnsi="Times New Roman" w:eastAsia="宋体" w:cs="Times New Roman"/>
                <w:snapToGrid/>
                <w:color w:val="auto"/>
                <w:spacing w:val="0"/>
                <w:kern w:val="0"/>
                <w:position w:val="0"/>
                <w:sz w:val="24"/>
                <w:szCs w:val="24"/>
              </w:rPr>
            </w:pPr>
            <w:r>
              <w:rPr>
                <w:rFonts w:hint="default" w:ascii="Times New Roman" w:hAnsi="Times New Roman" w:eastAsia="宋体" w:cs="Times New Roman"/>
                <w:snapToGrid/>
                <w:color w:val="auto"/>
                <w:spacing w:val="0"/>
                <w:kern w:val="0"/>
                <w:position w:val="0"/>
                <w:sz w:val="24"/>
                <w:szCs w:val="24"/>
                <w:lang w:val="en-US" w:eastAsia="zh-CN"/>
              </w:rPr>
              <w:t>COD</w:t>
            </w:r>
          </w:p>
        </w:tc>
        <w:tc>
          <w:tcPr>
            <w:tcW w:w="1824" w:type="dxa"/>
            <w:vMerge w:val="restart"/>
            <w:tcBorders>
              <w:tl2br w:val="nil"/>
              <w:tr2bl w:val="nil"/>
            </w:tcBorders>
            <w:noWrap w:val="0"/>
            <w:vAlign w:val="center"/>
          </w:tcPr>
          <w:p w14:paraId="0C0E010D">
            <w:pPr>
              <w:adjustRightInd w:val="0"/>
              <w:snapToGrid w:val="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w:t>
            </w:r>
          </w:p>
        </w:tc>
        <w:tc>
          <w:tcPr>
            <w:tcW w:w="2162" w:type="dxa"/>
            <w:vMerge w:val="continue"/>
            <w:tcBorders>
              <w:tl2br w:val="nil"/>
              <w:tr2bl w:val="nil"/>
            </w:tcBorders>
            <w:noWrap w:val="0"/>
            <w:vAlign w:val="center"/>
          </w:tcPr>
          <w:p w14:paraId="7E37E941">
            <w:pPr>
              <w:adjustRightInd w:val="0"/>
              <w:snapToGrid w:val="0"/>
              <w:jc w:val="center"/>
              <w:rPr>
                <w:rFonts w:hint="default" w:ascii="Times New Roman" w:hAnsi="Times New Roman" w:eastAsia="宋体" w:cs="Times New Roman"/>
                <w:color w:val="auto"/>
                <w:sz w:val="24"/>
                <w:szCs w:val="24"/>
              </w:rPr>
            </w:pPr>
          </w:p>
        </w:tc>
      </w:tr>
      <w:tr w14:paraId="71492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29716022">
            <w:pPr>
              <w:adjustRightInd w:val="0"/>
              <w:snapToGrid w:val="0"/>
              <w:jc w:val="center"/>
              <w:rPr>
                <w:rFonts w:hint="default" w:ascii="Times New Roman" w:hAnsi="Times New Roman" w:eastAsia="宋体" w:cs="Times New Roman"/>
                <w:b w:val="0"/>
                <w:bCs w:val="0"/>
                <w:color w:val="auto"/>
                <w:sz w:val="24"/>
                <w:szCs w:val="24"/>
              </w:rPr>
            </w:pPr>
          </w:p>
        </w:tc>
        <w:tc>
          <w:tcPr>
            <w:tcW w:w="1855" w:type="dxa"/>
            <w:vMerge w:val="continue"/>
            <w:tcBorders>
              <w:tl2br w:val="nil"/>
              <w:tr2bl w:val="nil"/>
            </w:tcBorders>
            <w:noWrap w:val="0"/>
            <w:vAlign w:val="center"/>
          </w:tcPr>
          <w:p w14:paraId="4DCC6A68">
            <w:pPr>
              <w:adjustRightInd w:val="0"/>
              <w:snapToGrid w:val="0"/>
              <w:jc w:val="center"/>
              <w:rPr>
                <w:rFonts w:hint="default" w:ascii="Times New Roman" w:hAnsi="Times New Roman" w:eastAsia="宋体" w:cs="Times New Roman"/>
                <w:color w:val="auto"/>
                <w:sz w:val="24"/>
                <w:szCs w:val="24"/>
                <w:lang w:val="en-US" w:eastAsia="zh-CN"/>
              </w:rPr>
            </w:pPr>
          </w:p>
        </w:tc>
        <w:tc>
          <w:tcPr>
            <w:tcW w:w="1281" w:type="dxa"/>
            <w:tcBorders>
              <w:tl2br w:val="nil"/>
              <w:tr2bl w:val="nil"/>
            </w:tcBorders>
            <w:noWrap w:val="0"/>
            <w:vAlign w:val="center"/>
          </w:tcPr>
          <w:p w14:paraId="7D022BC2">
            <w:pPr>
              <w:adjustRightInd w:val="0"/>
              <w:snapToGrid w:val="0"/>
              <w:jc w:val="center"/>
              <w:rPr>
                <w:rFonts w:hint="default" w:ascii="Times New Roman" w:hAnsi="Times New Roman" w:eastAsia="宋体" w:cs="Times New Roman"/>
                <w:snapToGrid/>
                <w:color w:val="auto"/>
                <w:spacing w:val="0"/>
                <w:kern w:val="0"/>
                <w:position w:val="0"/>
                <w:sz w:val="24"/>
                <w:szCs w:val="24"/>
              </w:rPr>
            </w:pPr>
            <w:r>
              <w:rPr>
                <w:rFonts w:hint="default" w:ascii="Times New Roman" w:hAnsi="Times New Roman" w:eastAsia="宋体" w:cs="Times New Roman"/>
                <w:snapToGrid/>
                <w:color w:val="auto"/>
                <w:spacing w:val="0"/>
                <w:kern w:val="0"/>
                <w:position w:val="0"/>
                <w:sz w:val="24"/>
                <w:szCs w:val="24"/>
                <w:lang w:val="en-US" w:eastAsia="zh-CN"/>
              </w:rPr>
              <w:t>SS</w:t>
            </w:r>
          </w:p>
        </w:tc>
        <w:tc>
          <w:tcPr>
            <w:tcW w:w="1824" w:type="dxa"/>
            <w:vMerge w:val="continue"/>
            <w:tcBorders>
              <w:tl2br w:val="nil"/>
              <w:tr2bl w:val="nil"/>
            </w:tcBorders>
            <w:noWrap w:val="0"/>
            <w:vAlign w:val="center"/>
          </w:tcPr>
          <w:p w14:paraId="1F06D438">
            <w:pPr>
              <w:adjustRightInd w:val="0"/>
              <w:snapToGrid w:val="0"/>
              <w:jc w:val="center"/>
              <w:rPr>
                <w:rFonts w:hint="default" w:ascii="Times New Roman" w:hAnsi="Times New Roman" w:eastAsia="宋体" w:cs="Times New Roman"/>
                <w:color w:val="auto"/>
                <w:sz w:val="24"/>
                <w:szCs w:val="24"/>
              </w:rPr>
            </w:pPr>
          </w:p>
        </w:tc>
        <w:tc>
          <w:tcPr>
            <w:tcW w:w="2162" w:type="dxa"/>
            <w:vMerge w:val="continue"/>
            <w:tcBorders>
              <w:tl2br w:val="nil"/>
              <w:tr2bl w:val="nil"/>
            </w:tcBorders>
            <w:noWrap w:val="0"/>
            <w:vAlign w:val="center"/>
          </w:tcPr>
          <w:p w14:paraId="6EFE9EA5">
            <w:pPr>
              <w:adjustRightInd w:val="0"/>
              <w:snapToGrid w:val="0"/>
              <w:jc w:val="center"/>
              <w:rPr>
                <w:rFonts w:hint="default" w:ascii="Times New Roman" w:hAnsi="Times New Roman" w:eastAsia="宋体" w:cs="Times New Roman"/>
                <w:color w:val="auto"/>
                <w:sz w:val="24"/>
                <w:szCs w:val="24"/>
              </w:rPr>
            </w:pPr>
          </w:p>
        </w:tc>
      </w:tr>
      <w:tr w14:paraId="12C803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644E9007">
            <w:pPr>
              <w:adjustRightInd w:val="0"/>
              <w:snapToGrid w:val="0"/>
              <w:jc w:val="center"/>
              <w:rPr>
                <w:rFonts w:hint="default" w:ascii="Times New Roman" w:hAnsi="Times New Roman" w:eastAsia="宋体" w:cs="Times New Roman"/>
                <w:b w:val="0"/>
                <w:bCs w:val="0"/>
                <w:color w:val="auto"/>
                <w:sz w:val="24"/>
                <w:szCs w:val="24"/>
              </w:rPr>
            </w:pPr>
          </w:p>
        </w:tc>
        <w:tc>
          <w:tcPr>
            <w:tcW w:w="1855" w:type="dxa"/>
            <w:vMerge w:val="continue"/>
            <w:tcBorders>
              <w:tl2br w:val="nil"/>
              <w:tr2bl w:val="nil"/>
            </w:tcBorders>
            <w:noWrap w:val="0"/>
            <w:vAlign w:val="center"/>
          </w:tcPr>
          <w:p w14:paraId="519921D4">
            <w:pPr>
              <w:adjustRightInd w:val="0"/>
              <w:snapToGrid w:val="0"/>
              <w:jc w:val="center"/>
              <w:rPr>
                <w:rFonts w:hint="default" w:ascii="Times New Roman" w:hAnsi="Times New Roman" w:eastAsia="宋体" w:cs="Times New Roman"/>
                <w:color w:val="auto"/>
                <w:sz w:val="24"/>
                <w:szCs w:val="24"/>
                <w:lang w:val="en-US" w:eastAsia="zh-CN"/>
              </w:rPr>
            </w:pPr>
          </w:p>
        </w:tc>
        <w:tc>
          <w:tcPr>
            <w:tcW w:w="1281" w:type="dxa"/>
            <w:tcBorders>
              <w:tl2br w:val="nil"/>
              <w:tr2bl w:val="nil"/>
            </w:tcBorders>
            <w:noWrap w:val="0"/>
            <w:vAlign w:val="center"/>
          </w:tcPr>
          <w:p w14:paraId="2B7FC4DE">
            <w:pPr>
              <w:adjustRightInd w:val="0"/>
              <w:snapToGrid w:val="0"/>
              <w:jc w:val="center"/>
              <w:rPr>
                <w:rFonts w:hint="default" w:ascii="Times New Roman" w:hAnsi="Times New Roman" w:eastAsia="宋体" w:cs="Times New Roman"/>
                <w:snapToGrid/>
                <w:color w:val="auto"/>
                <w:spacing w:val="0"/>
                <w:kern w:val="0"/>
                <w:position w:val="0"/>
                <w:sz w:val="24"/>
                <w:szCs w:val="24"/>
              </w:rPr>
            </w:pPr>
            <w:r>
              <w:rPr>
                <w:rFonts w:hint="default" w:ascii="Times New Roman" w:hAnsi="Times New Roman" w:eastAsia="宋体" w:cs="Times New Roman"/>
                <w:snapToGrid/>
                <w:color w:val="auto"/>
                <w:spacing w:val="0"/>
                <w:kern w:val="0"/>
                <w:position w:val="0"/>
                <w:sz w:val="24"/>
                <w:szCs w:val="24"/>
                <w:lang w:val="en-US" w:eastAsia="zh-CN"/>
              </w:rPr>
              <w:t>BOD</w:t>
            </w:r>
            <w:r>
              <w:rPr>
                <w:rFonts w:hint="default" w:ascii="Times New Roman" w:hAnsi="Times New Roman" w:eastAsia="宋体" w:cs="Times New Roman"/>
                <w:snapToGrid/>
                <w:color w:val="auto"/>
                <w:spacing w:val="0"/>
                <w:kern w:val="0"/>
                <w:position w:val="0"/>
                <w:sz w:val="24"/>
                <w:szCs w:val="24"/>
                <w:vertAlign w:val="subscript"/>
                <w:lang w:val="en-US" w:eastAsia="zh-CN"/>
              </w:rPr>
              <w:t>5</w:t>
            </w:r>
          </w:p>
        </w:tc>
        <w:tc>
          <w:tcPr>
            <w:tcW w:w="1824" w:type="dxa"/>
            <w:vMerge w:val="continue"/>
            <w:tcBorders>
              <w:tl2br w:val="nil"/>
              <w:tr2bl w:val="nil"/>
            </w:tcBorders>
            <w:noWrap w:val="0"/>
            <w:vAlign w:val="center"/>
          </w:tcPr>
          <w:p w14:paraId="1F6DDEA2">
            <w:pPr>
              <w:adjustRightInd w:val="0"/>
              <w:snapToGrid w:val="0"/>
              <w:jc w:val="center"/>
              <w:rPr>
                <w:rFonts w:hint="default" w:ascii="Times New Roman" w:hAnsi="Times New Roman" w:eastAsia="宋体" w:cs="Times New Roman"/>
                <w:color w:val="auto"/>
                <w:sz w:val="24"/>
                <w:szCs w:val="24"/>
              </w:rPr>
            </w:pPr>
          </w:p>
        </w:tc>
        <w:tc>
          <w:tcPr>
            <w:tcW w:w="2162" w:type="dxa"/>
            <w:vMerge w:val="continue"/>
            <w:tcBorders>
              <w:tl2br w:val="nil"/>
              <w:tr2bl w:val="nil"/>
            </w:tcBorders>
            <w:noWrap w:val="0"/>
            <w:vAlign w:val="center"/>
          </w:tcPr>
          <w:p w14:paraId="61719223">
            <w:pPr>
              <w:adjustRightInd w:val="0"/>
              <w:snapToGrid w:val="0"/>
              <w:jc w:val="center"/>
              <w:rPr>
                <w:rFonts w:hint="default" w:ascii="Times New Roman" w:hAnsi="Times New Roman" w:eastAsia="宋体" w:cs="Times New Roman"/>
                <w:color w:val="auto"/>
                <w:sz w:val="24"/>
                <w:szCs w:val="24"/>
              </w:rPr>
            </w:pPr>
          </w:p>
        </w:tc>
      </w:tr>
      <w:tr w14:paraId="66390F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56C2DE99">
            <w:pPr>
              <w:adjustRightInd w:val="0"/>
              <w:snapToGrid w:val="0"/>
              <w:jc w:val="center"/>
              <w:rPr>
                <w:rFonts w:hint="default" w:ascii="Times New Roman" w:hAnsi="Times New Roman" w:eastAsia="宋体" w:cs="Times New Roman"/>
                <w:b w:val="0"/>
                <w:bCs w:val="0"/>
                <w:color w:val="auto"/>
                <w:sz w:val="24"/>
                <w:szCs w:val="24"/>
              </w:rPr>
            </w:pPr>
          </w:p>
        </w:tc>
        <w:tc>
          <w:tcPr>
            <w:tcW w:w="1855" w:type="dxa"/>
            <w:vMerge w:val="continue"/>
            <w:tcBorders>
              <w:tl2br w:val="nil"/>
              <w:tr2bl w:val="nil"/>
            </w:tcBorders>
            <w:noWrap w:val="0"/>
            <w:vAlign w:val="center"/>
          </w:tcPr>
          <w:p w14:paraId="2447431A">
            <w:pPr>
              <w:adjustRightInd w:val="0"/>
              <w:snapToGrid w:val="0"/>
              <w:jc w:val="center"/>
              <w:rPr>
                <w:rFonts w:hint="default" w:ascii="Times New Roman" w:hAnsi="Times New Roman" w:eastAsia="宋体" w:cs="Times New Roman"/>
                <w:color w:val="auto"/>
                <w:sz w:val="24"/>
                <w:szCs w:val="24"/>
                <w:lang w:val="en-US" w:eastAsia="zh-CN"/>
              </w:rPr>
            </w:pPr>
          </w:p>
        </w:tc>
        <w:tc>
          <w:tcPr>
            <w:tcW w:w="1281" w:type="dxa"/>
            <w:tcBorders>
              <w:tl2br w:val="nil"/>
              <w:tr2bl w:val="nil"/>
            </w:tcBorders>
            <w:noWrap w:val="0"/>
            <w:vAlign w:val="center"/>
          </w:tcPr>
          <w:p w14:paraId="39991C8B">
            <w:pPr>
              <w:adjustRightInd w:val="0"/>
              <w:snapToGrid w:val="0"/>
              <w:jc w:val="center"/>
              <w:rPr>
                <w:rFonts w:hint="default" w:ascii="Times New Roman" w:hAnsi="Times New Roman" w:eastAsia="宋体" w:cs="Times New Roman"/>
                <w:snapToGrid/>
                <w:color w:val="auto"/>
                <w:spacing w:val="0"/>
                <w:kern w:val="0"/>
                <w:position w:val="0"/>
                <w:sz w:val="24"/>
                <w:szCs w:val="24"/>
              </w:rPr>
            </w:pPr>
            <w:r>
              <w:rPr>
                <w:rFonts w:hint="default" w:ascii="Times New Roman" w:hAnsi="Times New Roman" w:eastAsia="宋体" w:cs="Times New Roman"/>
                <w:snapToGrid/>
                <w:color w:val="auto"/>
                <w:spacing w:val="0"/>
                <w:kern w:val="0"/>
                <w:position w:val="0"/>
                <w:sz w:val="24"/>
                <w:szCs w:val="24"/>
              </w:rPr>
              <w:t>NH</w:t>
            </w:r>
            <w:r>
              <w:rPr>
                <w:rFonts w:hint="default" w:ascii="Times New Roman" w:hAnsi="Times New Roman" w:eastAsia="宋体" w:cs="Times New Roman"/>
                <w:snapToGrid/>
                <w:color w:val="auto"/>
                <w:spacing w:val="0"/>
                <w:kern w:val="0"/>
                <w:position w:val="0"/>
                <w:sz w:val="24"/>
                <w:szCs w:val="24"/>
                <w:vertAlign w:val="subscript"/>
              </w:rPr>
              <w:t>3</w:t>
            </w:r>
            <w:r>
              <w:rPr>
                <w:rFonts w:hint="default" w:ascii="Times New Roman" w:hAnsi="Times New Roman" w:eastAsia="宋体" w:cs="Times New Roman"/>
                <w:snapToGrid/>
                <w:color w:val="auto"/>
                <w:spacing w:val="0"/>
                <w:kern w:val="0"/>
                <w:position w:val="0"/>
                <w:sz w:val="24"/>
                <w:szCs w:val="24"/>
              </w:rPr>
              <w:t>-N</w:t>
            </w:r>
          </w:p>
        </w:tc>
        <w:tc>
          <w:tcPr>
            <w:tcW w:w="1824" w:type="dxa"/>
            <w:vMerge w:val="continue"/>
            <w:tcBorders>
              <w:tl2br w:val="nil"/>
              <w:tr2bl w:val="nil"/>
            </w:tcBorders>
            <w:noWrap w:val="0"/>
            <w:vAlign w:val="center"/>
          </w:tcPr>
          <w:p w14:paraId="15E2243B">
            <w:pPr>
              <w:adjustRightInd w:val="0"/>
              <w:snapToGrid w:val="0"/>
              <w:jc w:val="center"/>
              <w:rPr>
                <w:rFonts w:hint="default" w:ascii="Times New Roman" w:hAnsi="Times New Roman" w:eastAsia="宋体" w:cs="Times New Roman"/>
                <w:color w:val="auto"/>
                <w:sz w:val="24"/>
                <w:szCs w:val="24"/>
              </w:rPr>
            </w:pPr>
          </w:p>
        </w:tc>
        <w:tc>
          <w:tcPr>
            <w:tcW w:w="2162" w:type="dxa"/>
            <w:vMerge w:val="continue"/>
            <w:tcBorders>
              <w:tl2br w:val="nil"/>
              <w:tr2bl w:val="nil"/>
            </w:tcBorders>
            <w:noWrap w:val="0"/>
            <w:vAlign w:val="center"/>
          </w:tcPr>
          <w:p w14:paraId="53BF1A52">
            <w:pPr>
              <w:adjustRightInd w:val="0"/>
              <w:snapToGrid w:val="0"/>
              <w:jc w:val="center"/>
              <w:rPr>
                <w:rFonts w:hint="default" w:ascii="Times New Roman" w:hAnsi="Times New Roman" w:eastAsia="宋体" w:cs="Times New Roman"/>
                <w:color w:val="auto"/>
                <w:sz w:val="24"/>
                <w:szCs w:val="24"/>
              </w:rPr>
            </w:pPr>
          </w:p>
        </w:tc>
      </w:tr>
      <w:tr w14:paraId="490525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vMerge w:val="continue"/>
            <w:tcBorders>
              <w:tl2br w:val="nil"/>
              <w:tr2bl w:val="nil"/>
            </w:tcBorders>
            <w:noWrap w:val="0"/>
            <w:vAlign w:val="center"/>
          </w:tcPr>
          <w:p w14:paraId="0A021584">
            <w:pPr>
              <w:adjustRightInd w:val="0"/>
              <w:snapToGrid w:val="0"/>
              <w:jc w:val="center"/>
              <w:rPr>
                <w:rFonts w:hint="default" w:ascii="Times New Roman" w:hAnsi="Times New Roman" w:eastAsia="宋体" w:cs="Times New Roman"/>
                <w:b w:val="0"/>
                <w:bCs w:val="0"/>
                <w:color w:val="auto"/>
                <w:sz w:val="24"/>
                <w:szCs w:val="24"/>
              </w:rPr>
            </w:pPr>
          </w:p>
        </w:tc>
        <w:tc>
          <w:tcPr>
            <w:tcW w:w="1855" w:type="dxa"/>
            <w:vMerge w:val="continue"/>
            <w:tcBorders>
              <w:tl2br w:val="nil"/>
              <w:tr2bl w:val="nil"/>
            </w:tcBorders>
            <w:noWrap w:val="0"/>
            <w:vAlign w:val="center"/>
          </w:tcPr>
          <w:p w14:paraId="7288B6C3">
            <w:pPr>
              <w:adjustRightInd w:val="0"/>
              <w:snapToGrid w:val="0"/>
              <w:jc w:val="center"/>
              <w:rPr>
                <w:rFonts w:hint="default" w:ascii="Times New Roman" w:hAnsi="Times New Roman" w:eastAsia="宋体" w:cs="Times New Roman"/>
                <w:color w:val="auto"/>
                <w:sz w:val="24"/>
                <w:szCs w:val="24"/>
                <w:lang w:val="en-US" w:eastAsia="zh-CN"/>
              </w:rPr>
            </w:pPr>
          </w:p>
        </w:tc>
        <w:tc>
          <w:tcPr>
            <w:tcW w:w="1281" w:type="dxa"/>
            <w:tcBorders>
              <w:tl2br w:val="nil"/>
              <w:tr2bl w:val="nil"/>
            </w:tcBorders>
            <w:noWrap w:val="0"/>
            <w:vAlign w:val="center"/>
          </w:tcPr>
          <w:p w14:paraId="4D3FA782">
            <w:pPr>
              <w:adjustRightInd w:val="0"/>
              <w:snapToGrid w:val="0"/>
              <w:jc w:val="center"/>
              <w:rPr>
                <w:rFonts w:hint="eastAsia" w:ascii="Times New Roman" w:hAnsi="Times New Roman" w:eastAsia="宋体" w:cs="Times New Roman"/>
                <w:snapToGrid/>
                <w:color w:val="auto"/>
                <w:spacing w:val="0"/>
                <w:kern w:val="0"/>
                <w:position w:val="0"/>
                <w:sz w:val="24"/>
                <w:szCs w:val="24"/>
                <w:lang w:eastAsia="zh-CN"/>
              </w:rPr>
            </w:pPr>
            <w:r>
              <w:rPr>
                <w:rFonts w:hint="eastAsia" w:cs="Times New Roman"/>
                <w:snapToGrid/>
                <w:color w:val="auto"/>
                <w:spacing w:val="0"/>
                <w:kern w:val="0"/>
                <w:position w:val="0"/>
                <w:sz w:val="24"/>
                <w:szCs w:val="24"/>
                <w:lang w:eastAsia="zh-CN"/>
              </w:rPr>
              <w:t>石油类</w:t>
            </w:r>
          </w:p>
        </w:tc>
        <w:tc>
          <w:tcPr>
            <w:tcW w:w="1824" w:type="dxa"/>
            <w:vMerge w:val="continue"/>
            <w:tcBorders>
              <w:tl2br w:val="nil"/>
              <w:tr2bl w:val="nil"/>
            </w:tcBorders>
            <w:noWrap w:val="0"/>
            <w:vAlign w:val="center"/>
          </w:tcPr>
          <w:p w14:paraId="567F12D9">
            <w:pPr>
              <w:adjustRightInd w:val="0"/>
              <w:snapToGrid w:val="0"/>
              <w:jc w:val="center"/>
              <w:rPr>
                <w:rFonts w:hint="default" w:ascii="Times New Roman" w:hAnsi="Times New Roman" w:eastAsia="宋体" w:cs="Times New Roman"/>
                <w:color w:val="auto"/>
                <w:sz w:val="24"/>
                <w:szCs w:val="24"/>
              </w:rPr>
            </w:pPr>
          </w:p>
        </w:tc>
        <w:tc>
          <w:tcPr>
            <w:tcW w:w="2162" w:type="dxa"/>
            <w:vMerge w:val="continue"/>
            <w:tcBorders>
              <w:tl2br w:val="nil"/>
              <w:tr2bl w:val="nil"/>
            </w:tcBorders>
            <w:noWrap w:val="0"/>
            <w:vAlign w:val="center"/>
          </w:tcPr>
          <w:p w14:paraId="5D16264D">
            <w:pPr>
              <w:adjustRightInd w:val="0"/>
              <w:snapToGrid w:val="0"/>
              <w:jc w:val="center"/>
              <w:rPr>
                <w:rFonts w:hint="default" w:ascii="Times New Roman" w:hAnsi="Times New Roman" w:eastAsia="宋体" w:cs="Times New Roman"/>
                <w:color w:val="auto"/>
                <w:sz w:val="24"/>
                <w:szCs w:val="24"/>
              </w:rPr>
            </w:pPr>
          </w:p>
        </w:tc>
      </w:tr>
      <w:tr w14:paraId="6886D6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tcBorders>
              <w:tl2br w:val="nil"/>
              <w:tr2bl w:val="nil"/>
            </w:tcBorders>
            <w:noWrap w:val="0"/>
            <w:vAlign w:val="center"/>
          </w:tcPr>
          <w:p w14:paraId="138D9770">
            <w:pPr>
              <w:adjustRightInd w:val="0"/>
              <w:snapToGrid w:val="0"/>
              <w:jc w:val="center"/>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声环境</w:t>
            </w:r>
          </w:p>
        </w:tc>
        <w:tc>
          <w:tcPr>
            <w:tcW w:w="1855" w:type="dxa"/>
            <w:tcBorders>
              <w:tl2br w:val="nil"/>
              <w:tr2bl w:val="nil"/>
            </w:tcBorders>
            <w:noWrap w:val="0"/>
            <w:vAlign w:val="center"/>
          </w:tcPr>
          <w:p w14:paraId="7D468ED5">
            <w:pPr>
              <w:adjustRightInd w:val="0"/>
              <w:snapToGrid w:val="0"/>
              <w:jc w:val="center"/>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厂界</w:t>
            </w:r>
          </w:p>
        </w:tc>
        <w:tc>
          <w:tcPr>
            <w:tcW w:w="1281" w:type="dxa"/>
            <w:tcBorders>
              <w:tl2br w:val="nil"/>
              <w:tr2bl w:val="nil"/>
            </w:tcBorders>
            <w:noWrap w:val="0"/>
            <w:vAlign w:val="center"/>
          </w:tcPr>
          <w:p w14:paraId="29E772DE">
            <w:pPr>
              <w:adjustRightInd w:val="0"/>
              <w:snapToGrid w:val="0"/>
              <w:jc w:val="center"/>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噪声</w:t>
            </w:r>
          </w:p>
        </w:tc>
        <w:tc>
          <w:tcPr>
            <w:tcW w:w="1824" w:type="dxa"/>
            <w:tcBorders>
              <w:tl2br w:val="nil"/>
              <w:tr2bl w:val="nil"/>
            </w:tcBorders>
            <w:noWrap w:val="0"/>
            <w:vAlign w:val="center"/>
          </w:tcPr>
          <w:p w14:paraId="6EB71650">
            <w:pPr>
              <w:adjustRightInd w:val="0"/>
              <w:snapToGrid w:val="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合理布局；对高噪声设备采取隔振减振措施；车间隔声；合理安排生产时间</w:t>
            </w:r>
          </w:p>
        </w:tc>
        <w:tc>
          <w:tcPr>
            <w:tcW w:w="2162" w:type="dxa"/>
            <w:tcBorders>
              <w:tl2br w:val="nil"/>
              <w:tr2bl w:val="nil"/>
            </w:tcBorders>
            <w:noWrap w:val="0"/>
            <w:vAlign w:val="center"/>
          </w:tcPr>
          <w:p w14:paraId="5B52D359">
            <w:pPr>
              <w:adjustRightInd w:val="0"/>
              <w:snapToGrid w:val="0"/>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《工业企业厂界环境噪声排放标准》（GB12348-2008）中的</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kern w:val="0"/>
                <w:sz w:val="24"/>
                <w:szCs w:val="24"/>
                <w:lang w:val="en-US" w:eastAsia="zh-CN"/>
              </w:rPr>
              <w:t>类</w:t>
            </w:r>
            <w:r>
              <w:rPr>
                <w:rFonts w:hint="default" w:ascii="Times New Roman" w:hAnsi="Times New Roman" w:eastAsia="宋体" w:cs="Times New Roman"/>
                <w:color w:val="auto"/>
                <w:sz w:val="24"/>
                <w:szCs w:val="24"/>
              </w:rPr>
              <w:t>标准</w:t>
            </w:r>
          </w:p>
        </w:tc>
      </w:tr>
      <w:tr w14:paraId="187D5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tcBorders>
              <w:tl2br w:val="nil"/>
              <w:tr2bl w:val="nil"/>
            </w:tcBorders>
            <w:noWrap w:val="0"/>
            <w:vAlign w:val="center"/>
          </w:tcPr>
          <w:p w14:paraId="147E44CF">
            <w:pPr>
              <w:adjustRightInd w:val="0"/>
              <w:snapToGrid w:val="0"/>
              <w:jc w:val="center"/>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电磁辐射</w:t>
            </w:r>
          </w:p>
        </w:tc>
        <w:tc>
          <w:tcPr>
            <w:tcW w:w="7122" w:type="dxa"/>
            <w:gridSpan w:val="4"/>
            <w:tcBorders>
              <w:tl2br w:val="nil"/>
              <w:tr2bl w:val="nil"/>
            </w:tcBorders>
            <w:noWrap w:val="0"/>
            <w:vAlign w:val="center"/>
          </w:tcPr>
          <w:p w14:paraId="78B5DF1A">
            <w:pPr>
              <w:adjustRightInd w:val="0"/>
              <w:snapToGrid w:val="0"/>
              <w:jc w:val="center"/>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无</w:t>
            </w:r>
          </w:p>
        </w:tc>
      </w:tr>
      <w:tr w14:paraId="2765F3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678" w:type="dxa"/>
            <w:tcBorders>
              <w:tl2br w:val="nil"/>
              <w:tr2bl w:val="nil"/>
            </w:tcBorders>
            <w:noWrap w:val="0"/>
            <w:vAlign w:val="center"/>
          </w:tcPr>
          <w:p w14:paraId="5CD92417">
            <w:pPr>
              <w:adjustRightInd w:val="0"/>
              <w:snapToGrid w:val="0"/>
              <w:jc w:val="center"/>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固体废物</w:t>
            </w:r>
          </w:p>
        </w:tc>
        <w:tc>
          <w:tcPr>
            <w:tcW w:w="7122" w:type="dxa"/>
            <w:gridSpan w:val="4"/>
            <w:tcBorders>
              <w:tl2br w:val="nil"/>
              <w:tr2bl w:val="nil"/>
            </w:tcBorders>
            <w:noWrap w:val="0"/>
            <w:vAlign w:val="center"/>
          </w:tcPr>
          <w:p w14:paraId="09C6BE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本项目产生的一般工业固体废物废边角料、废包装材料、布袋除尘器收集颗粒物经厂内集中收集后交由物资回收部门回收利用；废活性炭、废催化剂、废润滑油、废润滑油桶、</w:t>
            </w:r>
            <w:r>
              <w:rPr>
                <w:rFonts w:hint="eastAsia" w:cs="Times New Roman"/>
                <w:color w:val="auto"/>
                <w:sz w:val="24"/>
                <w:szCs w:val="24"/>
                <w:lang w:eastAsia="zh-CN"/>
              </w:rPr>
              <w:t>喷淋废水</w:t>
            </w:r>
            <w:r>
              <w:rPr>
                <w:rFonts w:hint="default" w:ascii="Times New Roman" w:hAnsi="Times New Roman" w:eastAsia="宋体" w:cs="Times New Roman"/>
                <w:color w:val="auto"/>
                <w:sz w:val="24"/>
                <w:szCs w:val="24"/>
              </w:rPr>
              <w:t>于厂内危废暂存间暂存后委托有资质单位妥善处置；生活垃圾委托环卫部门统一处理。</w:t>
            </w:r>
          </w:p>
        </w:tc>
      </w:tr>
      <w:tr w14:paraId="6F7FC1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1678" w:type="dxa"/>
            <w:tcBorders>
              <w:tl2br w:val="nil"/>
              <w:tr2bl w:val="nil"/>
            </w:tcBorders>
            <w:noWrap w:val="0"/>
            <w:vAlign w:val="center"/>
          </w:tcPr>
          <w:p w14:paraId="2D077A9D">
            <w:pPr>
              <w:adjustRightInd w:val="0"/>
              <w:snapToGrid w:val="0"/>
              <w:jc w:val="center"/>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土壤及地下水</w:t>
            </w:r>
          </w:p>
          <w:p w14:paraId="3CCE6A06">
            <w:pPr>
              <w:adjustRightInd w:val="0"/>
              <w:snapToGrid w:val="0"/>
              <w:jc w:val="center"/>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污染防治措施</w:t>
            </w:r>
          </w:p>
        </w:tc>
        <w:tc>
          <w:tcPr>
            <w:tcW w:w="7122" w:type="dxa"/>
            <w:gridSpan w:val="4"/>
            <w:tcBorders>
              <w:tl2br w:val="nil"/>
              <w:tr2bl w:val="nil"/>
            </w:tcBorders>
            <w:noWrap w:val="0"/>
            <w:vAlign w:val="center"/>
          </w:tcPr>
          <w:p w14:paraId="6D5B40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sz w:val="24"/>
                <w:szCs w:val="24"/>
                <w:lang w:val="en-US" w:eastAsia="zh-CN"/>
              </w:rPr>
              <w:t>危废暂存间</w:t>
            </w:r>
            <w:r>
              <w:rPr>
                <w:rFonts w:hint="eastAsia" w:cs="Times New Roman"/>
                <w:b w:val="0"/>
                <w:bCs w:val="0"/>
                <w:color w:val="auto"/>
                <w:sz w:val="24"/>
                <w:szCs w:val="24"/>
                <w:lang w:val="en-US" w:eastAsia="zh-CN"/>
              </w:rPr>
              <w:t>、循环水池</w:t>
            </w:r>
            <w:r>
              <w:rPr>
                <w:rFonts w:hint="default" w:ascii="Times New Roman" w:hAnsi="Times New Roman" w:eastAsia="宋体" w:cs="Times New Roman"/>
                <w:b w:val="0"/>
                <w:bCs w:val="0"/>
                <w:color w:val="auto"/>
                <w:sz w:val="24"/>
                <w:szCs w:val="24"/>
                <w:lang w:val="en-US" w:eastAsia="zh-CN"/>
              </w:rPr>
              <w:t>等区域为</w:t>
            </w:r>
            <w:r>
              <w:rPr>
                <w:rFonts w:hint="default" w:ascii="Times New Roman" w:hAnsi="Times New Roman" w:cs="Times New Roman"/>
                <w:color w:val="auto"/>
                <w:sz w:val="24"/>
                <w:szCs w:val="24"/>
              </w:rPr>
              <w:t>重点防渗区域采用环氧树脂漆（1.5mm）进行重点防渗，渗透系数≤1×10</w:t>
            </w:r>
            <w:r>
              <w:rPr>
                <w:rFonts w:hint="default" w:ascii="Times New Roman" w:hAnsi="Times New Roman" w:cs="Times New Roman"/>
                <w:color w:val="auto"/>
                <w:sz w:val="24"/>
                <w:szCs w:val="24"/>
                <w:vertAlign w:val="superscript"/>
              </w:rPr>
              <w:t>-</w:t>
            </w:r>
            <w:r>
              <w:rPr>
                <w:rFonts w:hint="eastAsia" w:cs="Times New Roman"/>
                <w:color w:val="auto"/>
                <w:sz w:val="24"/>
                <w:szCs w:val="24"/>
                <w:vertAlign w:val="superscript"/>
                <w:lang w:val="en-US" w:eastAsia="zh-CN"/>
              </w:rPr>
              <w:t>10</w:t>
            </w:r>
            <w:r>
              <w:rPr>
                <w:rFonts w:hint="default" w:ascii="Times New Roman" w:hAnsi="Times New Roman" w:cs="Times New Roman"/>
                <w:color w:val="auto"/>
                <w:sz w:val="24"/>
                <w:szCs w:val="24"/>
              </w:rPr>
              <w:t>cm/s</w:t>
            </w:r>
            <w:r>
              <w:rPr>
                <w:rFonts w:hint="eastAsia" w:cs="Times New Roman"/>
                <w:color w:val="auto"/>
                <w:sz w:val="24"/>
                <w:szCs w:val="24"/>
                <w:lang w:eastAsia="zh-CN"/>
              </w:rPr>
              <w:t>；一般防渗区采取粘土铺底+10～15cm的防渗水泥进行硬化，防渗层渗透系数达到1.0×10</w:t>
            </w:r>
            <w:r>
              <w:rPr>
                <w:rFonts w:hint="eastAsia" w:cs="Times New Roman"/>
                <w:color w:val="auto"/>
                <w:sz w:val="24"/>
                <w:szCs w:val="24"/>
                <w:vertAlign w:val="superscript"/>
                <w:lang w:eastAsia="zh-CN"/>
              </w:rPr>
              <w:t>-7</w:t>
            </w:r>
            <w:r>
              <w:rPr>
                <w:rFonts w:hint="eastAsia" w:cs="Times New Roman"/>
                <w:color w:val="auto"/>
                <w:sz w:val="24"/>
                <w:szCs w:val="24"/>
                <w:lang w:eastAsia="zh-CN"/>
              </w:rPr>
              <w:t>cm/s</w:t>
            </w:r>
            <w:r>
              <w:rPr>
                <w:rFonts w:hint="default" w:ascii="Times New Roman" w:hAnsi="Times New Roman" w:eastAsia="宋体" w:cs="Times New Roman"/>
                <w:color w:val="auto"/>
                <w:sz w:val="24"/>
                <w:szCs w:val="24"/>
                <w:lang w:eastAsia="zh-CN"/>
              </w:rPr>
              <w:t>。</w:t>
            </w:r>
          </w:p>
        </w:tc>
      </w:tr>
      <w:tr w14:paraId="6C11E5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1678" w:type="dxa"/>
            <w:tcBorders>
              <w:tl2br w:val="nil"/>
              <w:tr2bl w:val="nil"/>
            </w:tcBorders>
            <w:noWrap w:val="0"/>
            <w:vAlign w:val="center"/>
          </w:tcPr>
          <w:p w14:paraId="76DDC2FB">
            <w:pPr>
              <w:adjustRightInd w:val="0"/>
              <w:snapToGrid w:val="0"/>
              <w:jc w:val="center"/>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生态保护措施</w:t>
            </w:r>
          </w:p>
        </w:tc>
        <w:tc>
          <w:tcPr>
            <w:tcW w:w="7122" w:type="dxa"/>
            <w:gridSpan w:val="4"/>
            <w:tcBorders>
              <w:tl2br w:val="nil"/>
              <w:tr2bl w:val="nil"/>
            </w:tcBorders>
            <w:noWrap w:val="0"/>
            <w:vAlign w:val="center"/>
          </w:tcPr>
          <w:p w14:paraId="7E0E7888">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Times New Roman" w:hAnsi="Times New Roman" w:eastAsia="宋体" w:cs="Times New Roman"/>
                <w:color w:val="000000"/>
                <w:sz w:val="24"/>
                <w:szCs w:val="24"/>
                <w:lang w:eastAsia="zh-CN"/>
              </w:rPr>
            </w:pPr>
            <w:r>
              <w:rPr>
                <w:rFonts w:hint="eastAsia" w:cs="Times New Roman"/>
                <w:color w:val="000000"/>
                <w:sz w:val="24"/>
                <w:szCs w:val="24"/>
                <w:lang w:eastAsia="zh-CN"/>
              </w:rPr>
              <w:t>无</w:t>
            </w:r>
          </w:p>
        </w:tc>
      </w:tr>
      <w:tr w14:paraId="4A5061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7" w:hRule="atLeast"/>
          <w:jc w:val="center"/>
        </w:trPr>
        <w:tc>
          <w:tcPr>
            <w:tcW w:w="1678" w:type="dxa"/>
            <w:tcBorders>
              <w:tl2br w:val="nil"/>
              <w:tr2bl w:val="nil"/>
            </w:tcBorders>
            <w:noWrap w:val="0"/>
            <w:vAlign w:val="center"/>
          </w:tcPr>
          <w:p w14:paraId="5F7801EA">
            <w:pPr>
              <w:adjustRightInd w:val="0"/>
              <w:snapToGrid w:val="0"/>
              <w:jc w:val="center"/>
              <w:rPr>
                <w:rFonts w:hint="default" w:ascii="Times New Roman" w:hAnsi="Times New Roman" w:eastAsia="宋体" w:cs="Times New Roman"/>
                <w:b w:val="0"/>
                <w:bCs w:val="0"/>
                <w:color w:val="000000"/>
                <w:spacing w:val="-8"/>
                <w:sz w:val="24"/>
                <w:szCs w:val="24"/>
              </w:rPr>
            </w:pPr>
            <w:r>
              <w:rPr>
                <w:rFonts w:hint="default" w:ascii="Times New Roman" w:hAnsi="Times New Roman" w:eastAsia="宋体" w:cs="Times New Roman"/>
                <w:b w:val="0"/>
                <w:bCs w:val="0"/>
                <w:color w:val="000000"/>
                <w:spacing w:val="-8"/>
                <w:sz w:val="24"/>
                <w:szCs w:val="24"/>
              </w:rPr>
              <w:t>环境风险</w:t>
            </w:r>
          </w:p>
          <w:p w14:paraId="40546625">
            <w:pPr>
              <w:adjustRightInd w:val="0"/>
              <w:snapToGrid w:val="0"/>
              <w:jc w:val="center"/>
              <w:rPr>
                <w:rFonts w:hint="default" w:ascii="Times New Roman" w:hAnsi="Times New Roman" w:eastAsia="宋体" w:cs="Times New Roman"/>
                <w:b w:val="0"/>
                <w:bCs w:val="0"/>
                <w:color w:val="000000"/>
                <w:spacing w:val="-8"/>
                <w:sz w:val="24"/>
                <w:szCs w:val="24"/>
              </w:rPr>
            </w:pPr>
            <w:r>
              <w:rPr>
                <w:rFonts w:hint="default" w:ascii="Times New Roman" w:hAnsi="Times New Roman" w:eastAsia="宋体" w:cs="Times New Roman"/>
                <w:b w:val="0"/>
                <w:bCs w:val="0"/>
                <w:color w:val="000000"/>
                <w:spacing w:val="-8"/>
                <w:sz w:val="24"/>
                <w:szCs w:val="24"/>
              </w:rPr>
              <w:t>防范措施</w:t>
            </w:r>
          </w:p>
        </w:tc>
        <w:tc>
          <w:tcPr>
            <w:tcW w:w="7122" w:type="dxa"/>
            <w:gridSpan w:val="4"/>
            <w:tcBorders>
              <w:tl2br w:val="nil"/>
              <w:tr2bl w:val="nil"/>
            </w:tcBorders>
            <w:noWrap w:val="0"/>
            <w:vAlign w:val="center"/>
          </w:tcPr>
          <w:p w14:paraId="3CECB9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为保证公司员工和周围居民的生命财产安全，防止重、特大事故的发生，并能在事故发生后迅速有效</w:t>
            </w:r>
            <w:r>
              <w:rPr>
                <w:rFonts w:hint="eastAsia" w:cs="Times New Roman"/>
                <w:color w:val="000000"/>
                <w:sz w:val="24"/>
                <w:szCs w:val="24"/>
                <w:lang w:eastAsia="zh-CN"/>
              </w:rPr>
              <w:t>地</w:t>
            </w:r>
            <w:r>
              <w:rPr>
                <w:rFonts w:hint="default" w:ascii="Times New Roman" w:hAnsi="Times New Roman" w:eastAsia="宋体" w:cs="Times New Roman"/>
                <w:color w:val="000000"/>
                <w:sz w:val="24"/>
                <w:szCs w:val="24"/>
              </w:rPr>
              <w:t>控制处理，防止事故扩大，根据公司实际情况，本</w:t>
            </w:r>
            <w:r>
              <w:rPr>
                <w:rFonts w:hint="eastAsia" w:ascii="宋体" w:hAnsi="宋体" w:eastAsia="宋体" w:cs="宋体"/>
                <w:color w:val="000000"/>
                <w:sz w:val="24"/>
                <w:szCs w:val="24"/>
              </w:rPr>
              <w:t>着“安全第一，预防为主；统一指挥，分工负责”</w:t>
            </w:r>
            <w:r>
              <w:rPr>
                <w:rFonts w:hint="default" w:ascii="Times New Roman" w:hAnsi="Times New Roman" w:eastAsia="宋体" w:cs="Times New Roman"/>
                <w:color w:val="000000"/>
                <w:sz w:val="24"/>
                <w:szCs w:val="24"/>
              </w:rPr>
              <w:t>的原则，制定严格的事故应急预案并经常演练使之启动运转及时，是减轻风险事故环境影响的有效措施。</w:t>
            </w:r>
          </w:p>
        </w:tc>
      </w:tr>
      <w:tr w14:paraId="7032AB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78" w:type="dxa"/>
            <w:tcBorders>
              <w:tl2br w:val="nil"/>
              <w:tr2bl w:val="nil"/>
            </w:tcBorders>
            <w:noWrap w:val="0"/>
            <w:vAlign w:val="center"/>
          </w:tcPr>
          <w:p w14:paraId="43BC134C">
            <w:pPr>
              <w:adjustRightInd w:val="0"/>
              <w:snapToGrid w:val="0"/>
              <w:jc w:val="center"/>
              <w:rPr>
                <w:rFonts w:hint="default" w:ascii="Times New Roman" w:hAnsi="Times New Roman" w:eastAsia="宋体" w:cs="Times New Roman"/>
                <w:b w:val="0"/>
                <w:bCs w:val="0"/>
                <w:color w:val="000000"/>
                <w:spacing w:val="-8"/>
                <w:sz w:val="24"/>
                <w:szCs w:val="24"/>
              </w:rPr>
            </w:pPr>
            <w:r>
              <w:rPr>
                <w:rFonts w:hint="default" w:ascii="Times New Roman" w:hAnsi="Times New Roman" w:eastAsia="宋体" w:cs="Times New Roman"/>
                <w:b w:val="0"/>
                <w:bCs w:val="0"/>
                <w:color w:val="000000"/>
                <w:spacing w:val="-8"/>
                <w:sz w:val="24"/>
                <w:szCs w:val="24"/>
              </w:rPr>
              <w:t>其他环境</w:t>
            </w:r>
          </w:p>
          <w:p w14:paraId="59C4EAB2">
            <w:pPr>
              <w:adjustRightInd w:val="0"/>
              <w:snapToGrid w:val="0"/>
              <w:jc w:val="center"/>
              <w:rPr>
                <w:rFonts w:hint="default" w:ascii="Times New Roman" w:hAnsi="Times New Roman" w:eastAsia="宋体" w:cs="Times New Roman"/>
                <w:b w:val="0"/>
                <w:bCs w:val="0"/>
                <w:color w:val="000000"/>
                <w:spacing w:val="-8"/>
                <w:sz w:val="24"/>
                <w:szCs w:val="24"/>
              </w:rPr>
            </w:pPr>
            <w:r>
              <w:rPr>
                <w:rFonts w:hint="default" w:ascii="Times New Roman" w:hAnsi="Times New Roman" w:eastAsia="宋体" w:cs="Times New Roman"/>
                <w:b w:val="0"/>
                <w:bCs w:val="0"/>
                <w:color w:val="000000"/>
                <w:spacing w:val="-8"/>
                <w:sz w:val="24"/>
                <w:szCs w:val="24"/>
              </w:rPr>
              <w:t>管理要求</w:t>
            </w:r>
          </w:p>
        </w:tc>
        <w:tc>
          <w:tcPr>
            <w:tcW w:w="7122" w:type="dxa"/>
            <w:gridSpan w:val="4"/>
            <w:tcBorders>
              <w:tl2br w:val="nil"/>
              <w:tr2bl w:val="nil"/>
            </w:tcBorders>
            <w:noWrap w:val="0"/>
            <w:vAlign w:val="center"/>
          </w:tcPr>
          <w:p w14:paraId="553D32C6">
            <w:pPr>
              <w:keepNext w:val="0"/>
              <w:keepLines w:val="0"/>
              <w:pageBreakBefore w:val="0"/>
              <w:widowControl w:val="0"/>
              <w:kinsoku/>
              <w:wordWrap/>
              <w:overflowPunct/>
              <w:topLinePunct w:val="0"/>
              <w:autoSpaceDE/>
              <w:autoSpaceDN/>
              <w:bidi w:val="0"/>
              <w:adjustRightInd w:val="0"/>
              <w:snapToGrid w:val="0"/>
              <w:spacing w:before="157" w:beforeLines="50" w:line="360" w:lineRule="auto"/>
              <w:jc w:val="left"/>
              <w:textAlignment w:val="auto"/>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1.</w:t>
            </w:r>
            <w:r>
              <w:rPr>
                <w:b/>
                <w:bCs/>
                <w:color w:val="000000" w:themeColor="text1"/>
                <w:sz w:val="24"/>
                <w:szCs w:val="24"/>
                <w14:textFill>
                  <w14:solidFill>
                    <w14:schemeClr w14:val="tx1"/>
                  </w14:solidFill>
                </w14:textFill>
              </w:rPr>
              <w:t>排放口规范化及信息公开化</w:t>
            </w:r>
          </w:p>
          <w:p w14:paraId="7ACE62A6">
            <w:pPr>
              <w:adjustRightInd w:val="0"/>
              <w:snapToGrid w:val="0"/>
              <w:spacing w:line="360" w:lineRule="auto"/>
              <w:ind w:firstLine="480" w:firstLineChars="200"/>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根据《关于开展排放口规范化整治工作的通知》（环发[1999]24号）、《排污口规范化整治技术要求》（环监[1996]470号）、《固定污染源废气监测点位设置技术规范》（DB37/T 3535-2019）等规定的要求，一切新建、改造、扩建的排污单位以及限期治理的排污单位必须在建设污染治理设施的同时，建设规范化排放口。因此，建设项目产生的各类污染物的排放口必须规范化，并且规范化工作的完成必须与污染治理设施同步。</w:t>
            </w:r>
          </w:p>
          <w:p w14:paraId="3DAB80E0">
            <w:pPr>
              <w:adjustRightInd w:val="0"/>
              <w:snapToGrid w:val="0"/>
              <w:spacing w:line="360" w:lineRule="auto"/>
              <w:jc w:val="left"/>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2.</w:t>
            </w:r>
            <w:r>
              <w:rPr>
                <w:b/>
                <w:bCs/>
                <w:color w:val="000000" w:themeColor="text1"/>
                <w:sz w:val="24"/>
                <w:szCs w:val="24"/>
                <w14:textFill>
                  <w14:solidFill>
                    <w14:schemeClr w14:val="tx1"/>
                  </w14:solidFill>
                </w14:textFill>
              </w:rPr>
              <w:t>排污许可衔接</w:t>
            </w:r>
          </w:p>
          <w:p w14:paraId="71EB6C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根据《关于做好环境影响评价制度与排污许可制衔接相关工作的通知》（环办环评[2017]84号），项目应在获得环评审批文件后，按照国家环境保护相关法律法规以及排污许可证申请与核发技术规范要求申请排污许可证，</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并在取得排污许可证后按照排污许可证申请与核发技术规范相关要求履行自行检测、台账管理、执行报告等手续。</w:t>
            </w:r>
          </w:p>
          <w:p w14:paraId="00A088FF">
            <w:pPr>
              <w:adjustRightInd w:val="0"/>
              <w:snapToGrid w:val="0"/>
              <w:spacing w:line="360" w:lineRule="auto"/>
              <w:jc w:val="left"/>
              <w:rPr>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3.</w:t>
            </w:r>
            <w:r>
              <w:rPr>
                <w:b/>
                <w:bCs/>
                <w:color w:val="000000" w:themeColor="text1"/>
                <w:sz w:val="24"/>
                <w:szCs w:val="24"/>
                <w14:textFill>
                  <w14:solidFill>
                    <w14:schemeClr w14:val="tx1"/>
                  </w14:solidFill>
                </w14:textFill>
              </w:rPr>
              <w:t>竣工环境保护设施验收</w:t>
            </w:r>
          </w:p>
          <w:p w14:paraId="72D256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cs="Times New Roman"/>
                <w:sz w:val="24"/>
                <w:szCs w:val="24"/>
              </w:rPr>
            </w:pPr>
            <w:r>
              <w:rPr>
                <w:color w:val="000000" w:themeColor="text1"/>
                <w:sz w:val="24"/>
                <w:szCs w:val="24"/>
                <w14:textFill>
                  <w14:solidFill>
                    <w14:schemeClr w14:val="tx1"/>
                  </w14:solidFill>
                </w14:textFill>
              </w:rPr>
              <w:t>根据《建设项目竣工环境保护验收暂行办法》的规定，建设项目竣工后，建设单位应当如实查验、监测、记载建设项目环境保护设施的建设和调试情况，编制验收监测报告。</w:t>
            </w:r>
          </w:p>
          <w:p w14:paraId="0C1E61D7">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b/>
                <w:bCs/>
                <w:sz w:val="24"/>
                <w:szCs w:val="24"/>
                <w:lang w:val="en-US" w:eastAsia="zh-CN"/>
              </w:rPr>
            </w:pPr>
            <w:r>
              <w:rPr>
                <w:rFonts w:hint="eastAsia" w:cs="Times New Roman"/>
                <w:b/>
                <w:bCs/>
                <w:sz w:val="24"/>
                <w:szCs w:val="24"/>
                <w:lang w:val="en-US" w:eastAsia="zh-CN"/>
              </w:rPr>
              <w:t>4.污染物排放“三本账”</w:t>
            </w:r>
          </w:p>
          <w:p w14:paraId="75705B5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b/>
                <w:bCs/>
                <w:sz w:val="24"/>
                <w:szCs w:val="24"/>
                <w:lang w:val="en-US" w:eastAsia="zh-CN"/>
              </w:rPr>
            </w:pPr>
            <w:r>
              <w:rPr>
                <w:rFonts w:hint="eastAsia" w:cs="Times New Roman"/>
                <w:b/>
                <w:bCs/>
                <w:sz w:val="24"/>
                <w:szCs w:val="24"/>
                <w:lang w:val="en-US" w:eastAsia="zh-CN"/>
              </w:rPr>
              <w:t>表5.1 污染物排放“三本账”  单位：</w:t>
            </w:r>
            <w:r>
              <w:rPr>
                <w:rFonts w:hint="default" w:ascii="Times New Roman" w:hAnsi="Times New Roman" w:eastAsia="宋体" w:cs="Times New Roman"/>
                <w:b/>
                <w:bCs/>
                <w:color w:val="auto"/>
                <w:kern w:val="2"/>
                <w:sz w:val="24"/>
                <w:szCs w:val="24"/>
                <w:lang w:val="en-US" w:eastAsia="zh-CN"/>
              </w:rPr>
              <w:t>t/a</w:t>
            </w:r>
          </w:p>
          <w:tbl>
            <w:tblPr>
              <w:tblStyle w:val="25"/>
              <w:tblW w:w="6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986"/>
              <w:gridCol w:w="986"/>
              <w:gridCol w:w="987"/>
              <w:gridCol w:w="987"/>
              <w:gridCol w:w="987"/>
              <w:gridCol w:w="987"/>
            </w:tblGrid>
            <w:tr w14:paraId="7F5AF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Align w:val="center"/>
                </w:tcPr>
                <w:p w14:paraId="701344A9">
                  <w:pPr>
                    <w:pStyle w:val="31"/>
                    <w:keepNext w:val="0"/>
                    <w:keepLines w:val="0"/>
                    <w:pageBreakBefore w:val="0"/>
                    <w:widowControl w:val="0"/>
                    <w:numPr>
                      <w:ilvl w:val="0"/>
                      <w:numId w:val="0"/>
                    </w:numPr>
                    <w:kinsoku/>
                    <w:wordWrap/>
                    <w:overflowPunct/>
                    <w:topLinePunct w:val="0"/>
                    <w:bidi w:val="0"/>
                    <w:adjustRightInd w:val="0"/>
                    <w:snapToGrid w:val="0"/>
                    <w:spacing w:line="240" w:lineRule="auto"/>
                    <w:ind w:left="0" w:leftChars="0" w:right="0" w:rightChars="0" w:firstLine="0" w:firstLineChars="0"/>
                    <w:jc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类别</w:t>
                  </w:r>
                </w:p>
              </w:tc>
              <w:tc>
                <w:tcPr>
                  <w:tcW w:w="986" w:type="dxa"/>
                  <w:vAlign w:val="center"/>
                </w:tcPr>
                <w:p w14:paraId="61FEFA9A">
                  <w:pPr>
                    <w:pStyle w:val="31"/>
                    <w:keepNext w:val="0"/>
                    <w:keepLines w:val="0"/>
                    <w:pageBreakBefore w:val="0"/>
                    <w:widowControl w:val="0"/>
                    <w:numPr>
                      <w:ilvl w:val="0"/>
                      <w:numId w:val="0"/>
                    </w:numPr>
                    <w:kinsoku/>
                    <w:wordWrap/>
                    <w:overflowPunct/>
                    <w:topLinePunct w:val="0"/>
                    <w:bidi w:val="0"/>
                    <w:adjustRightInd w:val="0"/>
                    <w:snapToGrid w:val="0"/>
                    <w:spacing w:line="240" w:lineRule="auto"/>
                    <w:ind w:left="0" w:leftChars="0" w:right="0" w:rightChars="0" w:firstLine="0" w:firstLineChars="0"/>
                    <w:jc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污染物名称</w:t>
                  </w:r>
                </w:p>
              </w:tc>
              <w:tc>
                <w:tcPr>
                  <w:tcW w:w="986" w:type="dxa"/>
                  <w:vAlign w:val="center"/>
                </w:tcPr>
                <w:p w14:paraId="0B1E5E8D">
                  <w:pPr>
                    <w:pStyle w:val="31"/>
                    <w:keepNext w:val="0"/>
                    <w:keepLines w:val="0"/>
                    <w:pageBreakBefore w:val="0"/>
                    <w:widowControl w:val="0"/>
                    <w:numPr>
                      <w:ilvl w:val="0"/>
                      <w:numId w:val="0"/>
                    </w:numPr>
                    <w:kinsoku/>
                    <w:wordWrap/>
                    <w:overflowPunct/>
                    <w:topLinePunct w:val="0"/>
                    <w:bidi w:val="0"/>
                    <w:adjustRightInd w:val="0"/>
                    <w:snapToGrid w:val="0"/>
                    <w:spacing w:line="240" w:lineRule="auto"/>
                    <w:ind w:left="0" w:leftChars="0" w:right="0" w:rightChars="0" w:firstLine="0" w:firstLineChars="0"/>
                    <w:jc w:val="center"/>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b w:val="0"/>
                      <w:bCs w:val="0"/>
                      <w:color w:val="auto"/>
                      <w:sz w:val="21"/>
                      <w:szCs w:val="21"/>
                      <w:vertAlign w:val="baseline"/>
                      <w:lang w:val="en-US" w:eastAsia="zh-CN"/>
                    </w:rPr>
                    <w:t>现有</w:t>
                  </w:r>
                  <w:r>
                    <w:rPr>
                      <w:rFonts w:hint="default" w:ascii="Times New Roman" w:hAnsi="Times New Roman" w:eastAsia="宋体" w:cs="Times New Roman"/>
                      <w:b w:val="0"/>
                      <w:bCs w:val="0"/>
                      <w:color w:val="auto"/>
                      <w:sz w:val="21"/>
                      <w:szCs w:val="21"/>
                      <w:vertAlign w:val="baseline"/>
                      <w:lang w:val="en-US" w:eastAsia="zh-CN"/>
                    </w:rPr>
                    <w:t>排放量</w:t>
                  </w:r>
                </w:p>
              </w:tc>
              <w:tc>
                <w:tcPr>
                  <w:tcW w:w="987" w:type="dxa"/>
                  <w:vAlign w:val="center"/>
                </w:tcPr>
                <w:p w14:paraId="52FF7204">
                  <w:pPr>
                    <w:pStyle w:val="31"/>
                    <w:keepNext w:val="0"/>
                    <w:keepLines w:val="0"/>
                    <w:pageBreakBefore w:val="0"/>
                    <w:widowControl w:val="0"/>
                    <w:numPr>
                      <w:ilvl w:val="0"/>
                      <w:numId w:val="0"/>
                    </w:numPr>
                    <w:kinsoku/>
                    <w:wordWrap/>
                    <w:overflowPunct/>
                    <w:topLinePunct w:val="0"/>
                    <w:bidi w:val="0"/>
                    <w:adjustRightInd w:val="0"/>
                    <w:snapToGrid w:val="0"/>
                    <w:spacing w:line="240" w:lineRule="auto"/>
                    <w:ind w:left="0" w:leftChars="0" w:right="0" w:rightChars="0" w:firstLine="0" w:firstLineChars="0"/>
                    <w:jc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本项目排放量</w:t>
                  </w:r>
                </w:p>
              </w:tc>
              <w:tc>
                <w:tcPr>
                  <w:tcW w:w="987" w:type="dxa"/>
                  <w:vAlign w:val="center"/>
                </w:tcPr>
                <w:p w14:paraId="48142436">
                  <w:pPr>
                    <w:pStyle w:val="31"/>
                    <w:keepNext w:val="0"/>
                    <w:keepLines w:val="0"/>
                    <w:pageBreakBefore w:val="0"/>
                    <w:widowControl w:val="0"/>
                    <w:numPr>
                      <w:ilvl w:val="0"/>
                      <w:numId w:val="0"/>
                    </w:numPr>
                    <w:kinsoku/>
                    <w:wordWrap/>
                    <w:overflowPunct/>
                    <w:topLinePunct w:val="0"/>
                    <w:bidi w:val="0"/>
                    <w:adjustRightInd w:val="0"/>
                    <w:snapToGrid w:val="0"/>
                    <w:spacing w:line="240" w:lineRule="auto"/>
                    <w:ind w:left="0" w:leftChars="0" w:right="0" w:rightChars="0" w:firstLine="0" w:firstLineChars="0"/>
                    <w:jc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“以新带老”削减量</w:t>
                  </w:r>
                </w:p>
              </w:tc>
              <w:tc>
                <w:tcPr>
                  <w:tcW w:w="987" w:type="dxa"/>
                  <w:vAlign w:val="center"/>
                </w:tcPr>
                <w:p w14:paraId="240E69AA">
                  <w:pPr>
                    <w:pStyle w:val="31"/>
                    <w:keepNext w:val="0"/>
                    <w:keepLines w:val="0"/>
                    <w:pageBreakBefore w:val="0"/>
                    <w:widowControl w:val="0"/>
                    <w:numPr>
                      <w:ilvl w:val="0"/>
                      <w:numId w:val="0"/>
                    </w:numPr>
                    <w:kinsoku/>
                    <w:wordWrap/>
                    <w:overflowPunct/>
                    <w:topLinePunct w:val="0"/>
                    <w:bidi w:val="0"/>
                    <w:adjustRightInd w:val="0"/>
                    <w:snapToGrid w:val="0"/>
                    <w:spacing w:line="240" w:lineRule="auto"/>
                    <w:ind w:left="0" w:leftChars="0" w:right="0" w:rightChars="0" w:firstLine="0" w:firstLineChars="0"/>
                    <w:jc w:val="center"/>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b w:val="0"/>
                      <w:bCs w:val="0"/>
                      <w:color w:val="auto"/>
                      <w:sz w:val="21"/>
                      <w:szCs w:val="21"/>
                      <w:vertAlign w:val="baseline"/>
                      <w:lang w:val="en-US" w:eastAsia="zh-CN"/>
                    </w:rPr>
                    <w:t>建成</w:t>
                  </w:r>
                  <w:r>
                    <w:rPr>
                      <w:rFonts w:hint="default" w:ascii="Times New Roman" w:hAnsi="Times New Roman" w:eastAsia="宋体" w:cs="Times New Roman"/>
                      <w:b w:val="0"/>
                      <w:bCs w:val="0"/>
                      <w:color w:val="auto"/>
                      <w:sz w:val="21"/>
                      <w:szCs w:val="21"/>
                      <w:vertAlign w:val="baseline"/>
                      <w:lang w:val="en-US" w:eastAsia="zh-CN"/>
                    </w:rPr>
                    <w:t>后排放量</w:t>
                  </w:r>
                </w:p>
              </w:tc>
              <w:tc>
                <w:tcPr>
                  <w:tcW w:w="987" w:type="dxa"/>
                  <w:vAlign w:val="center"/>
                </w:tcPr>
                <w:p w14:paraId="1483F3DF">
                  <w:pPr>
                    <w:pStyle w:val="31"/>
                    <w:keepNext w:val="0"/>
                    <w:keepLines w:val="0"/>
                    <w:pageBreakBefore w:val="0"/>
                    <w:widowControl w:val="0"/>
                    <w:numPr>
                      <w:ilvl w:val="0"/>
                      <w:numId w:val="0"/>
                    </w:numPr>
                    <w:kinsoku/>
                    <w:wordWrap/>
                    <w:overflowPunct/>
                    <w:topLinePunct w:val="0"/>
                    <w:bidi w:val="0"/>
                    <w:adjustRightInd w:val="0"/>
                    <w:snapToGrid w:val="0"/>
                    <w:spacing w:line="240" w:lineRule="auto"/>
                    <w:ind w:left="0" w:leftChars="0" w:right="0" w:rightChars="0" w:firstLine="0" w:firstLineChars="0"/>
                    <w:jc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排放增减量</w:t>
                  </w:r>
                </w:p>
              </w:tc>
            </w:tr>
            <w:tr w14:paraId="25704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restart"/>
                  <w:vAlign w:val="center"/>
                </w:tcPr>
                <w:p w14:paraId="0C38BD09">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snapToGrid w:val="0"/>
                      <w:color w:val="auto"/>
                      <w:kern w:val="21"/>
                      <w:sz w:val="21"/>
                      <w:szCs w:val="21"/>
                    </w:rPr>
                    <w:t>废气</w:t>
                  </w:r>
                </w:p>
              </w:tc>
              <w:tc>
                <w:tcPr>
                  <w:tcW w:w="986" w:type="dxa"/>
                  <w:vAlign w:val="center"/>
                </w:tcPr>
                <w:p w14:paraId="2D486BC0">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hAnsi="Times New Roman" w:eastAsia="宋体" w:cs="Times New Roman"/>
                      <w:color w:val="auto"/>
                      <w:sz w:val="21"/>
                      <w:szCs w:val="21"/>
                      <w:vertAlign w:val="baseline"/>
                      <w:lang w:val="en-US" w:eastAsia="zh-CN"/>
                    </w:rPr>
                  </w:pPr>
                  <w:r>
                    <w:rPr>
                      <w:rFonts w:hint="eastAsia" w:ascii="Times New Roman" w:cs="Times New Roman"/>
                      <w:snapToGrid w:val="0"/>
                      <w:color w:val="auto"/>
                      <w:kern w:val="21"/>
                      <w:sz w:val="21"/>
                      <w:szCs w:val="21"/>
                      <w:lang w:val="en-US" w:eastAsia="zh-CN"/>
                    </w:rPr>
                    <w:t>颗粒物</w:t>
                  </w:r>
                </w:p>
              </w:tc>
              <w:tc>
                <w:tcPr>
                  <w:tcW w:w="986" w:type="dxa"/>
                  <w:vAlign w:val="center"/>
                </w:tcPr>
                <w:p w14:paraId="1CB1B0D1">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ascii="Times New Roman" w:hAnsi="Times New Roman" w:eastAsia="宋体" w:cs="Times New Roman"/>
                      <w:color w:val="auto"/>
                      <w:sz w:val="21"/>
                      <w:szCs w:val="21"/>
                      <w:vertAlign w:val="baseline"/>
                      <w:lang w:val="en-US" w:eastAsia="zh-CN"/>
                    </w:rPr>
                  </w:pPr>
                  <w:r>
                    <w:rPr>
                      <w:rFonts w:hint="eastAsia" w:ascii="Times New Roman" w:cs="Times New Roman"/>
                      <w:snapToGrid w:val="0"/>
                      <w:color w:val="auto"/>
                      <w:kern w:val="21"/>
                      <w:sz w:val="21"/>
                      <w:szCs w:val="21"/>
                      <w:lang w:val="en-US" w:eastAsia="zh-CN"/>
                    </w:rPr>
                    <w:t>0.846</w:t>
                  </w:r>
                </w:p>
              </w:tc>
              <w:tc>
                <w:tcPr>
                  <w:tcW w:w="987" w:type="dxa"/>
                  <w:vAlign w:val="center"/>
                </w:tcPr>
                <w:p w14:paraId="6B96EC35">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vertAlign w:val="baseline"/>
                      <w:lang w:val="en-US" w:eastAsia="zh-CN"/>
                    </w:rPr>
                  </w:pPr>
                  <w:r>
                    <w:rPr>
                      <w:rFonts w:hint="eastAsia" w:cs="Times New Roman"/>
                      <w:snapToGrid w:val="0"/>
                      <w:color w:val="auto"/>
                      <w:kern w:val="21"/>
                      <w:sz w:val="21"/>
                      <w:szCs w:val="21"/>
                      <w:lang w:val="en-US" w:eastAsia="zh-CN"/>
                    </w:rPr>
                    <w:t>0.665</w:t>
                  </w:r>
                </w:p>
              </w:tc>
              <w:tc>
                <w:tcPr>
                  <w:tcW w:w="987" w:type="dxa"/>
                  <w:vAlign w:val="center"/>
                </w:tcPr>
                <w:p w14:paraId="15FCEC9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009829CA">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ascii="Times New Roman" w:hAnsi="Times New Roman" w:eastAsia="宋体" w:cs="Times New Roman"/>
                      <w:color w:val="auto"/>
                      <w:sz w:val="21"/>
                      <w:szCs w:val="21"/>
                      <w:vertAlign w:val="baseline"/>
                      <w:lang w:val="en-US" w:eastAsia="zh-CN"/>
                    </w:rPr>
                  </w:pPr>
                  <w:r>
                    <w:rPr>
                      <w:rFonts w:hint="eastAsia" w:ascii="Times New Roman" w:cs="Times New Roman"/>
                      <w:color w:val="auto"/>
                      <w:sz w:val="21"/>
                      <w:szCs w:val="21"/>
                      <w:vertAlign w:val="baseline"/>
                      <w:lang w:val="en-US" w:eastAsia="zh-CN"/>
                    </w:rPr>
                    <w:t>1.511</w:t>
                  </w:r>
                </w:p>
              </w:tc>
              <w:tc>
                <w:tcPr>
                  <w:tcW w:w="987" w:type="dxa"/>
                  <w:shd w:val="clear" w:color="auto" w:fill="BEBEBE" w:themeFill="background1" w:themeFillShade="BF"/>
                  <w:vAlign w:val="center"/>
                </w:tcPr>
                <w:p w14:paraId="5D4CFD45">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shd w:val="clear" w:color="auto" w:fill="auto"/>
                      <w:vertAlign w:val="baseline"/>
                      <w:lang w:val="en-US" w:eastAsia="zh-CN"/>
                    </w:rPr>
                  </w:pPr>
                  <w:r>
                    <w:rPr>
                      <w:rFonts w:hint="eastAsia" w:cs="Times New Roman"/>
                      <w:snapToGrid w:val="0"/>
                      <w:color w:val="auto"/>
                      <w:kern w:val="21"/>
                      <w:sz w:val="21"/>
                      <w:szCs w:val="21"/>
                      <w:lang w:val="en-US" w:eastAsia="zh-CN"/>
                    </w:rPr>
                    <w:t>+0.665</w:t>
                  </w:r>
                </w:p>
              </w:tc>
            </w:tr>
            <w:tr w14:paraId="72C1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27EEAC6C">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ascii="Times New Roman" w:hAnsi="Times New Roman" w:eastAsia="宋体" w:cs="Times New Roman"/>
                      <w:snapToGrid w:val="0"/>
                      <w:color w:val="auto"/>
                      <w:kern w:val="21"/>
                      <w:sz w:val="21"/>
                      <w:szCs w:val="21"/>
                    </w:rPr>
                  </w:pPr>
                </w:p>
              </w:tc>
              <w:tc>
                <w:tcPr>
                  <w:tcW w:w="986" w:type="dxa"/>
                  <w:vAlign w:val="center"/>
                </w:tcPr>
                <w:p w14:paraId="6713742E">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cs="Times New Roman"/>
                      <w:snapToGrid w:val="0"/>
                      <w:color w:val="auto"/>
                      <w:kern w:val="21"/>
                      <w:sz w:val="21"/>
                      <w:szCs w:val="21"/>
                      <w:lang w:val="en-US" w:eastAsia="zh-CN"/>
                    </w:rPr>
                  </w:pPr>
                  <w:r>
                    <w:rPr>
                      <w:rFonts w:hint="eastAsia" w:ascii="Times New Roman" w:cs="Times New Roman"/>
                      <w:snapToGrid w:val="0"/>
                      <w:color w:val="auto"/>
                      <w:kern w:val="21"/>
                      <w:sz w:val="21"/>
                      <w:szCs w:val="21"/>
                      <w:lang w:val="en-US" w:eastAsia="zh-CN"/>
                    </w:rPr>
                    <w:t>非甲烷总烃</w:t>
                  </w:r>
                </w:p>
              </w:tc>
              <w:tc>
                <w:tcPr>
                  <w:tcW w:w="986" w:type="dxa"/>
                  <w:vAlign w:val="center"/>
                </w:tcPr>
                <w:p w14:paraId="73352748">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cs="Times New Roman"/>
                      <w:color w:val="auto"/>
                      <w:sz w:val="21"/>
                      <w:szCs w:val="21"/>
                      <w:vertAlign w:val="baseline"/>
                      <w:lang w:val="en-US" w:eastAsia="zh-CN"/>
                    </w:rPr>
                  </w:pPr>
                  <w:r>
                    <w:rPr>
                      <w:rFonts w:hint="eastAsia" w:ascii="Times New Roman" w:cs="Times New Roman"/>
                      <w:snapToGrid w:val="0"/>
                      <w:color w:val="auto"/>
                      <w:kern w:val="21"/>
                      <w:sz w:val="21"/>
                      <w:szCs w:val="21"/>
                      <w:lang w:val="en-US" w:eastAsia="zh-CN"/>
                    </w:rPr>
                    <w:t>0.686</w:t>
                  </w:r>
                </w:p>
              </w:tc>
              <w:tc>
                <w:tcPr>
                  <w:tcW w:w="987" w:type="dxa"/>
                  <w:vAlign w:val="center"/>
                </w:tcPr>
                <w:p w14:paraId="642AD645">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cs="Times New Roman"/>
                      <w:snapToGrid w:val="0"/>
                      <w:color w:val="auto"/>
                      <w:kern w:val="21"/>
                      <w:sz w:val="21"/>
                      <w:szCs w:val="21"/>
                      <w:lang w:val="en-US" w:eastAsia="zh-CN"/>
                    </w:rPr>
                  </w:pPr>
                  <w:r>
                    <w:rPr>
                      <w:rFonts w:hint="eastAsia" w:cs="Times New Roman"/>
                      <w:snapToGrid w:val="0"/>
                      <w:color w:val="auto"/>
                      <w:kern w:val="21"/>
                      <w:sz w:val="21"/>
                      <w:szCs w:val="21"/>
                      <w:lang w:val="en-US" w:eastAsia="zh-CN"/>
                    </w:rPr>
                    <w:t>0.669</w:t>
                  </w:r>
                </w:p>
              </w:tc>
              <w:tc>
                <w:tcPr>
                  <w:tcW w:w="987" w:type="dxa"/>
                  <w:vAlign w:val="center"/>
                </w:tcPr>
                <w:p w14:paraId="69649EF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79467E05">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ascii="Times New Roman" w:cs="Times New Roman"/>
                      <w:snapToGrid w:val="0"/>
                      <w:color w:val="auto"/>
                      <w:kern w:val="21"/>
                      <w:sz w:val="21"/>
                      <w:szCs w:val="21"/>
                      <w:lang w:val="en-US" w:eastAsia="zh-CN"/>
                    </w:rPr>
                  </w:pPr>
                  <w:r>
                    <w:rPr>
                      <w:rFonts w:hint="eastAsia" w:ascii="Times New Roman" w:cs="Times New Roman"/>
                      <w:snapToGrid w:val="0"/>
                      <w:color w:val="auto"/>
                      <w:kern w:val="21"/>
                      <w:sz w:val="21"/>
                      <w:szCs w:val="21"/>
                      <w:lang w:val="en-US" w:eastAsia="zh-CN"/>
                    </w:rPr>
                    <w:t>1.355</w:t>
                  </w:r>
                </w:p>
              </w:tc>
              <w:tc>
                <w:tcPr>
                  <w:tcW w:w="987" w:type="dxa"/>
                  <w:shd w:val="clear" w:color="auto" w:fill="BEBEBE" w:themeFill="background1" w:themeFillShade="BF"/>
                  <w:vAlign w:val="center"/>
                </w:tcPr>
                <w:p w14:paraId="0B0F9D91">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cs="Times New Roman"/>
                      <w:snapToGrid w:val="0"/>
                      <w:color w:val="auto"/>
                      <w:kern w:val="21"/>
                      <w:sz w:val="21"/>
                      <w:szCs w:val="21"/>
                      <w:shd w:val="clear" w:color="auto" w:fill="auto"/>
                      <w:lang w:val="en-US" w:eastAsia="zh-CN"/>
                    </w:rPr>
                  </w:pPr>
                  <w:r>
                    <w:rPr>
                      <w:rFonts w:hint="eastAsia" w:cs="Times New Roman"/>
                      <w:snapToGrid w:val="0"/>
                      <w:color w:val="auto"/>
                      <w:kern w:val="21"/>
                      <w:sz w:val="21"/>
                      <w:szCs w:val="21"/>
                      <w:lang w:val="en-US" w:eastAsia="zh-CN"/>
                    </w:rPr>
                    <w:t>+0.669</w:t>
                  </w:r>
                </w:p>
              </w:tc>
            </w:tr>
            <w:tr w14:paraId="5AD5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5CD30298">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ascii="Times New Roman" w:hAnsi="Times New Roman" w:eastAsia="宋体" w:cs="Times New Roman"/>
                      <w:snapToGrid w:val="0"/>
                      <w:color w:val="auto"/>
                      <w:kern w:val="21"/>
                      <w:sz w:val="21"/>
                      <w:szCs w:val="21"/>
                    </w:rPr>
                  </w:pPr>
                </w:p>
              </w:tc>
              <w:tc>
                <w:tcPr>
                  <w:tcW w:w="986" w:type="dxa"/>
                  <w:vAlign w:val="center"/>
                </w:tcPr>
                <w:p w14:paraId="663080A0">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cs="Times New Roman"/>
                      <w:snapToGrid w:val="0"/>
                      <w:color w:val="auto"/>
                      <w:kern w:val="21"/>
                      <w:sz w:val="21"/>
                      <w:szCs w:val="21"/>
                      <w:lang w:val="en-US" w:eastAsia="zh-CN"/>
                    </w:rPr>
                  </w:pPr>
                  <w:r>
                    <w:rPr>
                      <w:rFonts w:hint="eastAsia"/>
                      <w:color w:val="000000" w:themeColor="text1"/>
                      <w:sz w:val="21"/>
                      <w:szCs w:val="21"/>
                      <w:lang w:eastAsia="zh-CN"/>
                      <w14:textFill>
                        <w14:solidFill>
                          <w14:schemeClr w14:val="tx1"/>
                        </w14:solidFill>
                      </w14:textFill>
                    </w:rPr>
                    <w:t>氯乙烯</w:t>
                  </w:r>
                </w:p>
              </w:tc>
              <w:tc>
                <w:tcPr>
                  <w:tcW w:w="986" w:type="dxa"/>
                  <w:vAlign w:val="center"/>
                </w:tcPr>
                <w:p w14:paraId="436DABCF">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ascii="Times New Roman" w:cs="Times New Roman"/>
                      <w:snapToGrid w:val="0"/>
                      <w:color w:val="auto"/>
                      <w:kern w:val="21"/>
                      <w:sz w:val="21"/>
                      <w:szCs w:val="21"/>
                      <w:lang w:val="en-US" w:eastAsia="zh-CN"/>
                    </w:rPr>
                  </w:pPr>
                  <w:r>
                    <w:rPr>
                      <w:rFonts w:hint="eastAsia" w:ascii="Times New Roman" w:cs="Times New Roman"/>
                      <w:snapToGrid w:val="0"/>
                      <w:color w:val="auto"/>
                      <w:kern w:val="21"/>
                      <w:sz w:val="21"/>
                      <w:szCs w:val="21"/>
                      <w:lang w:val="en-US" w:eastAsia="zh-CN"/>
                    </w:rPr>
                    <w:t>/</w:t>
                  </w:r>
                </w:p>
              </w:tc>
              <w:tc>
                <w:tcPr>
                  <w:tcW w:w="987" w:type="dxa"/>
                  <w:vAlign w:val="center"/>
                </w:tcPr>
                <w:p w14:paraId="58B79C33">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cs="Times New Roman"/>
                      <w:snapToGrid w:val="0"/>
                      <w:color w:val="auto"/>
                      <w:kern w:val="21"/>
                      <w:sz w:val="21"/>
                      <w:szCs w:val="21"/>
                      <w:lang w:val="en-US" w:eastAsia="zh-CN"/>
                    </w:rPr>
                  </w:pPr>
                  <w:r>
                    <w:rPr>
                      <w:rFonts w:hint="eastAsia" w:cs="Times New Roman"/>
                      <w:snapToGrid w:val="0"/>
                      <w:color w:val="auto"/>
                      <w:kern w:val="21"/>
                      <w:sz w:val="21"/>
                      <w:szCs w:val="21"/>
                      <w:lang w:val="en-US" w:eastAsia="zh-CN"/>
                    </w:rPr>
                    <w:t>0.006</w:t>
                  </w:r>
                </w:p>
              </w:tc>
              <w:tc>
                <w:tcPr>
                  <w:tcW w:w="987" w:type="dxa"/>
                  <w:vAlign w:val="center"/>
                </w:tcPr>
                <w:p w14:paraId="5D4D476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5BFBC430">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cs="Times New Roman"/>
                      <w:snapToGrid w:val="0"/>
                      <w:color w:val="auto"/>
                      <w:kern w:val="21"/>
                      <w:sz w:val="21"/>
                      <w:szCs w:val="21"/>
                      <w:lang w:val="en-US" w:eastAsia="zh-CN"/>
                    </w:rPr>
                  </w:pPr>
                  <w:r>
                    <w:rPr>
                      <w:rFonts w:hint="eastAsia" w:cs="Times New Roman"/>
                      <w:snapToGrid w:val="0"/>
                      <w:color w:val="auto"/>
                      <w:kern w:val="21"/>
                      <w:sz w:val="21"/>
                      <w:szCs w:val="21"/>
                      <w:lang w:val="en-US" w:eastAsia="zh-CN"/>
                    </w:rPr>
                    <w:t>0.006</w:t>
                  </w:r>
                </w:p>
              </w:tc>
              <w:tc>
                <w:tcPr>
                  <w:tcW w:w="987" w:type="dxa"/>
                  <w:shd w:val="clear" w:color="auto" w:fill="BEBEBE" w:themeFill="background1" w:themeFillShade="BF"/>
                  <w:vAlign w:val="center"/>
                </w:tcPr>
                <w:p w14:paraId="5792637D">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cs="Times New Roman"/>
                      <w:snapToGrid w:val="0"/>
                      <w:color w:val="auto"/>
                      <w:kern w:val="21"/>
                      <w:sz w:val="21"/>
                      <w:szCs w:val="21"/>
                      <w:shd w:val="clear" w:color="auto" w:fill="auto"/>
                      <w:lang w:val="en-US" w:eastAsia="zh-CN"/>
                    </w:rPr>
                  </w:pPr>
                  <w:r>
                    <w:rPr>
                      <w:rFonts w:hint="eastAsia" w:cs="Times New Roman"/>
                      <w:snapToGrid w:val="0"/>
                      <w:color w:val="auto"/>
                      <w:kern w:val="21"/>
                      <w:sz w:val="21"/>
                      <w:szCs w:val="21"/>
                      <w:lang w:val="en-US" w:eastAsia="zh-CN"/>
                    </w:rPr>
                    <w:t>+0.006</w:t>
                  </w:r>
                </w:p>
              </w:tc>
            </w:tr>
            <w:tr w14:paraId="71147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25D2C606">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ascii="Times New Roman" w:hAnsi="Times New Roman" w:eastAsia="宋体" w:cs="Times New Roman"/>
                      <w:snapToGrid w:val="0"/>
                      <w:color w:val="auto"/>
                      <w:kern w:val="21"/>
                      <w:sz w:val="21"/>
                      <w:szCs w:val="21"/>
                    </w:rPr>
                  </w:pPr>
                </w:p>
              </w:tc>
              <w:tc>
                <w:tcPr>
                  <w:tcW w:w="986" w:type="dxa"/>
                  <w:vAlign w:val="center"/>
                </w:tcPr>
                <w:p w14:paraId="4B388335">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cs="Times New Roman"/>
                      <w:snapToGrid w:val="0"/>
                      <w:color w:val="auto"/>
                      <w:kern w:val="21"/>
                      <w:sz w:val="21"/>
                      <w:szCs w:val="21"/>
                      <w:lang w:val="en-US" w:eastAsia="zh-CN"/>
                    </w:rPr>
                  </w:pPr>
                  <w:r>
                    <w:rPr>
                      <w:rFonts w:hint="eastAsia"/>
                      <w:color w:val="000000" w:themeColor="text1"/>
                      <w:sz w:val="21"/>
                      <w:szCs w:val="21"/>
                      <w:lang w:eastAsia="zh-CN"/>
                      <w14:textFill>
                        <w14:solidFill>
                          <w14:schemeClr w14:val="tx1"/>
                        </w14:solidFill>
                      </w14:textFill>
                    </w:rPr>
                    <w:t>氯化氢</w:t>
                  </w:r>
                </w:p>
              </w:tc>
              <w:tc>
                <w:tcPr>
                  <w:tcW w:w="986" w:type="dxa"/>
                  <w:vAlign w:val="center"/>
                </w:tcPr>
                <w:p w14:paraId="1211A5CD">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default" w:ascii="Times New Roman" w:cs="Times New Roman"/>
                      <w:snapToGrid w:val="0"/>
                      <w:color w:val="auto"/>
                      <w:kern w:val="21"/>
                      <w:sz w:val="21"/>
                      <w:szCs w:val="21"/>
                      <w:lang w:val="en-US" w:eastAsia="zh-CN"/>
                    </w:rPr>
                  </w:pPr>
                  <w:r>
                    <w:rPr>
                      <w:rFonts w:hint="eastAsia" w:ascii="Times New Roman" w:cs="Times New Roman"/>
                      <w:snapToGrid w:val="0"/>
                      <w:color w:val="auto"/>
                      <w:kern w:val="21"/>
                      <w:sz w:val="21"/>
                      <w:szCs w:val="21"/>
                      <w:lang w:val="en-US" w:eastAsia="zh-CN"/>
                    </w:rPr>
                    <w:t>/</w:t>
                  </w:r>
                </w:p>
              </w:tc>
              <w:tc>
                <w:tcPr>
                  <w:tcW w:w="987" w:type="dxa"/>
                  <w:vAlign w:val="center"/>
                </w:tcPr>
                <w:p w14:paraId="3F29CE3E">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cs="Times New Roman"/>
                      <w:snapToGrid w:val="0"/>
                      <w:color w:val="auto"/>
                      <w:kern w:val="21"/>
                      <w:sz w:val="21"/>
                      <w:szCs w:val="21"/>
                      <w:lang w:val="en-US" w:eastAsia="zh-CN"/>
                    </w:rPr>
                  </w:pPr>
                  <w:r>
                    <w:rPr>
                      <w:rFonts w:hint="eastAsia" w:cs="Times New Roman"/>
                      <w:snapToGrid w:val="0"/>
                      <w:color w:val="auto"/>
                      <w:kern w:val="21"/>
                      <w:sz w:val="21"/>
                      <w:szCs w:val="21"/>
                      <w:lang w:val="en-US" w:eastAsia="zh-CN"/>
                    </w:rPr>
                    <w:t>0.033</w:t>
                  </w:r>
                </w:p>
              </w:tc>
              <w:tc>
                <w:tcPr>
                  <w:tcW w:w="987" w:type="dxa"/>
                  <w:vAlign w:val="center"/>
                </w:tcPr>
                <w:p w14:paraId="36612FA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04648B70">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cs="Times New Roman"/>
                      <w:snapToGrid w:val="0"/>
                      <w:color w:val="auto"/>
                      <w:kern w:val="21"/>
                      <w:sz w:val="21"/>
                      <w:szCs w:val="21"/>
                      <w:lang w:val="en-US" w:eastAsia="zh-CN"/>
                    </w:rPr>
                  </w:pPr>
                  <w:r>
                    <w:rPr>
                      <w:rFonts w:hint="eastAsia" w:cs="Times New Roman"/>
                      <w:snapToGrid w:val="0"/>
                      <w:color w:val="auto"/>
                      <w:kern w:val="21"/>
                      <w:sz w:val="21"/>
                      <w:szCs w:val="21"/>
                      <w:lang w:val="en-US" w:eastAsia="zh-CN"/>
                    </w:rPr>
                    <w:t>0.033</w:t>
                  </w:r>
                </w:p>
              </w:tc>
              <w:tc>
                <w:tcPr>
                  <w:tcW w:w="987" w:type="dxa"/>
                  <w:shd w:val="clear" w:color="auto" w:fill="BEBEBE" w:themeFill="background1" w:themeFillShade="BF"/>
                  <w:vAlign w:val="center"/>
                </w:tcPr>
                <w:p w14:paraId="55D7E122">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cs="Times New Roman"/>
                      <w:snapToGrid w:val="0"/>
                      <w:color w:val="auto"/>
                      <w:kern w:val="21"/>
                      <w:sz w:val="21"/>
                      <w:szCs w:val="21"/>
                      <w:shd w:val="clear" w:color="auto" w:fill="auto"/>
                      <w:lang w:val="en-US" w:eastAsia="zh-CN"/>
                    </w:rPr>
                  </w:pPr>
                  <w:r>
                    <w:rPr>
                      <w:rFonts w:hint="eastAsia" w:cs="Times New Roman"/>
                      <w:snapToGrid w:val="0"/>
                      <w:color w:val="auto"/>
                      <w:kern w:val="21"/>
                      <w:sz w:val="21"/>
                      <w:szCs w:val="21"/>
                      <w:lang w:val="en-US" w:eastAsia="zh-CN"/>
                    </w:rPr>
                    <w:t>+0.033</w:t>
                  </w:r>
                </w:p>
              </w:tc>
            </w:tr>
            <w:tr w14:paraId="70DE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986" w:type="dxa"/>
                  <w:vMerge w:val="restart"/>
                  <w:vAlign w:val="center"/>
                </w:tcPr>
                <w:p w14:paraId="125AB86D">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snapToGrid w:val="0"/>
                      <w:color w:val="auto"/>
                      <w:kern w:val="21"/>
                      <w:sz w:val="21"/>
                      <w:szCs w:val="21"/>
                    </w:rPr>
                    <w:t>废水</w:t>
                  </w:r>
                </w:p>
              </w:tc>
              <w:tc>
                <w:tcPr>
                  <w:tcW w:w="986" w:type="dxa"/>
                  <w:vAlign w:val="center"/>
                </w:tcPr>
                <w:p w14:paraId="26532EB3">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hAnsi="Times New Roman" w:eastAsia="宋体" w:cs="Times New Roman"/>
                      <w:color w:val="auto"/>
                      <w:sz w:val="21"/>
                      <w:szCs w:val="21"/>
                      <w:vertAlign w:val="baseline"/>
                      <w:lang w:val="en-US" w:eastAsia="zh-CN"/>
                    </w:rPr>
                  </w:pPr>
                  <w:r>
                    <w:rPr>
                      <w:rFonts w:hint="eastAsia" w:ascii="Times New Roman" w:cs="Times New Roman"/>
                      <w:snapToGrid w:val="0"/>
                      <w:color w:val="auto"/>
                      <w:kern w:val="21"/>
                      <w:sz w:val="21"/>
                      <w:szCs w:val="21"/>
                      <w:lang w:val="en-US" w:eastAsia="zh-CN"/>
                    </w:rPr>
                    <w:t>COD</w:t>
                  </w:r>
                </w:p>
              </w:tc>
              <w:tc>
                <w:tcPr>
                  <w:tcW w:w="986" w:type="dxa"/>
                  <w:vAlign w:val="center"/>
                </w:tcPr>
                <w:p w14:paraId="767E6A3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6E011161">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cs="Times New Roman"/>
                      <w:snapToGrid/>
                      <w:color w:val="auto"/>
                      <w:spacing w:val="0"/>
                      <w:kern w:val="0"/>
                      <w:position w:val="0"/>
                      <w:sz w:val="21"/>
                      <w:szCs w:val="21"/>
                      <w:lang w:val="en-US" w:eastAsia="zh-CN"/>
                    </w:rPr>
                    <w:t>/</w:t>
                  </w:r>
                </w:p>
              </w:tc>
              <w:tc>
                <w:tcPr>
                  <w:tcW w:w="987" w:type="dxa"/>
                  <w:vAlign w:val="center"/>
                </w:tcPr>
                <w:p w14:paraId="6E67271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766F9088">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cs="Times New Roman"/>
                      <w:snapToGrid/>
                      <w:color w:val="auto"/>
                      <w:spacing w:val="0"/>
                      <w:kern w:val="0"/>
                      <w:position w:val="0"/>
                      <w:sz w:val="21"/>
                      <w:szCs w:val="21"/>
                      <w:lang w:val="en-US" w:eastAsia="zh-CN"/>
                    </w:rPr>
                    <w:t>/</w:t>
                  </w:r>
                </w:p>
              </w:tc>
              <w:tc>
                <w:tcPr>
                  <w:tcW w:w="987" w:type="dxa"/>
                  <w:shd w:val="clear" w:color="auto" w:fill="BEBEBE" w:themeFill="background1" w:themeFillShade="BF"/>
                  <w:vAlign w:val="center"/>
                </w:tcPr>
                <w:p w14:paraId="79FB3802">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shd w:val="clear" w:color="auto" w:fill="auto"/>
                      <w:vertAlign w:val="baseline"/>
                      <w:lang w:val="en-US" w:eastAsia="zh-CN"/>
                    </w:rPr>
                  </w:pPr>
                  <w:r>
                    <w:rPr>
                      <w:rFonts w:hint="eastAsia" w:cs="Times New Roman"/>
                      <w:snapToGrid/>
                      <w:color w:val="auto"/>
                      <w:spacing w:val="0"/>
                      <w:kern w:val="0"/>
                      <w:position w:val="0"/>
                      <w:sz w:val="21"/>
                      <w:szCs w:val="21"/>
                      <w:shd w:val="clear" w:color="auto" w:fill="auto"/>
                      <w:lang w:val="en-US" w:eastAsia="zh-CN"/>
                    </w:rPr>
                    <w:t>/</w:t>
                  </w:r>
                </w:p>
              </w:tc>
            </w:tr>
            <w:tr w14:paraId="3E9F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3E909CF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4EB64B7F">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hAnsi="Times New Roman" w:eastAsia="宋体" w:cs="Times New Roman"/>
                      <w:color w:val="auto"/>
                      <w:sz w:val="21"/>
                      <w:szCs w:val="21"/>
                      <w:vertAlign w:val="baseline"/>
                      <w:lang w:val="en-US" w:eastAsia="zh-CN"/>
                    </w:rPr>
                  </w:pPr>
                  <w:r>
                    <w:rPr>
                      <w:rFonts w:hint="eastAsia" w:ascii="Times New Roman" w:cs="Times New Roman"/>
                      <w:snapToGrid w:val="0"/>
                      <w:color w:val="auto"/>
                      <w:kern w:val="21"/>
                      <w:sz w:val="21"/>
                      <w:szCs w:val="21"/>
                      <w:lang w:val="en-US" w:eastAsia="zh-CN"/>
                    </w:rPr>
                    <w:t>NH</w:t>
                  </w:r>
                  <w:r>
                    <w:rPr>
                      <w:rFonts w:hint="eastAsia" w:ascii="Times New Roman" w:cs="Times New Roman"/>
                      <w:snapToGrid w:val="0"/>
                      <w:color w:val="auto"/>
                      <w:kern w:val="21"/>
                      <w:sz w:val="21"/>
                      <w:szCs w:val="21"/>
                      <w:vertAlign w:val="subscript"/>
                      <w:lang w:val="en-US" w:eastAsia="zh-CN"/>
                    </w:rPr>
                    <w:t>3</w:t>
                  </w:r>
                  <w:r>
                    <w:rPr>
                      <w:rFonts w:hint="eastAsia" w:ascii="Times New Roman" w:cs="Times New Roman"/>
                      <w:snapToGrid w:val="0"/>
                      <w:color w:val="auto"/>
                      <w:kern w:val="21"/>
                      <w:sz w:val="21"/>
                      <w:szCs w:val="21"/>
                      <w:lang w:val="en-US" w:eastAsia="zh-CN"/>
                    </w:rPr>
                    <w:t>-N</w:t>
                  </w:r>
                </w:p>
              </w:tc>
              <w:tc>
                <w:tcPr>
                  <w:tcW w:w="986" w:type="dxa"/>
                  <w:vAlign w:val="center"/>
                </w:tcPr>
                <w:p w14:paraId="21F7538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6AD45925">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cs="Times New Roman"/>
                      <w:snapToGrid/>
                      <w:color w:val="auto"/>
                      <w:spacing w:val="0"/>
                      <w:kern w:val="0"/>
                      <w:position w:val="0"/>
                      <w:sz w:val="21"/>
                      <w:szCs w:val="21"/>
                      <w:lang w:val="en-US" w:eastAsia="zh-CN"/>
                    </w:rPr>
                    <w:t>/</w:t>
                  </w:r>
                </w:p>
              </w:tc>
              <w:tc>
                <w:tcPr>
                  <w:tcW w:w="987" w:type="dxa"/>
                  <w:vAlign w:val="center"/>
                </w:tcPr>
                <w:p w14:paraId="6B9FE82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3CB7D09B">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cs="Times New Roman"/>
                      <w:snapToGrid/>
                      <w:color w:val="auto"/>
                      <w:spacing w:val="0"/>
                      <w:kern w:val="0"/>
                      <w:position w:val="0"/>
                      <w:sz w:val="21"/>
                      <w:szCs w:val="21"/>
                      <w:lang w:val="en-US" w:eastAsia="zh-CN"/>
                    </w:rPr>
                    <w:t>/</w:t>
                  </w:r>
                </w:p>
              </w:tc>
              <w:tc>
                <w:tcPr>
                  <w:tcW w:w="987" w:type="dxa"/>
                  <w:shd w:val="clear" w:color="auto" w:fill="BEBEBE" w:themeFill="background1" w:themeFillShade="BF"/>
                  <w:vAlign w:val="center"/>
                </w:tcPr>
                <w:p w14:paraId="2488EEA5">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shd w:val="clear" w:color="auto" w:fill="auto"/>
                      <w:vertAlign w:val="baseline"/>
                      <w:lang w:val="en-US" w:eastAsia="zh-CN"/>
                    </w:rPr>
                  </w:pPr>
                  <w:r>
                    <w:rPr>
                      <w:rFonts w:hint="eastAsia" w:cs="Times New Roman"/>
                      <w:snapToGrid/>
                      <w:color w:val="auto"/>
                      <w:spacing w:val="0"/>
                      <w:kern w:val="0"/>
                      <w:position w:val="0"/>
                      <w:sz w:val="21"/>
                      <w:szCs w:val="21"/>
                      <w:shd w:val="clear" w:color="auto" w:fill="auto"/>
                      <w:lang w:val="en-US" w:eastAsia="zh-CN"/>
                    </w:rPr>
                    <w:t>/</w:t>
                  </w:r>
                </w:p>
              </w:tc>
            </w:tr>
            <w:tr w14:paraId="1D136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restart"/>
                  <w:vAlign w:val="center"/>
                </w:tcPr>
                <w:p w14:paraId="2F7C6E0D">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snapToGrid w:val="0"/>
                      <w:color w:val="auto"/>
                      <w:kern w:val="21"/>
                      <w:sz w:val="21"/>
                      <w:szCs w:val="21"/>
                    </w:rPr>
                    <w:t>一般工业固体废物</w:t>
                  </w:r>
                </w:p>
              </w:tc>
              <w:tc>
                <w:tcPr>
                  <w:tcW w:w="986" w:type="dxa"/>
                  <w:vAlign w:val="center"/>
                </w:tcPr>
                <w:p w14:paraId="58CB2652">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bCs/>
                      <w:color w:val="auto"/>
                      <w:sz w:val="21"/>
                      <w:szCs w:val="21"/>
                    </w:rPr>
                  </w:pPr>
                  <w:r>
                    <w:rPr>
                      <w:bCs/>
                      <w:color w:val="auto"/>
                      <w:sz w:val="21"/>
                      <w:szCs w:val="21"/>
                    </w:rPr>
                    <w:t>生活</w:t>
                  </w:r>
                </w:p>
                <w:p w14:paraId="056D9BFF">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bCs/>
                      <w:color w:val="auto"/>
                      <w:sz w:val="21"/>
                      <w:szCs w:val="21"/>
                    </w:rPr>
                    <w:t>垃圾</w:t>
                  </w:r>
                </w:p>
              </w:tc>
              <w:tc>
                <w:tcPr>
                  <w:tcW w:w="986" w:type="dxa"/>
                  <w:vAlign w:val="center"/>
                </w:tcPr>
                <w:p w14:paraId="4D582B1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eastAsiaTheme="minorEastAsia"/>
                      <w:color w:val="auto"/>
                      <w:sz w:val="21"/>
                      <w:szCs w:val="21"/>
                      <w:lang w:val="en-US" w:eastAsia="zh-CN"/>
                    </w:rPr>
                    <w:t>11.55</w:t>
                  </w:r>
                </w:p>
              </w:tc>
              <w:tc>
                <w:tcPr>
                  <w:tcW w:w="987" w:type="dxa"/>
                  <w:vAlign w:val="center"/>
                </w:tcPr>
                <w:p w14:paraId="0DE01C9C">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3</w:t>
                  </w:r>
                </w:p>
              </w:tc>
              <w:tc>
                <w:tcPr>
                  <w:tcW w:w="987" w:type="dxa"/>
                  <w:vAlign w:val="center"/>
                </w:tcPr>
                <w:p w14:paraId="79AD62C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4D5E2CF6">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14.55</w:t>
                  </w:r>
                </w:p>
              </w:tc>
              <w:tc>
                <w:tcPr>
                  <w:tcW w:w="987" w:type="dxa"/>
                  <w:shd w:val="clear" w:color="auto" w:fill="BEBEBE" w:themeFill="background1" w:themeFillShade="BF"/>
                  <w:vAlign w:val="center"/>
                </w:tcPr>
                <w:p w14:paraId="3D354C4B">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shd w:val="clear" w:color="auto" w:fill="auto"/>
                      <w:vertAlign w:val="baseline"/>
                      <w:lang w:val="en-US" w:eastAsia="zh-CN"/>
                    </w:rPr>
                  </w:pPr>
                  <w:r>
                    <w:rPr>
                      <w:rFonts w:hint="eastAsia" w:cs="Times New Roman"/>
                      <w:color w:val="auto"/>
                      <w:sz w:val="21"/>
                      <w:szCs w:val="21"/>
                      <w:vertAlign w:val="baseline"/>
                      <w:lang w:val="en-US" w:eastAsia="zh-CN"/>
                    </w:rPr>
                    <w:t>+3</w:t>
                  </w:r>
                </w:p>
              </w:tc>
            </w:tr>
            <w:tr w14:paraId="3A1E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205060D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0A0A32DE">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cs="Times New Roman"/>
                      <w:snapToGrid w:val="0"/>
                      <w:color w:val="auto"/>
                      <w:kern w:val="21"/>
                      <w:sz w:val="21"/>
                      <w:szCs w:val="21"/>
                      <w:lang w:val="en-US" w:eastAsia="zh-CN"/>
                    </w:rPr>
                  </w:pPr>
                  <w:r>
                    <w:rPr>
                      <w:rFonts w:hint="eastAsia"/>
                      <w:color w:val="auto"/>
                      <w:szCs w:val="21"/>
                      <w:lang w:eastAsia="zh-CN"/>
                    </w:rPr>
                    <w:t>废边角料</w:t>
                  </w:r>
                </w:p>
              </w:tc>
              <w:tc>
                <w:tcPr>
                  <w:tcW w:w="986" w:type="dxa"/>
                  <w:vAlign w:val="center"/>
                </w:tcPr>
                <w:p w14:paraId="365C410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cs="Times New Roman"/>
                      <w:color w:val="auto"/>
                      <w:sz w:val="21"/>
                      <w:szCs w:val="21"/>
                      <w:vertAlign w:val="baseline"/>
                      <w:lang w:val="en-US" w:eastAsia="zh-CN"/>
                    </w:rPr>
                  </w:pPr>
                  <w:r>
                    <w:rPr>
                      <w:rFonts w:hint="eastAsia" w:cs="Times New Roman" w:eastAsiaTheme="minorEastAsia"/>
                      <w:color w:val="auto"/>
                      <w:sz w:val="21"/>
                      <w:szCs w:val="21"/>
                      <w:lang w:val="en-US" w:eastAsia="zh-CN"/>
                    </w:rPr>
                    <w:t>3.4</w:t>
                  </w:r>
                </w:p>
              </w:tc>
              <w:tc>
                <w:tcPr>
                  <w:tcW w:w="987" w:type="dxa"/>
                  <w:vAlign w:val="center"/>
                </w:tcPr>
                <w:p w14:paraId="6D42489C">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cs="Times New Roman"/>
                      <w:snapToGrid w:val="0"/>
                      <w:color w:val="auto"/>
                      <w:kern w:val="21"/>
                      <w:sz w:val="21"/>
                      <w:szCs w:val="21"/>
                      <w:lang w:val="en-US" w:eastAsia="zh-CN"/>
                    </w:rPr>
                  </w:pPr>
                  <w:r>
                    <w:rPr>
                      <w:rFonts w:hint="eastAsia" w:ascii="Times New Roman" w:cs="Times New Roman"/>
                      <w:snapToGrid w:val="0"/>
                      <w:color w:val="auto"/>
                      <w:kern w:val="21"/>
                      <w:sz w:val="21"/>
                      <w:szCs w:val="21"/>
                      <w:lang w:val="en-US" w:eastAsia="zh-CN"/>
                    </w:rPr>
                    <w:t>1300</w:t>
                  </w:r>
                </w:p>
              </w:tc>
              <w:tc>
                <w:tcPr>
                  <w:tcW w:w="987" w:type="dxa"/>
                  <w:vAlign w:val="center"/>
                </w:tcPr>
                <w:p w14:paraId="5396611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49BB5918">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cs="Times New Roman"/>
                      <w:snapToGrid w:val="0"/>
                      <w:color w:val="auto"/>
                      <w:kern w:val="21"/>
                      <w:sz w:val="21"/>
                      <w:szCs w:val="21"/>
                      <w:lang w:val="en-US" w:eastAsia="zh-CN"/>
                    </w:rPr>
                  </w:pPr>
                  <w:r>
                    <w:rPr>
                      <w:rFonts w:hint="eastAsia" w:ascii="Times New Roman" w:cs="Times New Roman"/>
                      <w:snapToGrid w:val="0"/>
                      <w:color w:val="auto"/>
                      <w:kern w:val="21"/>
                      <w:sz w:val="21"/>
                      <w:szCs w:val="21"/>
                      <w:lang w:val="en-US" w:eastAsia="zh-CN"/>
                    </w:rPr>
                    <w:t>1303.4</w:t>
                  </w:r>
                </w:p>
              </w:tc>
              <w:tc>
                <w:tcPr>
                  <w:tcW w:w="987" w:type="dxa"/>
                  <w:shd w:val="clear" w:color="auto" w:fill="BEBEBE" w:themeFill="background1" w:themeFillShade="BF"/>
                  <w:vAlign w:val="center"/>
                </w:tcPr>
                <w:p w14:paraId="3FF59C80">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cs="Times New Roman"/>
                      <w:snapToGrid w:val="0"/>
                      <w:color w:val="auto"/>
                      <w:kern w:val="21"/>
                      <w:sz w:val="21"/>
                      <w:szCs w:val="21"/>
                      <w:shd w:val="clear" w:color="auto" w:fill="auto"/>
                      <w:lang w:val="en-US" w:eastAsia="zh-CN"/>
                    </w:rPr>
                  </w:pPr>
                  <w:r>
                    <w:rPr>
                      <w:rFonts w:hint="eastAsia" w:ascii="Times New Roman" w:cs="Times New Roman"/>
                      <w:snapToGrid w:val="0"/>
                      <w:color w:val="auto"/>
                      <w:kern w:val="21"/>
                      <w:sz w:val="21"/>
                      <w:szCs w:val="21"/>
                      <w:lang w:val="en-US" w:eastAsia="zh-CN"/>
                    </w:rPr>
                    <w:t>+1300</w:t>
                  </w:r>
                </w:p>
              </w:tc>
            </w:tr>
            <w:tr w14:paraId="00C7B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1B1438C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1FFDF4BA">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color w:val="auto"/>
                      <w:kern w:val="0"/>
                      <w:szCs w:val="21"/>
                      <w:lang w:eastAsia="zh-CN"/>
                    </w:rPr>
                    <w:t>不合格品</w:t>
                  </w:r>
                </w:p>
              </w:tc>
              <w:tc>
                <w:tcPr>
                  <w:tcW w:w="986" w:type="dxa"/>
                  <w:vAlign w:val="center"/>
                </w:tcPr>
                <w:p w14:paraId="5FA733F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eastAsiaTheme="minorEastAsia"/>
                      <w:color w:val="auto"/>
                      <w:sz w:val="21"/>
                      <w:szCs w:val="21"/>
                      <w:lang w:val="en-US" w:eastAsia="zh-CN"/>
                    </w:rPr>
                    <w:t>3</w:t>
                  </w:r>
                </w:p>
              </w:tc>
              <w:tc>
                <w:tcPr>
                  <w:tcW w:w="987" w:type="dxa"/>
                  <w:vAlign w:val="center"/>
                </w:tcPr>
                <w:p w14:paraId="1689CC46">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w:t>
                  </w:r>
                </w:p>
              </w:tc>
              <w:tc>
                <w:tcPr>
                  <w:tcW w:w="987" w:type="dxa"/>
                  <w:vAlign w:val="center"/>
                </w:tcPr>
                <w:p w14:paraId="07B1124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5509F7DB">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3</w:t>
                  </w:r>
                </w:p>
              </w:tc>
              <w:tc>
                <w:tcPr>
                  <w:tcW w:w="987" w:type="dxa"/>
                  <w:shd w:val="clear" w:color="auto" w:fill="BEBEBE" w:themeFill="background1" w:themeFillShade="BF"/>
                  <w:vAlign w:val="center"/>
                </w:tcPr>
                <w:p w14:paraId="196D33E1">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shd w:val="clear" w:color="auto" w:fill="auto"/>
                      <w:vertAlign w:val="baseline"/>
                      <w:lang w:val="en-US" w:eastAsia="zh-CN"/>
                    </w:rPr>
                  </w:pPr>
                  <w:r>
                    <w:rPr>
                      <w:rFonts w:hint="eastAsia" w:ascii="Times New Roman" w:hAnsi="Times New Roman" w:eastAsia="宋体" w:cs="Times New Roman"/>
                      <w:color w:val="auto"/>
                      <w:sz w:val="21"/>
                      <w:szCs w:val="21"/>
                      <w:vertAlign w:val="baseline"/>
                      <w:lang w:val="en-US" w:eastAsia="zh-CN"/>
                    </w:rPr>
                    <w:t>/</w:t>
                  </w:r>
                </w:p>
              </w:tc>
            </w:tr>
            <w:tr w14:paraId="26726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4DDB486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705146B9">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color w:val="auto"/>
                      <w:kern w:val="0"/>
                      <w:szCs w:val="21"/>
                      <w:lang w:eastAsia="zh-CN"/>
                    </w:rPr>
                    <w:t>除尘器收集粉尘</w:t>
                  </w:r>
                </w:p>
              </w:tc>
              <w:tc>
                <w:tcPr>
                  <w:tcW w:w="986" w:type="dxa"/>
                  <w:vAlign w:val="center"/>
                </w:tcPr>
                <w:p w14:paraId="7344A76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eastAsiaTheme="minorEastAsia"/>
                      <w:color w:val="auto"/>
                      <w:sz w:val="21"/>
                      <w:szCs w:val="21"/>
                      <w:lang w:val="en-US" w:eastAsia="zh-CN"/>
                    </w:rPr>
                    <w:t>54.54</w:t>
                  </w:r>
                </w:p>
              </w:tc>
              <w:tc>
                <w:tcPr>
                  <w:tcW w:w="987" w:type="dxa"/>
                  <w:vAlign w:val="center"/>
                </w:tcPr>
                <w:p w14:paraId="4E15AB5E">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12</w:t>
                  </w:r>
                </w:p>
              </w:tc>
              <w:tc>
                <w:tcPr>
                  <w:tcW w:w="987" w:type="dxa"/>
                  <w:vAlign w:val="center"/>
                </w:tcPr>
                <w:p w14:paraId="1DFBF46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7857D984">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66.54</w:t>
                  </w:r>
                </w:p>
              </w:tc>
              <w:tc>
                <w:tcPr>
                  <w:tcW w:w="987" w:type="dxa"/>
                  <w:shd w:val="clear" w:color="auto" w:fill="BEBEBE" w:themeFill="background1" w:themeFillShade="BF"/>
                  <w:vAlign w:val="center"/>
                </w:tcPr>
                <w:p w14:paraId="1B81A9D7">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shd w:val="clear" w:color="auto" w:fill="auto"/>
                      <w:vertAlign w:val="baseline"/>
                      <w:lang w:val="en-US" w:eastAsia="zh-CN"/>
                    </w:rPr>
                  </w:pPr>
                  <w:r>
                    <w:rPr>
                      <w:rFonts w:hint="eastAsia" w:ascii="Times New Roman" w:hAnsi="Times New Roman" w:eastAsia="宋体" w:cs="Times New Roman"/>
                      <w:color w:val="auto"/>
                      <w:sz w:val="21"/>
                      <w:szCs w:val="21"/>
                      <w:vertAlign w:val="baseline"/>
                      <w:lang w:val="en-US" w:eastAsia="zh-CN"/>
                    </w:rPr>
                    <w:t>+12</w:t>
                  </w:r>
                </w:p>
              </w:tc>
            </w:tr>
            <w:tr w14:paraId="7C0E8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545310A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0B32820A">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color w:val="auto"/>
                      <w:kern w:val="0"/>
                      <w:szCs w:val="21"/>
                      <w:lang w:eastAsia="zh-CN"/>
                    </w:rPr>
                    <w:t>废包装物</w:t>
                  </w:r>
                </w:p>
              </w:tc>
              <w:tc>
                <w:tcPr>
                  <w:tcW w:w="986" w:type="dxa"/>
                  <w:vAlign w:val="center"/>
                </w:tcPr>
                <w:p w14:paraId="7FEA26F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eastAsiaTheme="minorEastAsia"/>
                      <w:color w:val="auto"/>
                      <w:sz w:val="21"/>
                      <w:szCs w:val="21"/>
                      <w:lang w:val="en-US" w:eastAsia="zh-CN"/>
                    </w:rPr>
                    <w:t>0.2</w:t>
                  </w:r>
                </w:p>
              </w:tc>
              <w:tc>
                <w:tcPr>
                  <w:tcW w:w="987" w:type="dxa"/>
                  <w:vAlign w:val="center"/>
                </w:tcPr>
                <w:p w14:paraId="068F4F86">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0.3</w:t>
                  </w:r>
                </w:p>
              </w:tc>
              <w:tc>
                <w:tcPr>
                  <w:tcW w:w="987" w:type="dxa"/>
                  <w:vAlign w:val="center"/>
                </w:tcPr>
                <w:p w14:paraId="4D2B2CB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2E22A6CC">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0.5</w:t>
                  </w:r>
                </w:p>
              </w:tc>
              <w:tc>
                <w:tcPr>
                  <w:tcW w:w="987" w:type="dxa"/>
                  <w:shd w:val="clear" w:color="auto" w:fill="BEBEBE" w:themeFill="background1" w:themeFillShade="BF"/>
                  <w:vAlign w:val="center"/>
                </w:tcPr>
                <w:p w14:paraId="3268861A">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shd w:val="clear" w:color="auto" w:fill="auto"/>
                      <w:vertAlign w:val="baseline"/>
                      <w:lang w:val="en-US" w:eastAsia="zh-CN"/>
                    </w:rPr>
                  </w:pPr>
                  <w:r>
                    <w:rPr>
                      <w:rFonts w:hint="eastAsia" w:ascii="Times New Roman" w:hAnsi="Times New Roman" w:eastAsia="宋体" w:cs="Times New Roman"/>
                      <w:color w:val="auto"/>
                      <w:sz w:val="21"/>
                      <w:szCs w:val="21"/>
                      <w:vertAlign w:val="baseline"/>
                      <w:lang w:val="en-US" w:eastAsia="zh-CN"/>
                    </w:rPr>
                    <w:t>+0.3</w:t>
                  </w:r>
                </w:p>
              </w:tc>
            </w:tr>
            <w:tr w14:paraId="7AC7E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restart"/>
                  <w:vAlign w:val="center"/>
                </w:tcPr>
                <w:p w14:paraId="7C40BEDB">
                  <w:pPr>
                    <w:pStyle w:val="38"/>
                    <w:keepNext w:val="0"/>
                    <w:keepLines w:val="0"/>
                    <w:pageBreakBefore w:val="0"/>
                    <w:widowControl w:val="0"/>
                    <w:kinsoku/>
                    <w:wordWrap/>
                    <w:overflowPunct/>
                    <w:topLinePunct w:val="0"/>
                    <w:bidi w:val="0"/>
                    <w:adjustRightInd w:val="0"/>
                    <w:snapToGrid w:val="0"/>
                    <w:spacing w:beforeLines="0" w:afterLines="0" w:line="240" w:lineRule="auto"/>
                    <w:ind w:left="0" w:leftChars="0" w:right="0" w:rightChars="0" w:firstLine="0"/>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snapToGrid w:val="0"/>
                      <w:color w:val="auto"/>
                      <w:kern w:val="21"/>
                      <w:sz w:val="21"/>
                      <w:szCs w:val="21"/>
                    </w:rPr>
                    <w:t>危险废物</w:t>
                  </w:r>
                </w:p>
              </w:tc>
              <w:tc>
                <w:tcPr>
                  <w:tcW w:w="986" w:type="dxa"/>
                  <w:shd w:val="clear" w:color="auto" w:fill="auto"/>
                  <w:vAlign w:val="center"/>
                </w:tcPr>
                <w:p w14:paraId="4EE81D8E">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olor w:val="auto"/>
                      <w:szCs w:val="21"/>
                      <w:lang w:eastAsia="zh-CN"/>
                    </w:rPr>
                    <w:t>废活性炭</w:t>
                  </w:r>
                </w:p>
              </w:tc>
              <w:tc>
                <w:tcPr>
                  <w:tcW w:w="986" w:type="dxa"/>
                  <w:shd w:val="clear" w:color="auto" w:fill="auto"/>
                  <w:vAlign w:val="center"/>
                </w:tcPr>
                <w:p w14:paraId="1D99375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b w:val="0"/>
                      <w:bCs w:val="0"/>
                      <w:color w:val="auto"/>
                      <w:kern w:val="2"/>
                      <w:sz w:val="21"/>
                      <w:szCs w:val="21"/>
                      <w:highlight w:val="none"/>
                      <w:vertAlign w:val="baseline"/>
                      <w:lang w:val="en-US" w:eastAsia="zh-CN" w:bidi="ar-SA"/>
                    </w:rPr>
                    <w:t>36.576</w:t>
                  </w:r>
                </w:p>
              </w:tc>
              <w:tc>
                <w:tcPr>
                  <w:tcW w:w="987" w:type="dxa"/>
                  <w:vAlign w:val="center"/>
                </w:tcPr>
                <w:p w14:paraId="556979EB">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2</w:t>
                  </w:r>
                </w:p>
              </w:tc>
              <w:tc>
                <w:tcPr>
                  <w:tcW w:w="987" w:type="dxa"/>
                  <w:vAlign w:val="center"/>
                </w:tcPr>
                <w:p w14:paraId="48B85F1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3BB9C312">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38.576</w:t>
                  </w:r>
                </w:p>
              </w:tc>
              <w:tc>
                <w:tcPr>
                  <w:tcW w:w="987" w:type="dxa"/>
                  <w:shd w:val="clear" w:color="auto" w:fill="BEBEBE" w:themeFill="background1" w:themeFillShade="BF"/>
                  <w:vAlign w:val="center"/>
                </w:tcPr>
                <w:p w14:paraId="11DDEAF4">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shd w:val="clear" w:color="auto" w:fill="auto"/>
                      <w:vertAlign w:val="baseline"/>
                      <w:lang w:val="en-US" w:eastAsia="zh-CN"/>
                    </w:rPr>
                  </w:pPr>
                  <w:r>
                    <w:rPr>
                      <w:rFonts w:hint="eastAsia" w:cs="Times New Roman"/>
                      <w:color w:val="auto"/>
                      <w:sz w:val="21"/>
                      <w:szCs w:val="21"/>
                      <w:shd w:val="clear" w:color="auto" w:fill="auto"/>
                      <w:vertAlign w:val="baseline"/>
                      <w:lang w:val="en-US" w:eastAsia="zh-CN"/>
                    </w:rPr>
                    <w:t>+2</w:t>
                  </w:r>
                </w:p>
              </w:tc>
            </w:tr>
            <w:tr w14:paraId="32177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012A45A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shd w:val="clear" w:color="auto" w:fill="auto"/>
                  <w:vAlign w:val="center"/>
                </w:tcPr>
                <w:p w14:paraId="78662FCB">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olor w:val="auto"/>
                      <w:szCs w:val="21"/>
                      <w:lang w:eastAsia="zh-CN"/>
                    </w:rPr>
                    <w:t>废机油</w:t>
                  </w:r>
                </w:p>
              </w:tc>
              <w:tc>
                <w:tcPr>
                  <w:tcW w:w="986" w:type="dxa"/>
                  <w:shd w:val="clear" w:color="auto" w:fill="auto"/>
                  <w:vAlign w:val="center"/>
                </w:tcPr>
                <w:p w14:paraId="6CBD341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b w:val="0"/>
                      <w:bCs w:val="0"/>
                      <w:color w:val="auto"/>
                      <w:kern w:val="2"/>
                      <w:sz w:val="21"/>
                      <w:szCs w:val="21"/>
                      <w:highlight w:val="none"/>
                      <w:vertAlign w:val="baseline"/>
                      <w:lang w:val="en-US" w:eastAsia="zh-CN" w:bidi="ar-SA"/>
                    </w:rPr>
                    <w:t>0.05</w:t>
                  </w:r>
                </w:p>
              </w:tc>
              <w:tc>
                <w:tcPr>
                  <w:tcW w:w="987" w:type="dxa"/>
                  <w:vAlign w:val="center"/>
                </w:tcPr>
                <w:p w14:paraId="3359BAEA">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782777B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16DFC11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b w:val="0"/>
                      <w:bCs w:val="0"/>
                      <w:color w:val="auto"/>
                      <w:kern w:val="2"/>
                      <w:sz w:val="21"/>
                      <w:szCs w:val="21"/>
                      <w:highlight w:val="none"/>
                      <w:vertAlign w:val="baseline"/>
                      <w:lang w:val="en-US" w:eastAsia="zh-CN" w:bidi="ar-SA"/>
                    </w:rPr>
                    <w:t>0.05</w:t>
                  </w:r>
                </w:p>
              </w:tc>
              <w:tc>
                <w:tcPr>
                  <w:tcW w:w="987" w:type="dxa"/>
                  <w:shd w:val="clear" w:color="auto" w:fill="BEBEBE" w:themeFill="background1" w:themeFillShade="BF"/>
                  <w:vAlign w:val="center"/>
                </w:tcPr>
                <w:p w14:paraId="1C900ACE">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shd w:val="clear" w:color="auto" w:fill="auto"/>
                      <w:vertAlign w:val="baseline"/>
                      <w:lang w:val="en-US" w:eastAsia="zh-CN"/>
                    </w:rPr>
                  </w:pPr>
                  <w:r>
                    <w:rPr>
                      <w:rFonts w:hint="eastAsia" w:cs="Times New Roman"/>
                      <w:color w:val="auto"/>
                      <w:sz w:val="21"/>
                      <w:szCs w:val="21"/>
                      <w:shd w:val="clear" w:color="auto" w:fill="auto"/>
                      <w:vertAlign w:val="baseline"/>
                      <w:lang w:val="en-US" w:eastAsia="zh-CN"/>
                    </w:rPr>
                    <w:t>+0</w:t>
                  </w:r>
                </w:p>
              </w:tc>
            </w:tr>
            <w:tr w14:paraId="5E800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6996DF0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shd w:val="clear" w:color="auto" w:fill="auto"/>
                  <w:vAlign w:val="center"/>
                </w:tcPr>
                <w:p w14:paraId="5D2D1156">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kern w:val="2"/>
                      <w:sz w:val="21"/>
                      <w:szCs w:val="21"/>
                      <w:vertAlign w:val="baseline"/>
                      <w:lang w:val="en-US" w:eastAsia="zh-CN" w:bidi="ar-SA"/>
                    </w:rPr>
                  </w:pPr>
                  <w:r>
                    <w:rPr>
                      <w:rFonts w:hint="eastAsia"/>
                      <w:color w:val="auto"/>
                      <w:szCs w:val="21"/>
                      <w:lang w:eastAsia="zh-CN"/>
                    </w:rPr>
                    <w:t>废机油桶</w:t>
                  </w:r>
                </w:p>
              </w:tc>
              <w:tc>
                <w:tcPr>
                  <w:tcW w:w="986" w:type="dxa"/>
                  <w:shd w:val="clear" w:color="auto" w:fill="auto"/>
                  <w:vAlign w:val="center"/>
                </w:tcPr>
                <w:p w14:paraId="777D5BD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kern w:val="0"/>
                      <w:sz w:val="21"/>
                      <w:szCs w:val="21"/>
                      <w:lang w:val="en-US" w:eastAsia="zh-CN" w:bidi="ar-SA"/>
                    </w:rPr>
                    <w:t>0.02</w:t>
                  </w:r>
                </w:p>
              </w:tc>
              <w:tc>
                <w:tcPr>
                  <w:tcW w:w="987" w:type="dxa"/>
                  <w:vAlign w:val="center"/>
                </w:tcPr>
                <w:p w14:paraId="7734AD6A">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bCs/>
                      <w:color w:val="auto"/>
                      <w:sz w:val="21"/>
                      <w:szCs w:val="21"/>
                      <w:lang w:val="en-US" w:eastAsia="zh-CN"/>
                    </w:rPr>
                  </w:pPr>
                  <w:r>
                    <w:rPr>
                      <w:rFonts w:hint="eastAsia"/>
                      <w:bCs/>
                      <w:color w:val="auto"/>
                      <w:sz w:val="21"/>
                      <w:szCs w:val="21"/>
                      <w:lang w:val="en-US" w:eastAsia="zh-CN"/>
                    </w:rPr>
                    <w:t>/</w:t>
                  </w:r>
                </w:p>
              </w:tc>
              <w:tc>
                <w:tcPr>
                  <w:tcW w:w="987" w:type="dxa"/>
                  <w:vAlign w:val="center"/>
                </w:tcPr>
                <w:p w14:paraId="051124F2">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7BFEB1F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bCs/>
                      <w:color w:val="auto"/>
                      <w:sz w:val="21"/>
                      <w:szCs w:val="21"/>
                      <w:lang w:val="en-US" w:eastAsia="zh-CN"/>
                    </w:rPr>
                  </w:pPr>
                  <w:r>
                    <w:rPr>
                      <w:rFonts w:hint="eastAsia" w:cs="Times New Roman"/>
                      <w:color w:val="auto"/>
                      <w:kern w:val="0"/>
                      <w:sz w:val="21"/>
                      <w:szCs w:val="21"/>
                      <w:lang w:val="en-US" w:eastAsia="zh-CN" w:bidi="ar-SA"/>
                    </w:rPr>
                    <w:t>0.02</w:t>
                  </w:r>
                </w:p>
              </w:tc>
              <w:tc>
                <w:tcPr>
                  <w:tcW w:w="987" w:type="dxa"/>
                  <w:shd w:val="clear" w:color="auto" w:fill="BEBEBE" w:themeFill="background1" w:themeFillShade="BF"/>
                  <w:vAlign w:val="center"/>
                </w:tcPr>
                <w:p w14:paraId="3FCA3EAB">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bCs/>
                      <w:color w:val="auto"/>
                      <w:sz w:val="21"/>
                      <w:szCs w:val="21"/>
                      <w:lang w:val="en-US" w:eastAsia="zh-CN"/>
                    </w:rPr>
                  </w:pPr>
                  <w:r>
                    <w:rPr>
                      <w:rFonts w:hint="eastAsia"/>
                      <w:bCs/>
                      <w:color w:val="auto"/>
                      <w:sz w:val="21"/>
                      <w:szCs w:val="21"/>
                      <w:lang w:val="en-US" w:eastAsia="zh-CN"/>
                    </w:rPr>
                    <w:t>+0</w:t>
                  </w:r>
                </w:p>
              </w:tc>
            </w:tr>
            <w:tr w14:paraId="3600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123A09B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2F4C3727">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color w:val="auto"/>
                      <w:szCs w:val="21"/>
                      <w:lang w:eastAsia="zh-CN"/>
                    </w:rPr>
                  </w:pPr>
                  <w:r>
                    <w:rPr>
                      <w:rFonts w:hint="eastAsia"/>
                      <w:color w:val="auto"/>
                      <w:szCs w:val="21"/>
                      <w:lang w:eastAsia="zh-CN"/>
                    </w:rPr>
                    <w:t>废润</w:t>
                  </w:r>
                </w:p>
                <w:p w14:paraId="7E5F38C2">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cs="Times New Roman"/>
                      <w:snapToGrid w:val="0"/>
                      <w:color w:val="auto"/>
                      <w:kern w:val="21"/>
                      <w:sz w:val="21"/>
                      <w:szCs w:val="21"/>
                      <w:lang w:val="en-US" w:eastAsia="zh-CN"/>
                    </w:rPr>
                  </w:pPr>
                  <w:r>
                    <w:rPr>
                      <w:rFonts w:hint="eastAsia"/>
                      <w:color w:val="auto"/>
                      <w:szCs w:val="21"/>
                      <w:lang w:eastAsia="zh-CN"/>
                    </w:rPr>
                    <w:t>滑油</w:t>
                  </w:r>
                </w:p>
              </w:tc>
              <w:tc>
                <w:tcPr>
                  <w:tcW w:w="986" w:type="dxa"/>
                  <w:vAlign w:val="center"/>
                </w:tcPr>
                <w:p w14:paraId="722A14F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64A2A3A3">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eastAsia="宋体" w:cs="Times New Roman"/>
                      <w:snapToGrid/>
                      <w:color w:val="auto"/>
                      <w:spacing w:val="0"/>
                      <w:kern w:val="0"/>
                      <w:position w:val="0"/>
                      <w:sz w:val="21"/>
                      <w:szCs w:val="21"/>
                      <w:lang w:val="en-US" w:eastAsia="zh-CN"/>
                    </w:rPr>
                    <w:t>0.1</w:t>
                  </w:r>
                </w:p>
              </w:tc>
              <w:tc>
                <w:tcPr>
                  <w:tcW w:w="987" w:type="dxa"/>
                  <w:vAlign w:val="center"/>
                </w:tcPr>
                <w:p w14:paraId="494B400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253385CB">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hAnsi="Times New Roman" w:eastAsia="宋体" w:cs="Times New Roman"/>
                      <w:color w:val="auto"/>
                      <w:sz w:val="21"/>
                      <w:szCs w:val="21"/>
                      <w:vertAlign w:val="baseline"/>
                      <w:lang w:val="en-US" w:eastAsia="zh-CN"/>
                    </w:rPr>
                  </w:pPr>
                  <w:r>
                    <w:rPr>
                      <w:rFonts w:hint="eastAsia" w:eastAsia="宋体" w:cs="Times New Roman"/>
                      <w:snapToGrid/>
                      <w:color w:val="auto"/>
                      <w:spacing w:val="0"/>
                      <w:kern w:val="0"/>
                      <w:position w:val="0"/>
                      <w:sz w:val="21"/>
                      <w:szCs w:val="21"/>
                      <w:lang w:val="en-US" w:eastAsia="zh-CN"/>
                    </w:rPr>
                    <w:t>0.1</w:t>
                  </w:r>
                </w:p>
              </w:tc>
              <w:tc>
                <w:tcPr>
                  <w:tcW w:w="987" w:type="dxa"/>
                  <w:shd w:val="clear" w:color="auto" w:fill="BEBEBE" w:themeFill="background1" w:themeFillShade="BF"/>
                  <w:vAlign w:val="center"/>
                </w:tcPr>
                <w:p w14:paraId="0467B371">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default" w:ascii="Times New Roman" w:hAnsi="Times New Roman" w:eastAsia="宋体" w:cs="Times New Roman"/>
                      <w:color w:val="auto"/>
                      <w:sz w:val="21"/>
                      <w:szCs w:val="21"/>
                      <w:shd w:val="clear" w:color="auto" w:fill="auto"/>
                      <w:vertAlign w:val="baseline"/>
                      <w:lang w:val="en-US" w:eastAsia="zh-CN"/>
                    </w:rPr>
                  </w:pPr>
                  <w:r>
                    <w:rPr>
                      <w:rFonts w:hint="eastAsia" w:cs="Times New Roman"/>
                      <w:color w:val="auto"/>
                      <w:sz w:val="21"/>
                      <w:szCs w:val="21"/>
                      <w:shd w:val="clear" w:color="auto" w:fill="auto"/>
                      <w:vertAlign w:val="baseline"/>
                      <w:lang w:val="en-US" w:eastAsia="zh-CN"/>
                    </w:rPr>
                    <w:t>+0.1</w:t>
                  </w:r>
                </w:p>
              </w:tc>
            </w:tr>
            <w:tr w14:paraId="4C0E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7D7DDFC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5918C5C0">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cs="Times New Roman"/>
                      <w:snapToGrid w:val="0"/>
                      <w:color w:val="auto"/>
                      <w:kern w:val="21"/>
                      <w:sz w:val="21"/>
                      <w:szCs w:val="21"/>
                      <w:lang w:val="en-US" w:eastAsia="zh-CN"/>
                    </w:rPr>
                  </w:pPr>
                  <w:r>
                    <w:rPr>
                      <w:rFonts w:hint="eastAsia" w:eastAsia="宋体" w:cs="Times New Roman"/>
                      <w:snapToGrid/>
                      <w:color w:val="auto"/>
                      <w:spacing w:val="0"/>
                      <w:kern w:val="0"/>
                      <w:position w:val="0"/>
                      <w:sz w:val="21"/>
                      <w:szCs w:val="21"/>
                      <w:lang w:val="en-US" w:eastAsia="zh-CN"/>
                    </w:rPr>
                    <w:t>废润滑油桶</w:t>
                  </w:r>
                </w:p>
              </w:tc>
              <w:tc>
                <w:tcPr>
                  <w:tcW w:w="986" w:type="dxa"/>
                  <w:vAlign w:val="center"/>
                </w:tcPr>
                <w:p w14:paraId="122DBE0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55A9FD4B">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cs="Times New Roman"/>
                      <w:snapToGrid w:val="0"/>
                      <w:color w:val="auto"/>
                      <w:kern w:val="21"/>
                      <w:sz w:val="21"/>
                      <w:szCs w:val="21"/>
                      <w:lang w:val="en-US" w:eastAsia="zh-CN"/>
                    </w:rPr>
                  </w:pPr>
                  <w:r>
                    <w:rPr>
                      <w:rFonts w:hint="eastAsia" w:eastAsia="宋体" w:cs="Times New Roman"/>
                      <w:snapToGrid/>
                      <w:color w:val="auto"/>
                      <w:spacing w:val="0"/>
                      <w:kern w:val="0"/>
                      <w:position w:val="0"/>
                      <w:sz w:val="21"/>
                      <w:szCs w:val="21"/>
                      <w:lang w:val="en-US" w:eastAsia="zh-CN"/>
                    </w:rPr>
                    <w:t>0.03</w:t>
                  </w:r>
                </w:p>
              </w:tc>
              <w:tc>
                <w:tcPr>
                  <w:tcW w:w="987" w:type="dxa"/>
                  <w:vAlign w:val="center"/>
                </w:tcPr>
                <w:p w14:paraId="477984A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w:t>
                  </w:r>
                </w:p>
              </w:tc>
              <w:tc>
                <w:tcPr>
                  <w:tcW w:w="987" w:type="dxa"/>
                  <w:vAlign w:val="center"/>
                </w:tcPr>
                <w:p w14:paraId="5168FEEA">
                  <w:pPr>
                    <w:keepNext w:val="0"/>
                    <w:keepLines w:val="0"/>
                    <w:pageBreakBefore w:val="0"/>
                    <w:widowControl w:val="0"/>
                    <w:kinsoku/>
                    <w:wordWrap/>
                    <w:overflowPunct/>
                    <w:topLinePunct w:val="0"/>
                    <w:bidi w:val="0"/>
                    <w:adjustRightInd w:val="0"/>
                    <w:snapToGrid w:val="0"/>
                    <w:spacing w:line="240" w:lineRule="auto"/>
                    <w:ind w:left="0" w:leftChars="0" w:right="0" w:rightChars="0" w:firstLine="0"/>
                    <w:jc w:val="center"/>
                    <w:rPr>
                      <w:rFonts w:hint="eastAsia" w:ascii="Times New Roman" w:cs="Times New Roman"/>
                      <w:snapToGrid w:val="0"/>
                      <w:color w:val="auto"/>
                      <w:kern w:val="21"/>
                      <w:sz w:val="21"/>
                      <w:szCs w:val="21"/>
                      <w:lang w:val="en-US" w:eastAsia="zh-CN"/>
                    </w:rPr>
                  </w:pPr>
                  <w:r>
                    <w:rPr>
                      <w:rFonts w:hint="eastAsia" w:eastAsia="宋体" w:cs="Times New Roman"/>
                      <w:snapToGrid/>
                      <w:color w:val="auto"/>
                      <w:spacing w:val="0"/>
                      <w:kern w:val="0"/>
                      <w:position w:val="0"/>
                      <w:sz w:val="21"/>
                      <w:szCs w:val="21"/>
                      <w:lang w:val="en-US" w:eastAsia="zh-CN"/>
                    </w:rPr>
                    <w:t>0.03</w:t>
                  </w:r>
                </w:p>
              </w:tc>
              <w:tc>
                <w:tcPr>
                  <w:tcW w:w="987" w:type="dxa"/>
                  <w:shd w:val="clear" w:color="auto" w:fill="BEBEBE" w:themeFill="background1" w:themeFillShade="BF"/>
                  <w:vAlign w:val="center"/>
                </w:tcPr>
                <w:p w14:paraId="71B3EB4F">
                  <w:pPr>
                    <w:pStyle w:val="37"/>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cs="Times New Roman"/>
                      <w:snapToGrid w:val="0"/>
                      <w:color w:val="auto"/>
                      <w:kern w:val="21"/>
                      <w:sz w:val="21"/>
                      <w:szCs w:val="21"/>
                      <w:shd w:val="clear" w:color="auto" w:fill="auto"/>
                      <w:lang w:val="en-US" w:eastAsia="zh-CN"/>
                    </w:rPr>
                  </w:pPr>
                  <w:r>
                    <w:rPr>
                      <w:rFonts w:hint="eastAsia" w:ascii="Times New Roman" w:cs="Times New Roman"/>
                      <w:snapToGrid w:val="0"/>
                      <w:color w:val="auto"/>
                      <w:kern w:val="21"/>
                      <w:sz w:val="21"/>
                      <w:szCs w:val="21"/>
                      <w:shd w:val="clear" w:color="auto" w:fill="auto"/>
                      <w:lang w:val="en-US" w:eastAsia="zh-CN"/>
                    </w:rPr>
                    <w:t>+0.03</w:t>
                  </w:r>
                </w:p>
              </w:tc>
            </w:tr>
            <w:tr w14:paraId="6A180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2A87CBF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064455A4">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废催化剂</w:t>
                  </w:r>
                </w:p>
              </w:tc>
              <w:tc>
                <w:tcPr>
                  <w:tcW w:w="986" w:type="dxa"/>
                  <w:vAlign w:val="center"/>
                </w:tcPr>
                <w:p w14:paraId="10FA726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p>
              </w:tc>
              <w:tc>
                <w:tcPr>
                  <w:tcW w:w="987" w:type="dxa"/>
                  <w:vAlign w:val="center"/>
                </w:tcPr>
                <w:p w14:paraId="7BB6E40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0.09</w:t>
                  </w:r>
                </w:p>
              </w:tc>
              <w:tc>
                <w:tcPr>
                  <w:tcW w:w="987" w:type="dxa"/>
                  <w:vAlign w:val="center"/>
                </w:tcPr>
                <w:p w14:paraId="0171903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p>
              </w:tc>
              <w:tc>
                <w:tcPr>
                  <w:tcW w:w="987" w:type="dxa"/>
                  <w:vAlign w:val="center"/>
                </w:tcPr>
                <w:p w14:paraId="1F3DDA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0.09</w:t>
                  </w:r>
                </w:p>
              </w:tc>
              <w:tc>
                <w:tcPr>
                  <w:tcW w:w="987" w:type="dxa"/>
                  <w:shd w:val="clear" w:color="auto" w:fill="BEBEBE" w:themeFill="background1" w:themeFillShade="BF"/>
                  <w:vAlign w:val="center"/>
                </w:tcPr>
                <w:p w14:paraId="4646A0D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cs="Times New Roman"/>
                      <w:snapToGrid w:val="0"/>
                      <w:color w:val="auto"/>
                      <w:kern w:val="21"/>
                      <w:sz w:val="21"/>
                      <w:szCs w:val="21"/>
                      <w:shd w:val="clear" w:color="auto" w:fill="auto"/>
                      <w:lang w:val="en-US" w:eastAsia="zh-CN"/>
                    </w:rPr>
                  </w:pPr>
                  <w:r>
                    <w:rPr>
                      <w:rFonts w:hint="eastAsia" w:cs="Times New Roman"/>
                      <w:snapToGrid/>
                      <w:color w:val="auto"/>
                      <w:spacing w:val="0"/>
                      <w:kern w:val="0"/>
                      <w:position w:val="0"/>
                      <w:sz w:val="21"/>
                      <w:szCs w:val="21"/>
                      <w:lang w:val="en-US" w:eastAsia="zh-CN"/>
                    </w:rPr>
                    <w:t>+0.09</w:t>
                  </w:r>
                </w:p>
              </w:tc>
            </w:tr>
            <w:tr w14:paraId="0677B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6" w:type="dxa"/>
                  <w:vMerge w:val="continue"/>
                  <w:vAlign w:val="center"/>
                </w:tcPr>
                <w:p w14:paraId="36DD3DD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left"/>
                    <w:textAlignment w:val="auto"/>
                    <w:rPr>
                      <w:rFonts w:hint="eastAsia" w:ascii="Times New Roman" w:hAnsi="Times New Roman" w:eastAsia="宋体" w:cs="Times New Roman"/>
                      <w:color w:val="auto"/>
                      <w:sz w:val="21"/>
                      <w:szCs w:val="21"/>
                      <w:vertAlign w:val="baseline"/>
                      <w:lang w:val="en-US" w:eastAsia="zh-CN"/>
                    </w:rPr>
                  </w:pPr>
                </w:p>
              </w:tc>
              <w:tc>
                <w:tcPr>
                  <w:tcW w:w="986" w:type="dxa"/>
                  <w:vAlign w:val="center"/>
                </w:tcPr>
                <w:p w14:paraId="69678767">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snapToGrid/>
                      <w:color w:val="auto"/>
                      <w:spacing w:val="0"/>
                      <w:kern w:val="0"/>
                      <w:position w:val="0"/>
                      <w:sz w:val="21"/>
                      <w:szCs w:val="21"/>
                      <w:lang w:val="en-US" w:eastAsia="zh-CN"/>
                    </w:rPr>
                  </w:pPr>
                  <w:r>
                    <w:rPr>
                      <w:rFonts w:hint="eastAsia" w:eastAsia="宋体" w:cs="Times New Roman"/>
                      <w:snapToGrid/>
                      <w:color w:val="auto"/>
                      <w:spacing w:val="0"/>
                      <w:kern w:val="0"/>
                      <w:position w:val="0"/>
                      <w:sz w:val="21"/>
                      <w:szCs w:val="21"/>
                      <w:lang w:val="en-US" w:eastAsia="zh-CN"/>
                    </w:rPr>
                    <w:t>废喷淋水</w:t>
                  </w:r>
                </w:p>
              </w:tc>
              <w:tc>
                <w:tcPr>
                  <w:tcW w:w="986" w:type="dxa"/>
                  <w:vAlign w:val="center"/>
                </w:tcPr>
                <w:p w14:paraId="1A60566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p>
              </w:tc>
              <w:tc>
                <w:tcPr>
                  <w:tcW w:w="987" w:type="dxa"/>
                  <w:vAlign w:val="center"/>
                </w:tcPr>
                <w:p w14:paraId="1DA3476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12</w:t>
                  </w:r>
                </w:p>
              </w:tc>
              <w:tc>
                <w:tcPr>
                  <w:tcW w:w="987" w:type="dxa"/>
                  <w:vAlign w:val="center"/>
                </w:tcPr>
                <w:p w14:paraId="4E3EF12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jc w:val="center"/>
                    <w:textAlignment w:val="auto"/>
                    <w:rPr>
                      <w:rFonts w:hint="eastAsia" w:cs="Times New Roman"/>
                      <w:color w:val="auto"/>
                      <w:sz w:val="21"/>
                      <w:szCs w:val="21"/>
                      <w:vertAlign w:val="baseline"/>
                      <w:lang w:val="en-US" w:eastAsia="zh-CN"/>
                    </w:rPr>
                  </w:pPr>
                </w:p>
              </w:tc>
              <w:tc>
                <w:tcPr>
                  <w:tcW w:w="987" w:type="dxa"/>
                  <w:vAlign w:val="center"/>
                </w:tcPr>
                <w:p w14:paraId="693E561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eastAsia="宋体" w:cs="Times New Roman"/>
                      <w:snapToGrid/>
                      <w:color w:val="auto"/>
                      <w:spacing w:val="0"/>
                      <w:kern w:val="0"/>
                      <w:position w:val="0"/>
                      <w:sz w:val="21"/>
                      <w:szCs w:val="21"/>
                      <w:lang w:val="en-US" w:eastAsia="zh-CN"/>
                    </w:rPr>
                  </w:pPr>
                  <w:r>
                    <w:rPr>
                      <w:rFonts w:hint="eastAsia" w:cs="Times New Roman"/>
                      <w:snapToGrid/>
                      <w:color w:val="auto"/>
                      <w:spacing w:val="0"/>
                      <w:kern w:val="0"/>
                      <w:position w:val="0"/>
                      <w:sz w:val="21"/>
                      <w:szCs w:val="21"/>
                      <w:lang w:val="en-US" w:eastAsia="zh-CN"/>
                    </w:rPr>
                    <w:t>12</w:t>
                  </w:r>
                </w:p>
              </w:tc>
              <w:tc>
                <w:tcPr>
                  <w:tcW w:w="987" w:type="dxa"/>
                  <w:shd w:val="clear" w:color="auto" w:fill="BEBEBE" w:themeFill="background1" w:themeFillShade="BF"/>
                  <w:vAlign w:val="center"/>
                </w:tcPr>
                <w:p w14:paraId="6B0A132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cs="Times New Roman"/>
                      <w:snapToGrid w:val="0"/>
                      <w:color w:val="auto"/>
                      <w:kern w:val="21"/>
                      <w:sz w:val="21"/>
                      <w:szCs w:val="21"/>
                      <w:shd w:val="clear" w:color="auto" w:fill="auto"/>
                      <w:lang w:val="en-US" w:eastAsia="zh-CN"/>
                    </w:rPr>
                  </w:pPr>
                  <w:r>
                    <w:rPr>
                      <w:rFonts w:hint="eastAsia" w:cs="Times New Roman"/>
                      <w:snapToGrid/>
                      <w:color w:val="auto"/>
                      <w:spacing w:val="0"/>
                      <w:kern w:val="0"/>
                      <w:position w:val="0"/>
                      <w:sz w:val="21"/>
                      <w:szCs w:val="21"/>
                      <w:lang w:val="en-US" w:eastAsia="zh-CN"/>
                    </w:rPr>
                    <w:t>+12</w:t>
                  </w:r>
                </w:p>
              </w:tc>
            </w:tr>
          </w:tbl>
          <w:p w14:paraId="128FD0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cs="Times New Roman"/>
                <w:sz w:val="24"/>
                <w:szCs w:val="24"/>
              </w:rPr>
            </w:pPr>
          </w:p>
          <w:p w14:paraId="2E7A34F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sz w:val="24"/>
                <w:szCs w:val="24"/>
                <w:lang w:val="en-US" w:eastAsia="zh-CN"/>
              </w:rPr>
            </w:pPr>
          </w:p>
          <w:p w14:paraId="45469A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bCs w:val="0"/>
                <w:color w:val="auto"/>
                <w:sz w:val="24"/>
                <w:szCs w:val="24"/>
                <w:highlight w:val="none"/>
                <w:lang w:val="en-US" w:eastAsia="zh-CN"/>
              </w:rPr>
            </w:pPr>
          </w:p>
          <w:p w14:paraId="05314A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000000"/>
                <w:sz w:val="24"/>
                <w:szCs w:val="24"/>
                <w:lang w:val="en-US" w:eastAsia="zh-CN"/>
              </w:rPr>
            </w:pPr>
          </w:p>
          <w:p w14:paraId="2D0D45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000000"/>
                <w:sz w:val="24"/>
                <w:szCs w:val="24"/>
                <w:lang w:val="en-US" w:eastAsia="zh-CN"/>
              </w:rPr>
            </w:pPr>
          </w:p>
          <w:p w14:paraId="50A3EB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000000"/>
                <w:sz w:val="24"/>
                <w:szCs w:val="24"/>
                <w:lang w:val="en-US" w:eastAsia="zh-CN"/>
              </w:rPr>
            </w:pPr>
          </w:p>
          <w:p w14:paraId="1D71BF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000000"/>
                <w:sz w:val="24"/>
                <w:szCs w:val="24"/>
                <w:lang w:val="en-US" w:eastAsia="zh-CN"/>
              </w:rPr>
            </w:pPr>
          </w:p>
          <w:p w14:paraId="1A706B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000000"/>
                <w:sz w:val="24"/>
                <w:szCs w:val="24"/>
                <w:lang w:val="en-US" w:eastAsia="zh-CN"/>
              </w:rPr>
            </w:pPr>
          </w:p>
          <w:p w14:paraId="0EDF742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000000"/>
                <w:sz w:val="24"/>
                <w:szCs w:val="24"/>
                <w:lang w:val="en-US" w:eastAsia="zh-CN"/>
              </w:rPr>
            </w:pPr>
          </w:p>
          <w:p w14:paraId="7205C07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s="Times New Roman"/>
                <w:color w:val="000000"/>
                <w:sz w:val="24"/>
                <w:szCs w:val="24"/>
                <w:lang w:val="en-US" w:eastAsia="zh-CN"/>
              </w:rPr>
            </w:pPr>
          </w:p>
          <w:p w14:paraId="7786197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s="Times New Roman"/>
                <w:color w:val="000000"/>
                <w:sz w:val="24"/>
                <w:szCs w:val="24"/>
                <w:lang w:val="en-US" w:eastAsia="zh-CN"/>
              </w:rPr>
            </w:pPr>
          </w:p>
          <w:p w14:paraId="070B4EB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s="Times New Roman"/>
                <w:color w:val="000000"/>
                <w:sz w:val="24"/>
                <w:szCs w:val="24"/>
                <w:lang w:val="en-US" w:eastAsia="zh-CN"/>
              </w:rPr>
            </w:pPr>
          </w:p>
          <w:p w14:paraId="13428CD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cs="Times New Roman"/>
                <w:color w:val="000000"/>
                <w:sz w:val="24"/>
                <w:szCs w:val="24"/>
                <w:lang w:val="en-US" w:eastAsia="zh-CN"/>
              </w:rPr>
            </w:pPr>
          </w:p>
          <w:p w14:paraId="563CCE9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000000"/>
                <w:sz w:val="24"/>
                <w:szCs w:val="24"/>
                <w:lang w:val="en-US" w:eastAsia="zh-CN"/>
              </w:rPr>
            </w:pPr>
          </w:p>
        </w:tc>
      </w:tr>
    </w:tbl>
    <w:p w14:paraId="3A28F17F">
      <w:pPr>
        <w:pStyle w:val="22"/>
        <w:keepNext w:val="0"/>
        <w:keepLines w:val="0"/>
        <w:pageBreakBefore w:val="0"/>
        <w:widowControl/>
        <w:kinsoku/>
        <w:wordWrap/>
        <w:overflowPunct/>
        <w:topLinePunct w:val="0"/>
        <w:autoSpaceDE/>
        <w:autoSpaceDN/>
        <w:bidi w:val="0"/>
        <w:adjustRightInd/>
        <w:snapToGrid/>
        <w:spacing w:before="0" w:beforeAutospacing="0"/>
        <w:jc w:val="center"/>
        <w:textAlignment w:val="auto"/>
        <w:outlineLvl w:val="0"/>
        <w:rPr>
          <w:rFonts w:hint="eastAsia" w:ascii="宋体" w:hAnsi="宋体" w:eastAsia="宋体" w:cs="宋体"/>
          <w:b/>
          <w:bCs/>
          <w:snapToGrid w:val="0"/>
          <w:sz w:val="30"/>
          <w:szCs w:val="30"/>
        </w:rPr>
      </w:pPr>
      <w:r>
        <w:rPr>
          <w:snapToGrid w:val="0"/>
        </w:rPr>
        <w:br w:type="page"/>
      </w:r>
      <w:r>
        <w:rPr>
          <w:rFonts w:hint="eastAsia" w:ascii="宋体" w:hAnsi="宋体" w:eastAsia="宋体" w:cs="宋体"/>
          <w:b/>
          <w:bCs/>
          <w:snapToGrid w:val="0"/>
          <w:sz w:val="30"/>
          <w:szCs w:val="30"/>
        </w:rPr>
        <w:t>六、结论</w:t>
      </w:r>
    </w:p>
    <w:tbl>
      <w:tblPr>
        <w:tblStyle w:val="24"/>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865"/>
      </w:tblGrid>
      <w:tr w14:paraId="126F98C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2540" w:hRule="atLeast"/>
          <w:jc w:val="center"/>
        </w:trPr>
        <w:tc>
          <w:tcPr>
            <w:tcW w:w="8865" w:type="dxa"/>
            <w:tcBorders>
              <w:tl2br w:val="nil"/>
              <w:tr2bl w:val="nil"/>
            </w:tcBorders>
            <w:noWrap w:val="0"/>
            <w:vAlign w:val="center"/>
          </w:tcPr>
          <w:p w14:paraId="7EEB0B1D">
            <w:pPr>
              <w:keepNext w:val="0"/>
              <w:keepLines w:val="0"/>
              <w:pageBreakBefore w:val="0"/>
              <w:widowControl w:val="0"/>
              <w:kinsoku/>
              <w:wordWrap/>
              <w:overflowPunct/>
              <w:topLinePunct w:val="0"/>
              <w:autoSpaceDE/>
              <w:autoSpaceDN/>
              <w:bidi w:val="0"/>
              <w:adjustRightInd w:val="0"/>
              <w:snapToGrid w:val="0"/>
              <w:spacing w:before="157" w:beforeLines="50" w:line="360" w:lineRule="auto"/>
              <w:ind w:firstLine="480" w:firstLineChars="200"/>
              <w:jc w:val="both"/>
              <w:textAlignment w:val="auto"/>
              <w:rPr>
                <w:rFonts w:ascii="宋体" w:cs="宋体"/>
                <w:sz w:val="24"/>
              </w:rPr>
            </w:pPr>
            <w:r>
              <w:rPr>
                <w:rFonts w:hint="default" w:ascii="Times New Roman" w:hAnsi="Times New Roman" w:eastAsia="宋体" w:cs="Times New Roman"/>
                <w:sz w:val="24"/>
                <w:szCs w:val="24"/>
                <w:lang w:val="en-US" w:eastAsia="zh-CN"/>
              </w:rPr>
              <w:t>安徽爱乐新材料科技有限公司年产一万吨高性能秸秆木塑型材智能制造项目</w:t>
            </w:r>
            <w:r>
              <w:rPr>
                <w:rFonts w:hint="default" w:ascii="Times New Roman" w:hAnsi="Times New Roman" w:eastAsia="宋体" w:cs="Times New Roman"/>
                <w:color w:val="000000"/>
                <w:sz w:val="24"/>
                <w:szCs w:val="24"/>
                <w:lang w:eastAsia="zh-CN"/>
              </w:rPr>
              <w:t>的建设符合</w:t>
            </w:r>
            <w:r>
              <w:rPr>
                <w:rFonts w:hint="eastAsia" w:cs="Times New Roman"/>
                <w:color w:val="000000"/>
                <w:sz w:val="24"/>
                <w:szCs w:val="24"/>
                <w:lang w:val="en-US" w:eastAsia="zh-CN"/>
              </w:rPr>
              <w:t>相关</w:t>
            </w:r>
            <w:r>
              <w:rPr>
                <w:rFonts w:hint="default" w:ascii="Times New Roman" w:hAnsi="Times New Roman" w:eastAsia="宋体" w:cs="Times New Roman"/>
                <w:color w:val="000000"/>
                <w:sz w:val="24"/>
                <w:szCs w:val="24"/>
                <w:lang w:eastAsia="zh-CN"/>
              </w:rPr>
              <w:t>要求</w:t>
            </w:r>
            <w:r>
              <w:rPr>
                <w:rFonts w:hint="eastAsia" w:cs="Times New Roman"/>
                <w:color w:val="000000"/>
                <w:sz w:val="24"/>
                <w:szCs w:val="24"/>
                <w:lang w:eastAsia="zh-CN"/>
              </w:rPr>
              <w:t>，</w:t>
            </w:r>
            <w:r>
              <w:rPr>
                <w:rFonts w:hint="default" w:ascii="Times New Roman" w:hAnsi="Times New Roman" w:eastAsia="宋体" w:cs="Times New Roman"/>
                <w:color w:val="auto"/>
                <w:sz w:val="24"/>
                <w:szCs w:val="24"/>
                <w:lang w:eastAsia="zh-CN"/>
              </w:rPr>
              <w:t>只要工程在运行期严格执行有关环保法规规定，切实落实报告提出的各项污染防治措施</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在</w:t>
            </w:r>
            <w:r>
              <w:rPr>
                <w:rFonts w:hint="eastAsia" w:ascii="Times New Roman" w:hAnsi="Times New Roman" w:eastAsia="宋体"/>
                <w:color w:val="auto"/>
                <w:sz w:val="24"/>
                <w:szCs w:val="24"/>
                <w:lang w:eastAsia="zh-CN"/>
              </w:rPr>
              <w:t>确保污染物达标排放</w:t>
            </w:r>
            <w:r>
              <w:rPr>
                <w:sz w:val="24"/>
              </w:rPr>
              <w:t>的前提下，本项目的建设对周围环境的不利影响较小</w:t>
            </w:r>
            <w:r>
              <w:rPr>
                <w:rFonts w:hint="eastAsia"/>
                <w:sz w:val="24"/>
                <w:lang w:eastAsia="zh-CN"/>
              </w:rPr>
              <w:t>。</w:t>
            </w:r>
            <w:r>
              <w:rPr>
                <w:rFonts w:hint="default" w:ascii="Times New Roman" w:hAnsi="Times New Roman" w:eastAsia="宋体" w:cs="Times New Roman"/>
                <w:color w:val="auto"/>
                <w:sz w:val="24"/>
                <w:szCs w:val="28"/>
              </w:rPr>
              <w:t>综上，从环境影响的角度分析，本项目的建设是可行的。</w:t>
            </w:r>
          </w:p>
        </w:tc>
      </w:tr>
    </w:tbl>
    <w:p w14:paraId="44788B51">
      <w:pPr>
        <w:rPr>
          <w:rFonts w:ascii="宋体"/>
        </w:rPr>
        <w:sectPr>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0A37225E">
      <w:pPr>
        <w:pStyle w:val="22"/>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textAlignment w:val="auto"/>
        <w:outlineLvl w:val="0"/>
        <w:rPr>
          <w:rFonts w:hint="eastAsia" w:ascii="宋体" w:hAnsi="宋体" w:eastAsia="宋体" w:cs="宋体"/>
          <w:b/>
          <w:bCs/>
          <w:snapToGrid w:val="0"/>
          <w:sz w:val="32"/>
          <w:szCs w:val="32"/>
        </w:rPr>
      </w:pPr>
      <w:r>
        <w:rPr>
          <w:rFonts w:hint="eastAsia" w:ascii="宋体" w:hAnsi="宋体" w:eastAsia="宋体" w:cs="宋体"/>
          <w:b/>
          <w:bCs/>
          <w:snapToGrid w:val="0"/>
          <w:sz w:val="32"/>
          <w:szCs w:val="32"/>
        </w:rPr>
        <w:t>附表</w:t>
      </w:r>
    </w:p>
    <w:p w14:paraId="28C7E68B">
      <w:pPr>
        <w:pStyle w:val="22"/>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rFonts w:hint="eastAsia" w:ascii="宋体" w:hAnsi="宋体" w:eastAsia="宋体" w:cs="宋体"/>
          <w:b/>
          <w:bCs/>
          <w:snapToGrid w:val="0"/>
          <w:sz w:val="38"/>
          <w:szCs w:val="38"/>
        </w:rPr>
      </w:pPr>
      <w:r>
        <w:rPr>
          <w:rFonts w:hint="eastAsia" w:ascii="宋体" w:hAnsi="宋体" w:eastAsia="宋体" w:cs="宋体"/>
          <w:b/>
          <w:bCs/>
          <w:snapToGrid w:val="0"/>
          <w:sz w:val="38"/>
          <w:szCs w:val="38"/>
        </w:rPr>
        <w:t>建设项目污染物排放量汇总表</w:t>
      </w:r>
    </w:p>
    <w:tbl>
      <w:tblPr>
        <w:tblStyle w:val="24"/>
        <w:tblW w:w="1378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88"/>
        <w:gridCol w:w="1417"/>
        <w:gridCol w:w="1701"/>
        <w:gridCol w:w="1276"/>
        <w:gridCol w:w="1701"/>
        <w:gridCol w:w="1559"/>
        <w:gridCol w:w="1577"/>
        <w:gridCol w:w="1455"/>
        <w:gridCol w:w="1514"/>
      </w:tblGrid>
      <w:tr w14:paraId="3442CE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88" w:type="dxa"/>
            <w:tcBorders>
              <w:tl2br w:val="single" w:color="auto" w:sz="4" w:space="0"/>
            </w:tcBorders>
            <w:noWrap w:val="0"/>
            <w:tcMar>
              <w:left w:w="28" w:type="dxa"/>
              <w:right w:w="28" w:type="dxa"/>
            </w:tcMar>
            <w:vAlign w:val="center"/>
          </w:tcPr>
          <w:p w14:paraId="3A711465">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jc w:val="right"/>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项目</w:t>
            </w:r>
          </w:p>
          <w:p w14:paraId="0E20B4A6">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jc w:val="left"/>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分类</w:t>
            </w:r>
          </w:p>
        </w:tc>
        <w:tc>
          <w:tcPr>
            <w:tcW w:w="1417" w:type="dxa"/>
            <w:noWrap w:val="0"/>
            <w:tcMar>
              <w:left w:w="28" w:type="dxa"/>
              <w:right w:w="28" w:type="dxa"/>
            </w:tcMar>
            <w:vAlign w:val="center"/>
          </w:tcPr>
          <w:p w14:paraId="49696B2B">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污染物名称</w:t>
            </w:r>
          </w:p>
        </w:tc>
        <w:tc>
          <w:tcPr>
            <w:tcW w:w="1701" w:type="dxa"/>
            <w:noWrap w:val="0"/>
            <w:tcMar>
              <w:left w:w="28" w:type="dxa"/>
              <w:right w:w="28" w:type="dxa"/>
            </w:tcMar>
            <w:vAlign w:val="center"/>
          </w:tcPr>
          <w:p w14:paraId="45EB1CA6">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现有工程</w:t>
            </w:r>
          </w:p>
          <w:p w14:paraId="0AFCEB80">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排放量（固体废物产生量）</w:t>
            </w:r>
            <w:r>
              <w:rPr>
                <w:rFonts w:hint="default" w:ascii="Times New Roman" w:hAnsi="Times New Roman" w:eastAsia="宋体" w:cs="Times New Roman"/>
                <w:snapToGrid w:val="0"/>
                <w:color w:val="auto"/>
                <w:spacing w:val="-6"/>
                <w:kern w:val="21"/>
                <w:sz w:val="24"/>
                <w:szCs w:val="24"/>
              </w:rPr>
              <w:fldChar w:fldCharType="begin"/>
            </w:r>
            <w:r>
              <w:rPr>
                <w:rFonts w:hint="default" w:ascii="Times New Roman" w:hAnsi="Times New Roman" w:eastAsia="宋体" w:cs="Times New Roman"/>
                <w:snapToGrid w:val="0"/>
                <w:color w:val="auto"/>
                <w:spacing w:val="-6"/>
                <w:kern w:val="21"/>
                <w:sz w:val="24"/>
                <w:szCs w:val="24"/>
              </w:rPr>
              <w:instrText xml:space="preserve"> = 1 \* GB3 \* MERGEFORMAT </w:instrText>
            </w:r>
            <w:r>
              <w:rPr>
                <w:rFonts w:hint="default" w:ascii="Times New Roman" w:hAnsi="Times New Roman" w:eastAsia="宋体" w:cs="Times New Roman"/>
                <w:snapToGrid w:val="0"/>
                <w:color w:val="auto"/>
                <w:spacing w:val="-6"/>
                <w:kern w:val="21"/>
                <w:sz w:val="24"/>
                <w:szCs w:val="24"/>
              </w:rPr>
              <w:fldChar w:fldCharType="separate"/>
            </w:r>
            <w:r>
              <w:rPr>
                <w:rFonts w:hint="default" w:ascii="Times New Roman" w:hAnsi="Times New Roman" w:eastAsia="宋体" w:cs="Times New Roman"/>
                <w:color w:val="auto"/>
                <w:kern w:val="2"/>
                <w:sz w:val="24"/>
                <w:szCs w:val="24"/>
              </w:rPr>
              <w:t>①</w:t>
            </w:r>
            <w:r>
              <w:rPr>
                <w:rFonts w:hint="default" w:ascii="Times New Roman" w:hAnsi="Times New Roman" w:eastAsia="宋体" w:cs="Times New Roman"/>
                <w:snapToGrid w:val="0"/>
                <w:color w:val="auto"/>
                <w:spacing w:val="-6"/>
                <w:kern w:val="21"/>
                <w:sz w:val="24"/>
                <w:szCs w:val="24"/>
              </w:rPr>
              <w:fldChar w:fldCharType="end"/>
            </w:r>
          </w:p>
        </w:tc>
        <w:tc>
          <w:tcPr>
            <w:tcW w:w="1276" w:type="dxa"/>
            <w:noWrap w:val="0"/>
            <w:tcMar>
              <w:left w:w="28" w:type="dxa"/>
              <w:right w:w="28" w:type="dxa"/>
            </w:tcMar>
            <w:vAlign w:val="center"/>
          </w:tcPr>
          <w:p w14:paraId="00B54787">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现有工程</w:t>
            </w:r>
          </w:p>
          <w:p w14:paraId="18171278">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许可排放量</w:t>
            </w:r>
          </w:p>
          <w:p w14:paraId="7A752DE6">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fldChar w:fldCharType="begin"/>
            </w:r>
            <w:r>
              <w:rPr>
                <w:rFonts w:hint="default" w:ascii="Times New Roman" w:hAnsi="Times New Roman" w:eastAsia="宋体" w:cs="Times New Roman"/>
                <w:snapToGrid w:val="0"/>
                <w:color w:val="auto"/>
                <w:spacing w:val="-6"/>
                <w:kern w:val="21"/>
                <w:sz w:val="24"/>
                <w:szCs w:val="24"/>
              </w:rPr>
              <w:instrText xml:space="preserve"> = 2 \* GB3 \* MERGEFORMAT </w:instrText>
            </w:r>
            <w:r>
              <w:rPr>
                <w:rFonts w:hint="default" w:ascii="Times New Roman" w:hAnsi="Times New Roman" w:eastAsia="宋体" w:cs="Times New Roman"/>
                <w:snapToGrid w:val="0"/>
                <w:color w:val="auto"/>
                <w:spacing w:val="-6"/>
                <w:kern w:val="21"/>
                <w:sz w:val="24"/>
                <w:szCs w:val="24"/>
              </w:rPr>
              <w:fldChar w:fldCharType="separate"/>
            </w:r>
            <w:r>
              <w:rPr>
                <w:rFonts w:hint="default" w:ascii="Times New Roman" w:hAnsi="Times New Roman" w:eastAsia="宋体" w:cs="Times New Roman"/>
                <w:snapToGrid w:val="0"/>
                <w:color w:val="auto"/>
                <w:spacing w:val="-6"/>
                <w:kern w:val="21"/>
                <w:sz w:val="24"/>
                <w:szCs w:val="24"/>
              </w:rPr>
              <w:t>②</w:t>
            </w:r>
            <w:r>
              <w:rPr>
                <w:rFonts w:hint="default" w:ascii="Times New Roman" w:hAnsi="Times New Roman" w:eastAsia="宋体" w:cs="Times New Roman"/>
                <w:snapToGrid w:val="0"/>
                <w:color w:val="auto"/>
                <w:spacing w:val="-6"/>
                <w:kern w:val="21"/>
                <w:sz w:val="24"/>
                <w:szCs w:val="24"/>
              </w:rPr>
              <w:fldChar w:fldCharType="end"/>
            </w:r>
          </w:p>
        </w:tc>
        <w:tc>
          <w:tcPr>
            <w:tcW w:w="1701" w:type="dxa"/>
            <w:noWrap w:val="0"/>
            <w:tcMar>
              <w:left w:w="28" w:type="dxa"/>
              <w:right w:w="28" w:type="dxa"/>
            </w:tcMar>
            <w:vAlign w:val="center"/>
          </w:tcPr>
          <w:p w14:paraId="739CE8EF">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在建工程</w:t>
            </w:r>
          </w:p>
          <w:p w14:paraId="1776E46E">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排放量（固体废物产生量）</w:t>
            </w:r>
            <w:r>
              <w:rPr>
                <w:rFonts w:hint="default" w:ascii="Times New Roman" w:hAnsi="Times New Roman" w:eastAsia="宋体" w:cs="Times New Roman"/>
                <w:snapToGrid w:val="0"/>
                <w:color w:val="auto"/>
                <w:spacing w:val="-6"/>
                <w:kern w:val="21"/>
                <w:sz w:val="24"/>
                <w:szCs w:val="24"/>
              </w:rPr>
              <w:fldChar w:fldCharType="begin"/>
            </w:r>
            <w:r>
              <w:rPr>
                <w:rFonts w:hint="default" w:ascii="Times New Roman" w:hAnsi="Times New Roman" w:eastAsia="宋体" w:cs="Times New Roman"/>
                <w:snapToGrid w:val="0"/>
                <w:color w:val="auto"/>
                <w:spacing w:val="-6"/>
                <w:kern w:val="21"/>
                <w:sz w:val="24"/>
                <w:szCs w:val="24"/>
              </w:rPr>
              <w:instrText xml:space="preserve"> = 3 \* GB3 \* MERGEFORMAT </w:instrText>
            </w:r>
            <w:r>
              <w:rPr>
                <w:rFonts w:hint="default" w:ascii="Times New Roman" w:hAnsi="Times New Roman" w:eastAsia="宋体" w:cs="Times New Roman"/>
                <w:snapToGrid w:val="0"/>
                <w:color w:val="auto"/>
                <w:spacing w:val="-6"/>
                <w:kern w:val="21"/>
                <w:sz w:val="24"/>
                <w:szCs w:val="24"/>
              </w:rPr>
              <w:fldChar w:fldCharType="separate"/>
            </w:r>
            <w:r>
              <w:rPr>
                <w:rFonts w:hint="default" w:ascii="Times New Roman" w:hAnsi="Times New Roman" w:eastAsia="宋体" w:cs="Times New Roman"/>
                <w:color w:val="auto"/>
                <w:kern w:val="2"/>
                <w:sz w:val="24"/>
                <w:szCs w:val="24"/>
              </w:rPr>
              <w:t>③</w:t>
            </w:r>
            <w:r>
              <w:rPr>
                <w:rFonts w:hint="default" w:ascii="Times New Roman" w:hAnsi="Times New Roman" w:eastAsia="宋体" w:cs="Times New Roman"/>
                <w:snapToGrid w:val="0"/>
                <w:color w:val="auto"/>
                <w:spacing w:val="-6"/>
                <w:kern w:val="21"/>
                <w:sz w:val="24"/>
                <w:szCs w:val="24"/>
              </w:rPr>
              <w:fldChar w:fldCharType="end"/>
            </w:r>
          </w:p>
        </w:tc>
        <w:tc>
          <w:tcPr>
            <w:tcW w:w="1559" w:type="dxa"/>
            <w:noWrap w:val="0"/>
            <w:tcMar>
              <w:left w:w="28" w:type="dxa"/>
              <w:right w:w="28" w:type="dxa"/>
            </w:tcMar>
            <w:vAlign w:val="center"/>
          </w:tcPr>
          <w:p w14:paraId="214E7DF5">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本项目</w:t>
            </w:r>
          </w:p>
          <w:p w14:paraId="654617B5">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排放量（固体废物产生量）</w:t>
            </w:r>
            <w:r>
              <w:rPr>
                <w:rFonts w:hint="default" w:ascii="Times New Roman" w:hAnsi="Times New Roman" w:eastAsia="宋体" w:cs="Times New Roman"/>
                <w:snapToGrid w:val="0"/>
                <w:color w:val="auto"/>
                <w:spacing w:val="-6"/>
                <w:kern w:val="21"/>
                <w:sz w:val="24"/>
                <w:szCs w:val="24"/>
              </w:rPr>
              <w:fldChar w:fldCharType="begin"/>
            </w:r>
            <w:r>
              <w:rPr>
                <w:rFonts w:hint="default" w:ascii="Times New Roman" w:hAnsi="Times New Roman" w:eastAsia="宋体" w:cs="Times New Roman"/>
                <w:snapToGrid w:val="0"/>
                <w:color w:val="auto"/>
                <w:spacing w:val="-6"/>
                <w:kern w:val="21"/>
                <w:sz w:val="24"/>
                <w:szCs w:val="24"/>
              </w:rPr>
              <w:instrText xml:space="preserve"> = 4 \* GB3 \* MERGEFORMAT </w:instrText>
            </w:r>
            <w:r>
              <w:rPr>
                <w:rFonts w:hint="default" w:ascii="Times New Roman" w:hAnsi="Times New Roman" w:eastAsia="宋体" w:cs="Times New Roman"/>
                <w:snapToGrid w:val="0"/>
                <w:color w:val="auto"/>
                <w:spacing w:val="-6"/>
                <w:kern w:val="21"/>
                <w:sz w:val="24"/>
                <w:szCs w:val="24"/>
              </w:rPr>
              <w:fldChar w:fldCharType="separate"/>
            </w:r>
            <w:r>
              <w:rPr>
                <w:rFonts w:hint="default" w:ascii="Times New Roman" w:hAnsi="Times New Roman" w:eastAsia="宋体" w:cs="Times New Roman"/>
                <w:color w:val="auto"/>
                <w:kern w:val="2"/>
                <w:sz w:val="24"/>
                <w:szCs w:val="24"/>
              </w:rPr>
              <w:t>④</w:t>
            </w:r>
            <w:r>
              <w:rPr>
                <w:rFonts w:hint="default" w:ascii="Times New Roman" w:hAnsi="Times New Roman" w:eastAsia="宋体" w:cs="Times New Roman"/>
                <w:snapToGrid w:val="0"/>
                <w:color w:val="auto"/>
                <w:spacing w:val="-6"/>
                <w:kern w:val="21"/>
                <w:sz w:val="24"/>
                <w:szCs w:val="24"/>
              </w:rPr>
              <w:fldChar w:fldCharType="end"/>
            </w:r>
          </w:p>
        </w:tc>
        <w:tc>
          <w:tcPr>
            <w:tcW w:w="1577" w:type="dxa"/>
            <w:noWrap w:val="0"/>
            <w:tcMar>
              <w:left w:w="28" w:type="dxa"/>
              <w:right w:w="28" w:type="dxa"/>
            </w:tcMar>
            <w:vAlign w:val="center"/>
          </w:tcPr>
          <w:p w14:paraId="72E0D2CC">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16"/>
                <w:kern w:val="21"/>
                <w:sz w:val="24"/>
                <w:szCs w:val="24"/>
              </w:rPr>
            </w:pPr>
            <w:r>
              <w:rPr>
                <w:rFonts w:hint="default" w:ascii="Times New Roman" w:hAnsi="Times New Roman" w:eastAsia="宋体" w:cs="Times New Roman"/>
                <w:snapToGrid w:val="0"/>
                <w:color w:val="auto"/>
                <w:spacing w:val="-16"/>
                <w:kern w:val="21"/>
                <w:sz w:val="24"/>
                <w:szCs w:val="24"/>
              </w:rPr>
              <w:t>以新带老削减量</w:t>
            </w:r>
          </w:p>
          <w:p w14:paraId="49F1BFD4">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16"/>
                <w:kern w:val="21"/>
                <w:sz w:val="24"/>
                <w:szCs w:val="24"/>
              </w:rPr>
            </w:pPr>
            <w:r>
              <w:rPr>
                <w:rFonts w:hint="default" w:ascii="Times New Roman" w:hAnsi="Times New Roman" w:eastAsia="宋体" w:cs="Times New Roman"/>
                <w:snapToGrid w:val="0"/>
                <w:color w:val="auto"/>
                <w:spacing w:val="-16"/>
                <w:kern w:val="21"/>
                <w:sz w:val="24"/>
                <w:szCs w:val="24"/>
              </w:rPr>
              <w:t>（新建项目不填）</w:t>
            </w:r>
            <w:r>
              <w:rPr>
                <w:rFonts w:hint="default" w:ascii="Times New Roman" w:hAnsi="Times New Roman" w:eastAsia="宋体" w:cs="Times New Roman"/>
                <w:snapToGrid w:val="0"/>
                <w:color w:val="auto"/>
                <w:spacing w:val="-16"/>
                <w:kern w:val="21"/>
                <w:sz w:val="24"/>
                <w:szCs w:val="24"/>
              </w:rPr>
              <w:fldChar w:fldCharType="begin"/>
            </w:r>
            <w:r>
              <w:rPr>
                <w:rFonts w:hint="default" w:ascii="Times New Roman" w:hAnsi="Times New Roman" w:eastAsia="宋体" w:cs="Times New Roman"/>
                <w:snapToGrid w:val="0"/>
                <w:color w:val="auto"/>
                <w:spacing w:val="-16"/>
                <w:kern w:val="21"/>
                <w:sz w:val="24"/>
                <w:szCs w:val="24"/>
              </w:rPr>
              <w:instrText xml:space="preserve"> = 5 \* GB3 \* MERGEFORMAT </w:instrText>
            </w:r>
            <w:r>
              <w:rPr>
                <w:rFonts w:hint="default" w:ascii="Times New Roman" w:hAnsi="Times New Roman" w:eastAsia="宋体" w:cs="Times New Roman"/>
                <w:snapToGrid w:val="0"/>
                <w:color w:val="auto"/>
                <w:spacing w:val="-16"/>
                <w:kern w:val="21"/>
                <w:sz w:val="24"/>
                <w:szCs w:val="24"/>
              </w:rPr>
              <w:fldChar w:fldCharType="separate"/>
            </w:r>
            <w:r>
              <w:rPr>
                <w:rFonts w:hint="default" w:ascii="Times New Roman" w:hAnsi="Times New Roman" w:eastAsia="宋体" w:cs="Times New Roman"/>
                <w:color w:val="auto"/>
                <w:kern w:val="2"/>
                <w:sz w:val="24"/>
                <w:szCs w:val="24"/>
              </w:rPr>
              <w:t>⑤</w:t>
            </w:r>
            <w:r>
              <w:rPr>
                <w:rFonts w:hint="default" w:ascii="Times New Roman" w:hAnsi="Times New Roman" w:eastAsia="宋体" w:cs="Times New Roman"/>
                <w:snapToGrid w:val="0"/>
                <w:color w:val="auto"/>
                <w:spacing w:val="-16"/>
                <w:kern w:val="21"/>
                <w:sz w:val="24"/>
                <w:szCs w:val="24"/>
              </w:rPr>
              <w:fldChar w:fldCharType="end"/>
            </w:r>
          </w:p>
        </w:tc>
        <w:tc>
          <w:tcPr>
            <w:tcW w:w="1455" w:type="dxa"/>
            <w:noWrap w:val="0"/>
            <w:tcMar>
              <w:left w:w="28" w:type="dxa"/>
              <w:right w:w="28" w:type="dxa"/>
            </w:tcMar>
            <w:vAlign w:val="center"/>
          </w:tcPr>
          <w:p w14:paraId="50C929D1">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16"/>
                <w:kern w:val="21"/>
                <w:sz w:val="24"/>
                <w:szCs w:val="24"/>
              </w:rPr>
            </w:pPr>
            <w:r>
              <w:rPr>
                <w:rFonts w:hint="default" w:ascii="Times New Roman" w:hAnsi="Times New Roman" w:eastAsia="宋体" w:cs="Times New Roman"/>
                <w:snapToGrid w:val="0"/>
                <w:color w:val="auto"/>
                <w:spacing w:val="-16"/>
                <w:kern w:val="21"/>
                <w:sz w:val="24"/>
                <w:szCs w:val="24"/>
              </w:rPr>
              <w:t>本项目建成后</w:t>
            </w:r>
          </w:p>
          <w:p w14:paraId="4FE5A831">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16"/>
                <w:kern w:val="21"/>
                <w:sz w:val="24"/>
                <w:szCs w:val="24"/>
              </w:rPr>
            </w:pPr>
            <w:r>
              <w:rPr>
                <w:rFonts w:hint="default" w:ascii="Times New Roman" w:hAnsi="Times New Roman" w:eastAsia="宋体" w:cs="Times New Roman"/>
                <w:snapToGrid w:val="0"/>
                <w:color w:val="auto"/>
                <w:spacing w:val="-16"/>
                <w:kern w:val="21"/>
                <w:sz w:val="24"/>
                <w:szCs w:val="24"/>
              </w:rPr>
              <w:t>全厂排放量（固体废物产生量）</w:t>
            </w:r>
            <w:r>
              <w:rPr>
                <w:rFonts w:hint="default" w:ascii="Times New Roman" w:hAnsi="Times New Roman" w:eastAsia="宋体" w:cs="Times New Roman"/>
                <w:snapToGrid w:val="0"/>
                <w:color w:val="auto"/>
                <w:spacing w:val="-16"/>
                <w:kern w:val="21"/>
                <w:sz w:val="24"/>
                <w:szCs w:val="24"/>
              </w:rPr>
              <w:fldChar w:fldCharType="begin"/>
            </w:r>
            <w:r>
              <w:rPr>
                <w:rFonts w:hint="default" w:ascii="Times New Roman" w:hAnsi="Times New Roman" w:eastAsia="宋体" w:cs="Times New Roman"/>
                <w:snapToGrid w:val="0"/>
                <w:color w:val="auto"/>
                <w:spacing w:val="-16"/>
                <w:kern w:val="21"/>
                <w:sz w:val="24"/>
                <w:szCs w:val="24"/>
              </w:rPr>
              <w:instrText xml:space="preserve"> = 6 \* GB3 \* MERGEFORMAT </w:instrText>
            </w:r>
            <w:r>
              <w:rPr>
                <w:rFonts w:hint="default" w:ascii="Times New Roman" w:hAnsi="Times New Roman" w:eastAsia="宋体" w:cs="Times New Roman"/>
                <w:snapToGrid w:val="0"/>
                <w:color w:val="auto"/>
                <w:spacing w:val="-16"/>
                <w:kern w:val="21"/>
                <w:sz w:val="24"/>
                <w:szCs w:val="24"/>
              </w:rPr>
              <w:fldChar w:fldCharType="separate"/>
            </w:r>
            <w:r>
              <w:rPr>
                <w:rFonts w:hint="default" w:ascii="Times New Roman" w:hAnsi="Times New Roman" w:eastAsia="宋体" w:cs="Times New Roman"/>
                <w:color w:val="auto"/>
                <w:kern w:val="2"/>
                <w:sz w:val="24"/>
                <w:szCs w:val="24"/>
              </w:rPr>
              <w:t>⑥</w:t>
            </w:r>
            <w:r>
              <w:rPr>
                <w:rFonts w:hint="default" w:ascii="Times New Roman" w:hAnsi="Times New Roman" w:eastAsia="宋体" w:cs="Times New Roman"/>
                <w:snapToGrid w:val="0"/>
                <w:color w:val="auto"/>
                <w:spacing w:val="-16"/>
                <w:kern w:val="21"/>
                <w:sz w:val="24"/>
                <w:szCs w:val="24"/>
              </w:rPr>
              <w:fldChar w:fldCharType="end"/>
            </w:r>
          </w:p>
        </w:tc>
        <w:tc>
          <w:tcPr>
            <w:tcW w:w="1514" w:type="dxa"/>
            <w:noWrap w:val="0"/>
            <w:tcMar>
              <w:left w:w="28" w:type="dxa"/>
              <w:right w:w="28" w:type="dxa"/>
            </w:tcMar>
            <w:vAlign w:val="center"/>
          </w:tcPr>
          <w:p w14:paraId="50083AA4">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t>变化量</w:t>
            </w:r>
          </w:p>
          <w:p w14:paraId="7EA9207C">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spacing w:val="-6"/>
                <w:kern w:val="21"/>
                <w:sz w:val="24"/>
                <w:szCs w:val="24"/>
              </w:rPr>
            </w:pPr>
            <w:r>
              <w:rPr>
                <w:rFonts w:hint="default" w:ascii="Times New Roman" w:hAnsi="Times New Roman" w:eastAsia="宋体" w:cs="Times New Roman"/>
                <w:snapToGrid w:val="0"/>
                <w:color w:val="auto"/>
                <w:spacing w:val="-6"/>
                <w:kern w:val="21"/>
                <w:sz w:val="24"/>
                <w:szCs w:val="24"/>
              </w:rPr>
              <w:fldChar w:fldCharType="begin"/>
            </w:r>
            <w:r>
              <w:rPr>
                <w:rFonts w:hint="default" w:ascii="Times New Roman" w:hAnsi="Times New Roman" w:eastAsia="宋体" w:cs="Times New Roman"/>
                <w:snapToGrid w:val="0"/>
                <w:color w:val="auto"/>
                <w:spacing w:val="-6"/>
                <w:kern w:val="21"/>
                <w:sz w:val="24"/>
                <w:szCs w:val="24"/>
              </w:rPr>
              <w:instrText xml:space="preserve"> = 7 \* GB3 \* MERGEFORMAT </w:instrText>
            </w:r>
            <w:r>
              <w:rPr>
                <w:rFonts w:hint="default" w:ascii="Times New Roman" w:hAnsi="Times New Roman" w:eastAsia="宋体" w:cs="Times New Roman"/>
                <w:snapToGrid w:val="0"/>
                <w:color w:val="auto"/>
                <w:spacing w:val="-6"/>
                <w:kern w:val="21"/>
                <w:sz w:val="24"/>
                <w:szCs w:val="24"/>
              </w:rPr>
              <w:fldChar w:fldCharType="separate"/>
            </w:r>
            <w:r>
              <w:rPr>
                <w:rFonts w:hint="default" w:ascii="Times New Roman" w:hAnsi="Times New Roman" w:eastAsia="宋体" w:cs="Times New Roman"/>
                <w:color w:val="auto"/>
                <w:kern w:val="2"/>
                <w:sz w:val="24"/>
                <w:szCs w:val="24"/>
              </w:rPr>
              <w:t>⑦</w:t>
            </w:r>
            <w:r>
              <w:rPr>
                <w:rFonts w:hint="default" w:ascii="Times New Roman" w:hAnsi="Times New Roman" w:eastAsia="宋体" w:cs="Times New Roman"/>
                <w:snapToGrid w:val="0"/>
                <w:color w:val="auto"/>
                <w:spacing w:val="-6"/>
                <w:kern w:val="21"/>
                <w:sz w:val="24"/>
                <w:szCs w:val="24"/>
              </w:rPr>
              <w:fldChar w:fldCharType="end"/>
            </w:r>
          </w:p>
        </w:tc>
      </w:tr>
      <w:tr w14:paraId="65F4EE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restart"/>
            <w:noWrap w:val="0"/>
            <w:vAlign w:val="center"/>
          </w:tcPr>
          <w:p w14:paraId="7B72A3A1">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r>
              <w:rPr>
                <w:rFonts w:hint="default" w:ascii="Times New Roman" w:hAnsi="Times New Roman" w:eastAsia="宋体" w:cs="Times New Roman"/>
                <w:snapToGrid w:val="0"/>
                <w:color w:val="auto"/>
                <w:kern w:val="21"/>
                <w:sz w:val="24"/>
                <w:szCs w:val="24"/>
              </w:rPr>
              <w:t>废气</w:t>
            </w:r>
          </w:p>
        </w:tc>
        <w:tc>
          <w:tcPr>
            <w:tcW w:w="1417" w:type="dxa"/>
            <w:noWrap w:val="0"/>
            <w:vAlign w:val="center"/>
          </w:tcPr>
          <w:p w14:paraId="3C3F31A3">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eastAsia" w:ascii="Times New Roman" w:hAnsi="Times New Roman" w:eastAsia="宋体"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颗粒物</w:t>
            </w:r>
          </w:p>
        </w:tc>
        <w:tc>
          <w:tcPr>
            <w:tcW w:w="1701" w:type="dxa"/>
            <w:noWrap w:val="0"/>
            <w:vAlign w:val="center"/>
          </w:tcPr>
          <w:p w14:paraId="25FCB0D2">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0.846t/a</w:t>
            </w:r>
          </w:p>
        </w:tc>
        <w:tc>
          <w:tcPr>
            <w:tcW w:w="1276" w:type="dxa"/>
            <w:noWrap w:val="0"/>
            <w:vAlign w:val="center"/>
          </w:tcPr>
          <w:p w14:paraId="7177DC9C">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5947BA85">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27D3A2F3">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0.665</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2F03BB70">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cs="Times New Roman"/>
                <w:snapToGrid w:val="0"/>
                <w:color w:val="auto"/>
                <w:kern w:val="21"/>
                <w:sz w:val="24"/>
                <w:szCs w:val="24"/>
                <w:lang w:val="en-US" w:eastAsia="zh-CN"/>
              </w:rPr>
              <w:t>0</w:t>
            </w:r>
          </w:p>
        </w:tc>
        <w:tc>
          <w:tcPr>
            <w:tcW w:w="1455" w:type="dxa"/>
            <w:noWrap w:val="0"/>
            <w:vAlign w:val="center"/>
          </w:tcPr>
          <w:p w14:paraId="28EBD600">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r>
              <w:rPr>
                <w:rFonts w:hint="eastAsia" w:ascii="Times New Roman" w:cs="Times New Roman"/>
                <w:color w:val="auto"/>
                <w:sz w:val="24"/>
                <w:szCs w:val="24"/>
                <w:vertAlign w:val="baseline"/>
                <w:lang w:val="en-US" w:eastAsia="zh-CN"/>
              </w:rPr>
              <w:t>1.511</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0C398C1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hAnsi="Times New Roman" w:eastAsia="宋体"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+0.665</w:t>
            </w:r>
            <w:r>
              <w:rPr>
                <w:rFonts w:hint="eastAsia" w:ascii="Times New Roman" w:cs="Times New Roman"/>
                <w:snapToGrid w:val="0"/>
                <w:color w:val="auto"/>
                <w:kern w:val="21"/>
                <w:sz w:val="24"/>
                <w:szCs w:val="24"/>
                <w:lang w:val="en-US" w:eastAsia="zh-CN"/>
              </w:rPr>
              <w:t>t/a</w:t>
            </w:r>
          </w:p>
        </w:tc>
      </w:tr>
      <w:tr w14:paraId="236F11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11D4C914">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6A127F8C">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非甲烷总烃</w:t>
            </w:r>
          </w:p>
        </w:tc>
        <w:tc>
          <w:tcPr>
            <w:tcW w:w="1701" w:type="dxa"/>
            <w:noWrap w:val="0"/>
            <w:vAlign w:val="center"/>
          </w:tcPr>
          <w:p w14:paraId="623748A9">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0.686t/a</w:t>
            </w:r>
          </w:p>
        </w:tc>
        <w:tc>
          <w:tcPr>
            <w:tcW w:w="1276" w:type="dxa"/>
            <w:noWrap w:val="0"/>
            <w:vAlign w:val="center"/>
          </w:tcPr>
          <w:p w14:paraId="300DF77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3B738960">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4FD12E93">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0.669</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2B7B363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6CB0AA47">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1.355t/a</w:t>
            </w:r>
          </w:p>
        </w:tc>
        <w:tc>
          <w:tcPr>
            <w:tcW w:w="1514" w:type="dxa"/>
            <w:noWrap w:val="0"/>
            <w:vAlign w:val="center"/>
          </w:tcPr>
          <w:p w14:paraId="03E5CD9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+0.669</w:t>
            </w:r>
            <w:r>
              <w:rPr>
                <w:rFonts w:hint="eastAsia" w:ascii="Times New Roman" w:cs="Times New Roman"/>
                <w:snapToGrid w:val="0"/>
                <w:color w:val="auto"/>
                <w:kern w:val="21"/>
                <w:sz w:val="24"/>
                <w:szCs w:val="24"/>
                <w:lang w:val="en-US" w:eastAsia="zh-CN"/>
              </w:rPr>
              <w:t>t/a</w:t>
            </w:r>
          </w:p>
        </w:tc>
      </w:tr>
      <w:tr w14:paraId="0D5377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7EA4BED5">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5300B656">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eastAsia" w:ascii="Times New Roman" w:cs="Times New Roman"/>
                <w:snapToGrid w:val="0"/>
                <w:color w:val="auto"/>
                <w:kern w:val="21"/>
                <w:sz w:val="24"/>
                <w:szCs w:val="24"/>
                <w:lang w:val="en-US" w:eastAsia="zh-CN"/>
              </w:rPr>
            </w:pPr>
            <w:r>
              <w:rPr>
                <w:rFonts w:hint="eastAsia"/>
                <w:color w:val="auto"/>
                <w:sz w:val="24"/>
                <w:szCs w:val="24"/>
                <w:lang w:eastAsia="zh-CN"/>
              </w:rPr>
              <w:t>氯乙烯</w:t>
            </w:r>
          </w:p>
        </w:tc>
        <w:tc>
          <w:tcPr>
            <w:tcW w:w="1701" w:type="dxa"/>
            <w:noWrap w:val="0"/>
            <w:vAlign w:val="center"/>
          </w:tcPr>
          <w:p w14:paraId="7559ADCF">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276" w:type="dxa"/>
            <w:noWrap w:val="0"/>
            <w:vAlign w:val="center"/>
          </w:tcPr>
          <w:p w14:paraId="13A1CA6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4F486B8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5EB2009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0.006</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790BFFB0">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43D401D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0.006</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74C21E9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+0.006</w:t>
            </w:r>
            <w:r>
              <w:rPr>
                <w:rFonts w:hint="eastAsia" w:ascii="Times New Roman" w:cs="Times New Roman"/>
                <w:snapToGrid w:val="0"/>
                <w:color w:val="auto"/>
                <w:kern w:val="21"/>
                <w:sz w:val="24"/>
                <w:szCs w:val="24"/>
                <w:lang w:val="en-US" w:eastAsia="zh-CN"/>
              </w:rPr>
              <w:t>t/a</w:t>
            </w:r>
          </w:p>
        </w:tc>
      </w:tr>
      <w:tr w14:paraId="7DCA27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67AC2B9F">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39ACCE1F">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eastAsia" w:ascii="Times New Roman" w:cs="Times New Roman"/>
                <w:snapToGrid w:val="0"/>
                <w:color w:val="auto"/>
                <w:kern w:val="21"/>
                <w:sz w:val="24"/>
                <w:szCs w:val="24"/>
                <w:lang w:val="en-US" w:eastAsia="zh-CN"/>
              </w:rPr>
            </w:pPr>
            <w:r>
              <w:rPr>
                <w:rFonts w:hint="eastAsia"/>
                <w:color w:val="auto"/>
                <w:sz w:val="24"/>
                <w:szCs w:val="24"/>
                <w:lang w:eastAsia="zh-CN"/>
              </w:rPr>
              <w:t>氯化氢</w:t>
            </w:r>
          </w:p>
        </w:tc>
        <w:tc>
          <w:tcPr>
            <w:tcW w:w="1701" w:type="dxa"/>
            <w:noWrap w:val="0"/>
            <w:vAlign w:val="center"/>
          </w:tcPr>
          <w:p w14:paraId="7812D8D7">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276" w:type="dxa"/>
            <w:noWrap w:val="0"/>
            <w:vAlign w:val="center"/>
          </w:tcPr>
          <w:p w14:paraId="7604C7A4">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4B824C9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55FE7DE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0.033</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4A5F1553">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35C86099">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0.033</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0E7B9E13">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+0.033</w:t>
            </w:r>
            <w:r>
              <w:rPr>
                <w:rFonts w:hint="eastAsia" w:ascii="Times New Roman" w:cs="Times New Roman"/>
                <w:snapToGrid w:val="0"/>
                <w:color w:val="auto"/>
                <w:kern w:val="21"/>
                <w:sz w:val="24"/>
                <w:szCs w:val="24"/>
                <w:lang w:val="en-US" w:eastAsia="zh-CN"/>
              </w:rPr>
              <w:t>t/a</w:t>
            </w:r>
          </w:p>
        </w:tc>
      </w:tr>
      <w:tr w14:paraId="03BC7C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restart"/>
            <w:noWrap w:val="0"/>
            <w:vAlign w:val="center"/>
          </w:tcPr>
          <w:p w14:paraId="430DCB75">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r>
              <w:rPr>
                <w:rFonts w:hint="default" w:ascii="Times New Roman" w:hAnsi="Times New Roman" w:eastAsia="宋体" w:cs="Times New Roman"/>
                <w:snapToGrid w:val="0"/>
                <w:color w:val="auto"/>
                <w:kern w:val="21"/>
                <w:sz w:val="24"/>
                <w:szCs w:val="24"/>
              </w:rPr>
              <w:t>废水</w:t>
            </w:r>
          </w:p>
        </w:tc>
        <w:tc>
          <w:tcPr>
            <w:tcW w:w="1417" w:type="dxa"/>
            <w:noWrap w:val="0"/>
            <w:vAlign w:val="center"/>
          </w:tcPr>
          <w:p w14:paraId="75E8A341">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COD</w:t>
            </w:r>
          </w:p>
        </w:tc>
        <w:tc>
          <w:tcPr>
            <w:tcW w:w="1701" w:type="dxa"/>
            <w:noWrap w:val="0"/>
            <w:vAlign w:val="center"/>
          </w:tcPr>
          <w:p w14:paraId="2F798855">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276" w:type="dxa"/>
            <w:noWrap w:val="0"/>
            <w:vAlign w:val="center"/>
          </w:tcPr>
          <w:p w14:paraId="75B91DD7">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3686727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694F1FE3">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lang w:val="en-US" w:eastAsia="zh-CN"/>
              </w:rPr>
            </w:pPr>
            <w:r>
              <w:rPr>
                <w:rFonts w:hint="eastAsia" w:cs="Times New Roman"/>
                <w:snapToGrid/>
                <w:color w:val="auto"/>
                <w:spacing w:val="0"/>
                <w:kern w:val="0"/>
                <w:position w:val="0"/>
                <w:sz w:val="24"/>
                <w:szCs w:val="24"/>
                <w:lang w:val="en-US" w:eastAsia="zh-CN"/>
              </w:rPr>
              <w:t>/</w:t>
            </w:r>
          </w:p>
        </w:tc>
        <w:tc>
          <w:tcPr>
            <w:tcW w:w="1577" w:type="dxa"/>
            <w:noWrap w:val="0"/>
            <w:vAlign w:val="center"/>
          </w:tcPr>
          <w:p w14:paraId="7C415EF0">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455" w:type="dxa"/>
            <w:noWrap w:val="0"/>
            <w:vAlign w:val="center"/>
          </w:tcPr>
          <w:p w14:paraId="489FFA5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cs="Times New Roman"/>
                <w:snapToGrid/>
                <w:color w:val="auto"/>
                <w:spacing w:val="0"/>
                <w:kern w:val="0"/>
                <w:position w:val="0"/>
                <w:sz w:val="24"/>
                <w:szCs w:val="24"/>
                <w:lang w:val="en-US" w:eastAsia="zh-CN"/>
              </w:rPr>
              <w:t>/</w:t>
            </w:r>
          </w:p>
        </w:tc>
        <w:tc>
          <w:tcPr>
            <w:tcW w:w="1514" w:type="dxa"/>
            <w:noWrap w:val="0"/>
            <w:vAlign w:val="center"/>
          </w:tcPr>
          <w:p w14:paraId="32D0EBE9">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lang w:val="en-US"/>
              </w:rPr>
            </w:pPr>
            <w:r>
              <w:rPr>
                <w:rFonts w:hint="eastAsia" w:cs="Times New Roman"/>
                <w:snapToGrid/>
                <w:color w:val="auto"/>
                <w:spacing w:val="0"/>
                <w:kern w:val="0"/>
                <w:position w:val="0"/>
                <w:sz w:val="24"/>
                <w:szCs w:val="24"/>
                <w:lang w:val="en-US" w:eastAsia="zh-CN"/>
              </w:rPr>
              <w:t>/</w:t>
            </w:r>
          </w:p>
        </w:tc>
      </w:tr>
      <w:tr w14:paraId="22F9C9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1D6FD328">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51E0BD5F">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NH</w:t>
            </w:r>
            <w:r>
              <w:rPr>
                <w:rFonts w:hint="eastAsia" w:ascii="Times New Roman" w:cs="Times New Roman"/>
                <w:snapToGrid w:val="0"/>
                <w:color w:val="auto"/>
                <w:kern w:val="21"/>
                <w:sz w:val="24"/>
                <w:szCs w:val="24"/>
                <w:vertAlign w:val="subscript"/>
                <w:lang w:val="en-US" w:eastAsia="zh-CN"/>
              </w:rPr>
              <w:t>3</w:t>
            </w:r>
            <w:r>
              <w:rPr>
                <w:rFonts w:hint="eastAsia" w:ascii="Times New Roman" w:cs="Times New Roman"/>
                <w:snapToGrid w:val="0"/>
                <w:color w:val="auto"/>
                <w:kern w:val="21"/>
                <w:sz w:val="24"/>
                <w:szCs w:val="24"/>
                <w:lang w:val="en-US" w:eastAsia="zh-CN"/>
              </w:rPr>
              <w:t>-N</w:t>
            </w:r>
          </w:p>
        </w:tc>
        <w:tc>
          <w:tcPr>
            <w:tcW w:w="1701" w:type="dxa"/>
            <w:noWrap w:val="0"/>
            <w:vAlign w:val="center"/>
          </w:tcPr>
          <w:p w14:paraId="6C696A4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276" w:type="dxa"/>
            <w:noWrap w:val="0"/>
            <w:vAlign w:val="center"/>
          </w:tcPr>
          <w:p w14:paraId="6AFBBA8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255119B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7944E31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lang w:val="en-US" w:eastAsia="zh-CN"/>
              </w:rPr>
            </w:pPr>
            <w:r>
              <w:rPr>
                <w:rFonts w:hint="eastAsia" w:cs="Times New Roman"/>
                <w:snapToGrid/>
                <w:color w:val="auto"/>
                <w:spacing w:val="0"/>
                <w:kern w:val="0"/>
                <w:position w:val="0"/>
                <w:sz w:val="24"/>
                <w:szCs w:val="24"/>
                <w:lang w:val="en-US" w:eastAsia="zh-CN"/>
              </w:rPr>
              <w:t>/</w:t>
            </w:r>
          </w:p>
        </w:tc>
        <w:tc>
          <w:tcPr>
            <w:tcW w:w="1577" w:type="dxa"/>
            <w:noWrap w:val="0"/>
            <w:vAlign w:val="center"/>
          </w:tcPr>
          <w:p w14:paraId="49C0207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455" w:type="dxa"/>
            <w:noWrap w:val="0"/>
            <w:vAlign w:val="center"/>
          </w:tcPr>
          <w:p w14:paraId="4AABCFA7">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lang w:val="en-US"/>
              </w:rPr>
            </w:pPr>
            <w:r>
              <w:rPr>
                <w:rFonts w:hint="eastAsia" w:cs="Times New Roman"/>
                <w:snapToGrid/>
                <w:color w:val="auto"/>
                <w:spacing w:val="0"/>
                <w:kern w:val="0"/>
                <w:position w:val="0"/>
                <w:sz w:val="24"/>
                <w:szCs w:val="24"/>
                <w:lang w:val="en-US" w:eastAsia="zh-CN"/>
              </w:rPr>
              <w:t>/</w:t>
            </w:r>
          </w:p>
        </w:tc>
        <w:tc>
          <w:tcPr>
            <w:tcW w:w="1514" w:type="dxa"/>
            <w:noWrap w:val="0"/>
            <w:vAlign w:val="center"/>
          </w:tcPr>
          <w:p w14:paraId="7E617D2C">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hAnsi="Times New Roman" w:eastAsia="宋体" w:cs="Times New Roman"/>
                <w:snapToGrid w:val="0"/>
                <w:color w:val="auto"/>
                <w:kern w:val="21"/>
                <w:sz w:val="24"/>
                <w:szCs w:val="24"/>
                <w:lang w:val="en-US" w:eastAsia="zh-CN"/>
              </w:rPr>
            </w:pPr>
            <w:r>
              <w:rPr>
                <w:rFonts w:hint="eastAsia" w:cs="Times New Roman"/>
                <w:snapToGrid/>
                <w:color w:val="auto"/>
                <w:spacing w:val="0"/>
                <w:kern w:val="0"/>
                <w:position w:val="0"/>
                <w:sz w:val="24"/>
                <w:szCs w:val="24"/>
                <w:lang w:val="en-US" w:eastAsia="zh-CN"/>
              </w:rPr>
              <w:t>/</w:t>
            </w:r>
          </w:p>
        </w:tc>
      </w:tr>
      <w:tr w14:paraId="2B5D07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restart"/>
            <w:noWrap w:val="0"/>
            <w:vAlign w:val="center"/>
          </w:tcPr>
          <w:p w14:paraId="569669F0">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r>
              <w:rPr>
                <w:rFonts w:hint="default" w:ascii="Times New Roman" w:hAnsi="Times New Roman" w:eastAsia="宋体" w:cs="Times New Roman"/>
                <w:snapToGrid w:val="0"/>
                <w:color w:val="auto"/>
                <w:kern w:val="21"/>
                <w:sz w:val="24"/>
                <w:szCs w:val="24"/>
              </w:rPr>
              <w:t>一般工业</w:t>
            </w:r>
          </w:p>
          <w:p w14:paraId="096BCF83">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r>
              <w:rPr>
                <w:rFonts w:hint="default" w:ascii="Times New Roman" w:hAnsi="Times New Roman" w:eastAsia="宋体" w:cs="Times New Roman"/>
                <w:snapToGrid w:val="0"/>
                <w:color w:val="auto"/>
                <w:kern w:val="21"/>
                <w:sz w:val="24"/>
                <w:szCs w:val="24"/>
              </w:rPr>
              <w:t>固体废物</w:t>
            </w:r>
          </w:p>
        </w:tc>
        <w:tc>
          <w:tcPr>
            <w:tcW w:w="1417" w:type="dxa"/>
            <w:noWrap w:val="0"/>
            <w:vAlign w:val="center"/>
          </w:tcPr>
          <w:p w14:paraId="09BF7E0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hAnsi="Times New Roman" w:eastAsia="宋体" w:cs="Times New Roman"/>
                <w:snapToGrid w:val="0"/>
                <w:color w:val="auto"/>
                <w:kern w:val="21"/>
                <w:sz w:val="24"/>
                <w:szCs w:val="24"/>
                <w:lang w:val="en-US" w:eastAsia="zh-CN"/>
              </w:rPr>
            </w:pPr>
            <w:r>
              <w:rPr>
                <w:bCs/>
                <w:color w:val="auto"/>
                <w:sz w:val="24"/>
                <w:szCs w:val="24"/>
              </w:rPr>
              <w:t>生活垃圾</w:t>
            </w:r>
          </w:p>
        </w:tc>
        <w:tc>
          <w:tcPr>
            <w:tcW w:w="1701" w:type="dxa"/>
            <w:noWrap w:val="0"/>
            <w:vAlign w:val="center"/>
          </w:tcPr>
          <w:p w14:paraId="291D2D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21"/>
                <w:sz w:val="24"/>
                <w:szCs w:val="24"/>
              </w:rPr>
            </w:pPr>
            <w:r>
              <w:rPr>
                <w:rFonts w:hint="eastAsia" w:cs="Times New Roman" w:eastAsiaTheme="minorEastAsia"/>
                <w:color w:val="auto"/>
                <w:sz w:val="24"/>
                <w:szCs w:val="24"/>
                <w:lang w:val="en-US" w:eastAsia="zh-CN"/>
              </w:rPr>
              <w:t>11.55</w:t>
            </w:r>
            <w:r>
              <w:rPr>
                <w:rFonts w:hint="eastAsia" w:ascii="Times New Roman" w:cs="Times New Roman"/>
                <w:snapToGrid w:val="0"/>
                <w:color w:val="auto"/>
                <w:kern w:val="21"/>
                <w:sz w:val="24"/>
                <w:szCs w:val="24"/>
                <w:lang w:val="en-US" w:eastAsia="zh-CN"/>
              </w:rPr>
              <w:t>t/a</w:t>
            </w:r>
          </w:p>
        </w:tc>
        <w:tc>
          <w:tcPr>
            <w:tcW w:w="1276" w:type="dxa"/>
            <w:noWrap w:val="0"/>
            <w:vAlign w:val="center"/>
          </w:tcPr>
          <w:p w14:paraId="59923551">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122F55D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04EF0E8F">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lang w:val="en-US" w:eastAsia="zh-CN"/>
              </w:rPr>
            </w:pPr>
            <w:r>
              <w:rPr>
                <w:rFonts w:hint="eastAsia" w:cs="Times New Roman"/>
                <w:color w:val="auto"/>
                <w:sz w:val="24"/>
                <w:szCs w:val="24"/>
                <w:vertAlign w:val="baseline"/>
                <w:lang w:val="en-US" w:eastAsia="zh-CN"/>
              </w:rPr>
              <w:t>3</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18DE721F">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cs="Times New Roman"/>
                <w:snapToGrid w:val="0"/>
                <w:color w:val="auto"/>
                <w:kern w:val="21"/>
                <w:sz w:val="24"/>
                <w:szCs w:val="24"/>
                <w:lang w:val="en-US" w:eastAsia="zh-CN"/>
              </w:rPr>
              <w:t>0</w:t>
            </w:r>
          </w:p>
        </w:tc>
        <w:tc>
          <w:tcPr>
            <w:tcW w:w="1455" w:type="dxa"/>
            <w:noWrap w:val="0"/>
            <w:vAlign w:val="center"/>
          </w:tcPr>
          <w:p w14:paraId="7971329F">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cs="Times New Roman"/>
                <w:color w:val="auto"/>
                <w:sz w:val="24"/>
                <w:szCs w:val="24"/>
                <w:vertAlign w:val="baseline"/>
                <w:lang w:val="en-US" w:eastAsia="zh-CN"/>
              </w:rPr>
              <w:t>14.55</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2589B19F">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cs="Times New Roman"/>
                <w:color w:val="auto"/>
                <w:sz w:val="24"/>
                <w:szCs w:val="24"/>
                <w:vertAlign w:val="baseline"/>
                <w:lang w:val="en-US" w:eastAsia="zh-CN"/>
              </w:rPr>
              <w:t>+3</w:t>
            </w:r>
            <w:r>
              <w:rPr>
                <w:rFonts w:hint="eastAsia" w:ascii="Times New Roman" w:cs="Times New Roman"/>
                <w:snapToGrid w:val="0"/>
                <w:color w:val="auto"/>
                <w:kern w:val="21"/>
                <w:sz w:val="24"/>
                <w:szCs w:val="24"/>
                <w:lang w:val="en-US" w:eastAsia="zh-CN"/>
              </w:rPr>
              <w:t>t/a</w:t>
            </w:r>
          </w:p>
        </w:tc>
      </w:tr>
      <w:tr w14:paraId="1EE2FA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457B5A79">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4845816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hAnsi="Times New Roman" w:eastAsia="宋体" w:cs="Times New Roman"/>
                <w:snapToGrid w:val="0"/>
                <w:color w:val="auto"/>
                <w:kern w:val="21"/>
                <w:sz w:val="24"/>
                <w:szCs w:val="24"/>
                <w:lang w:val="en-US" w:eastAsia="zh-CN"/>
              </w:rPr>
            </w:pPr>
            <w:r>
              <w:rPr>
                <w:rFonts w:hint="eastAsia"/>
                <w:color w:val="auto"/>
                <w:sz w:val="24"/>
                <w:szCs w:val="24"/>
                <w:lang w:eastAsia="zh-CN"/>
              </w:rPr>
              <w:t>废边角料</w:t>
            </w:r>
          </w:p>
        </w:tc>
        <w:tc>
          <w:tcPr>
            <w:tcW w:w="1701" w:type="dxa"/>
            <w:noWrap w:val="0"/>
            <w:vAlign w:val="center"/>
          </w:tcPr>
          <w:p w14:paraId="35E121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21"/>
                <w:sz w:val="24"/>
                <w:szCs w:val="24"/>
              </w:rPr>
            </w:pPr>
            <w:r>
              <w:rPr>
                <w:rFonts w:hint="eastAsia" w:cs="Times New Roman" w:eastAsiaTheme="minorEastAsia"/>
                <w:color w:val="auto"/>
                <w:sz w:val="24"/>
                <w:szCs w:val="24"/>
                <w:lang w:val="en-US" w:eastAsia="zh-CN"/>
              </w:rPr>
              <w:t>3.4</w:t>
            </w:r>
            <w:r>
              <w:rPr>
                <w:rFonts w:hint="eastAsia" w:ascii="Times New Roman" w:cs="Times New Roman"/>
                <w:snapToGrid w:val="0"/>
                <w:color w:val="auto"/>
                <w:kern w:val="21"/>
                <w:sz w:val="24"/>
                <w:szCs w:val="24"/>
                <w:lang w:val="en-US" w:eastAsia="zh-CN"/>
              </w:rPr>
              <w:t>t/a</w:t>
            </w:r>
          </w:p>
        </w:tc>
        <w:tc>
          <w:tcPr>
            <w:tcW w:w="1276" w:type="dxa"/>
            <w:noWrap w:val="0"/>
            <w:vAlign w:val="center"/>
          </w:tcPr>
          <w:p w14:paraId="1F2C675F">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1B0EF36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2A38FA0B">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1300t/a</w:t>
            </w:r>
          </w:p>
        </w:tc>
        <w:tc>
          <w:tcPr>
            <w:tcW w:w="1577" w:type="dxa"/>
            <w:noWrap w:val="0"/>
            <w:vAlign w:val="center"/>
          </w:tcPr>
          <w:p w14:paraId="40705DB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cs="Times New Roman"/>
                <w:snapToGrid w:val="0"/>
                <w:color w:val="auto"/>
                <w:kern w:val="21"/>
                <w:sz w:val="24"/>
                <w:szCs w:val="24"/>
                <w:lang w:val="en-US" w:eastAsia="zh-CN"/>
              </w:rPr>
              <w:t>0</w:t>
            </w:r>
          </w:p>
        </w:tc>
        <w:tc>
          <w:tcPr>
            <w:tcW w:w="1455" w:type="dxa"/>
            <w:noWrap w:val="0"/>
            <w:vAlign w:val="center"/>
          </w:tcPr>
          <w:p w14:paraId="3B4A954F">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1303.4t/a</w:t>
            </w:r>
          </w:p>
        </w:tc>
        <w:tc>
          <w:tcPr>
            <w:tcW w:w="1514" w:type="dxa"/>
            <w:noWrap w:val="0"/>
            <w:vAlign w:val="center"/>
          </w:tcPr>
          <w:p w14:paraId="6F48F573">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+1300t/a</w:t>
            </w:r>
          </w:p>
        </w:tc>
      </w:tr>
      <w:tr w14:paraId="5C42BA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7FA94D17">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441ED36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olor w:val="auto"/>
                <w:kern w:val="0"/>
                <w:sz w:val="24"/>
                <w:szCs w:val="24"/>
                <w:lang w:eastAsia="zh-CN"/>
              </w:rPr>
              <w:t>不合格品</w:t>
            </w:r>
          </w:p>
        </w:tc>
        <w:tc>
          <w:tcPr>
            <w:tcW w:w="1701" w:type="dxa"/>
            <w:noWrap w:val="0"/>
            <w:vAlign w:val="center"/>
          </w:tcPr>
          <w:p w14:paraId="6FA7DD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cs="Times New Roman"/>
                <w:snapToGrid w:val="0"/>
                <w:color w:val="auto"/>
                <w:kern w:val="21"/>
                <w:sz w:val="24"/>
                <w:szCs w:val="24"/>
                <w:lang w:val="en-US" w:eastAsia="zh-CN"/>
              </w:rPr>
            </w:pPr>
            <w:r>
              <w:rPr>
                <w:rFonts w:hint="eastAsia" w:cs="Times New Roman" w:eastAsiaTheme="minorEastAsia"/>
                <w:color w:val="auto"/>
                <w:sz w:val="24"/>
                <w:szCs w:val="24"/>
                <w:lang w:val="en-US" w:eastAsia="zh-CN"/>
              </w:rPr>
              <w:t>3</w:t>
            </w:r>
            <w:r>
              <w:rPr>
                <w:rFonts w:hint="eastAsia" w:ascii="Times New Roman" w:cs="Times New Roman"/>
                <w:snapToGrid w:val="0"/>
                <w:color w:val="auto"/>
                <w:kern w:val="21"/>
                <w:sz w:val="24"/>
                <w:szCs w:val="24"/>
                <w:lang w:val="en-US" w:eastAsia="zh-CN"/>
              </w:rPr>
              <w:t>t/a</w:t>
            </w:r>
          </w:p>
        </w:tc>
        <w:tc>
          <w:tcPr>
            <w:tcW w:w="1276" w:type="dxa"/>
            <w:noWrap w:val="0"/>
            <w:vAlign w:val="center"/>
          </w:tcPr>
          <w:p w14:paraId="54D20789">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63575E0F">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79BDB0D1">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cs="Times New Roman"/>
                <w:snapToGrid w:val="0"/>
                <w:color w:val="auto"/>
                <w:kern w:val="21"/>
                <w:sz w:val="24"/>
                <w:szCs w:val="24"/>
                <w:lang w:val="en-US" w:eastAsia="zh-CN"/>
              </w:rPr>
            </w:pPr>
            <w:r>
              <w:rPr>
                <w:rFonts w:hint="eastAsia" w:ascii="Times New Roman" w:hAnsi="Times New Roman" w:eastAsia="宋体" w:cs="Times New Roman"/>
                <w:color w:val="auto"/>
                <w:sz w:val="24"/>
                <w:szCs w:val="24"/>
                <w:vertAlign w:val="baseline"/>
                <w:lang w:val="en-US" w:eastAsia="zh-CN"/>
              </w:rPr>
              <w:t>/</w:t>
            </w:r>
          </w:p>
        </w:tc>
        <w:tc>
          <w:tcPr>
            <w:tcW w:w="1577" w:type="dxa"/>
            <w:noWrap w:val="0"/>
            <w:vAlign w:val="center"/>
          </w:tcPr>
          <w:p w14:paraId="240CAB3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56FD1CE5">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cs="Times New Roman"/>
                <w:snapToGrid w:val="0"/>
                <w:color w:val="auto"/>
                <w:kern w:val="21"/>
                <w:sz w:val="24"/>
                <w:szCs w:val="24"/>
                <w:lang w:val="en-US" w:eastAsia="zh-CN"/>
              </w:rPr>
            </w:pPr>
            <w:r>
              <w:rPr>
                <w:rFonts w:hint="eastAsia" w:ascii="Times New Roman" w:hAnsi="Times New Roman" w:eastAsia="宋体" w:cs="Times New Roman"/>
                <w:color w:val="auto"/>
                <w:sz w:val="24"/>
                <w:szCs w:val="24"/>
                <w:vertAlign w:val="baseline"/>
                <w:lang w:val="en-US" w:eastAsia="zh-CN"/>
              </w:rPr>
              <w:t>3</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2C85C5F1">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cs="Times New Roman"/>
                <w:snapToGrid w:val="0"/>
                <w:color w:val="auto"/>
                <w:kern w:val="21"/>
                <w:sz w:val="24"/>
                <w:szCs w:val="24"/>
                <w:lang w:val="en-US" w:eastAsia="zh-CN"/>
              </w:rPr>
            </w:pPr>
            <w:r>
              <w:rPr>
                <w:rFonts w:hint="eastAsia" w:ascii="Times New Roman" w:hAnsi="Times New Roman" w:eastAsia="宋体" w:cs="Times New Roman"/>
                <w:color w:val="auto"/>
                <w:sz w:val="24"/>
                <w:szCs w:val="24"/>
                <w:vertAlign w:val="baseline"/>
                <w:lang w:val="en-US" w:eastAsia="zh-CN"/>
              </w:rPr>
              <w:t>/</w:t>
            </w:r>
          </w:p>
        </w:tc>
      </w:tr>
      <w:tr w14:paraId="5657BF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59A4C009">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550F64B9">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bCs/>
                <w:color w:val="auto"/>
                <w:sz w:val="24"/>
                <w:szCs w:val="24"/>
              </w:rPr>
            </w:pPr>
            <w:r>
              <w:rPr>
                <w:rFonts w:hint="eastAsia"/>
                <w:color w:val="auto"/>
                <w:kern w:val="0"/>
                <w:sz w:val="24"/>
                <w:szCs w:val="24"/>
                <w:lang w:eastAsia="zh-CN"/>
              </w:rPr>
              <w:t>除尘器收集粉尘</w:t>
            </w:r>
          </w:p>
        </w:tc>
        <w:tc>
          <w:tcPr>
            <w:tcW w:w="1701" w:type="dxa"/>
            <w:noWrap w:val="0"/>
            <w:vAlign w:val="center"/>
          </w:tcPr>
          <w:p w14:paraId="0A6055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cs="Times New Roman"/>
                <w:snapToGrid w:val="0"/>
                <w:color w:val="auto"/>
                <w:kern w:val="21"/>
                <w:sz w:val="24"/>
                <w:szCs w:val="24"/>
                <w:lang w:val="en-US" w:eastAsia="zh-CN"/>
              </w:rPr>
            </w:pPr>
            <w:r>
              <w:rPr>
                <w:rFonts w:hint="eastAsia" w:cs="Times New Roman" w:eastAsiaTheme="minorEastAsia"/>
                <w:color w:val="auto"/>
                <w:sz w:val="24"/>
                <w:szCs w:val="24"/>
                <w:lang w:val="en-US" w:eastAsia="zh-CN"/>
              </w:rPr>
              <w:t>54.54</w:t>
            </w:r>
            <w:r>
              <w:rPr>
                <w:rFonts w:hint="eastAsia" w:ascii="Times New Roman" w:cs="Times New Roman"/>
                <w:snapToGrid w:val="0"/>
                <w:color w:val="auto"/>
                <w:kern w:val="21"/>
                <w:sz w:val="24"/>
                <w:szCs w:val="24"/>
                <w:lang w:val="en-US" w:eastAsia="zh-CN"/>
              </w:rPr>
              <w:t>t/a</w:t>
            </w:r>
          </w:p>
        </w:tc>
        <w:tc>
          <w:tcPr>
            <w:tcW w:w="1276" w:type="dxa"/>
            <w:noWrap w:val="0"/>
            <w:vAlign w:val="center"/>
          </w:tcPr>
          <w:p w14:paraId="38374E6C">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740545D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32186AB0">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cs="Times New Roman"/>
                <w:snapToGrid w:val="0"/>
                <w:color w:val="auto"/>
                <w:kern w:val="21"/>
                <w:sz w:val="24"/>
                <w:szCs w:val="24"/>
                <w:lang w:val="en-US" w:eastAsia="zh-CN"/>
              </w:rPr>
            </w:pPr>
            <w:r>
              <w:rPr>
                <w:rFonts w:hint="eastAsia" w:ascii="Times New Roman" w:hAnsi="Times New Roman" w:eastAsia="宋体" w:cs="Times New Roman"/>
                <w:color w:val="auto"/>
                <w:sz w:val="24"/>
                <w:szCs w:val="24"/>
                <w:vertAlign w:val="baseline"/>
                <w:lang w:val="en-US" w:eastAsia="zh-CN"/>
              </w:rPr>
              <w:t>12</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63FF2B1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4190BD90">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cs="Times New Roman"/>
                <w:snapToGrid w:val="0"/>
                <w:color w:val="auto"/>
                <w:kern w:val="21"/>
                <w:sz w:val="24"/>
                <w:szCs w:val="24"/>
                <w:lang w:val="en-US" w:eastAsia="zh-CN"/>
              </w:rPr>
            </w:pPr>
            <w:r>
              <w:rPr>
                <w:rFonts w:hint="eastAsia" w:ascii="Times New Roman" w:hAnsi="Times New Roman" w:eastAsia="宋体" w:cs="Times New Roman"/>
                <w:color w:val="auto"/>
                <w:sz w:val="24"/>
                <w:szCs w:val="24"/>
                <w:vertAlign w:val="baseline"/>
                <w:lang w:val="en-US" w:eastAsia="zh-CN"/>
              </w:rPr>
              <w:t>66.54</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1F467639">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cs="Times New Roman"/>
                <w:snapToGrid w:val="0"/>
                <w:color w:val="auto"/>
                <w:kern w:val="21"/>
                <w:sz w:val="24"/>
                <w:szCs w:val="24"/>
                <w:lang w:val="en-US" w:eastAsia="zh-CN"/>
              </w:rPr>
            </w:pPr>
            <w:r>
              <w:rPr>
                <w:rFonts w:hint="eastAsia" w:ascii="Times New Roman" w:hAnsi="Times New Roman" w:eastAsia="宋体" w:cs="Times New Roman"/>
                <w:color w:val="auto"/>
                <w:sz w:val="24"/>
                <w:szCs w:val="24"/>
                <w:vertAlign w:val="baseline"/>
                <w:lang w:val="en-US" w:eastAsia="zh-CN"/>
              </w:rPr>
              <w:t>+12</w:t>
            </w:r>
            <w:r>
              <w:rPr>
                <w:rFonts w:hint="eastAsia" w:ascii="Times New Roman" w:cs="Times New Roman"/>
                <w:snapToGrid w:val="0"/>
                <w:color w:val="auto"/>
                <w:kern w:val="21"/>
                <w:sz w:val="24"/>
                <w:szCs w:val="24"/>
                <w:lang w:val="en-US" w:eastAsia="zh-CN"/>
              </w:rPr>
              <w:t>t/a</w:t>
            </w:r>
          </w:p>
        </w:tc>
      </w:tr>
      <w:tr w14:paraId="3CE8C4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7C4E38ED">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4817F53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bCs/>
                <w:color w:val="auto"/>
                <w:sz w:val="24"/>
                <w:szCs w:val="24"/>
              </w:rPr>
            </w:pPr>
            <w:r>
              <w:rPr>
                <w:rFonts w:hint="eastAsia"/>
                <w:color w:val="auto"/>
                <w:kern w:val="0"/>
                <w:sz w:val="24"/>
                <w:szCs w:val="24"/>
                <w:lang w:eastAsia="zh-CN"/>
              </w:rPr>
              <w:t>废包装物</w:t>
            </w:r>
          </w:p>
        </w:tc>
        <w:tc>
          <w:tcPr>
            <w:tcW w:w="1701" w:type="dxa"/>
            <w:noWrap w:val="0"/>
            <w:vAlign w:val="center"/>
          </w:tcPr>
          <w:p w14:paraId="1643BA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cs="Times New Roman"/>
                <w:snapToGrid w:val="0"/>
                <w:color w:val="auto"/>
                <w:kern w:val="21"/>
                <w:sz w:val="24"/>
                <w:szCs w:val="24"/>
                <w:lang w:val="en-US" w:eastAsia="zh-CN"/>
              </w:rPr>
            </w:pPr>
            <w:r>
              <w:rPr>
                <w:rFonts w:hint="eastAsia" w:cs="Times New Roman" w:eastAsiaTheme="minorEastAsia"/>
                <w:color w:val="auto"/>
                <w:sz w:val="24"/>
                <w:szCs w:val="24"/>
                <w:lang w:val="en-US" w:eastAsia="zh-CN"/>
              </w:rPr>
              <w:t>0.2</w:t>
            </w:r>
            <w:r>
              <w:rPr>
                <w:rFonts w:hint="eastAsia" w:ascii="Times New Roman" w:cs="Times New Roman"/>
                <w:snapToGrid w:val="0"/>
                <w:color w:val="auto"/>
                <w:kern w:val="21"/>
                <w:sz w:val="24"/>
                <w:szCs w:val="24"/>
                <w:lang w:val="en-US" w:eastAsia="zh-CN"/>
              </w:rPr>
              <w:t>t/a</w:t>
            </w:r>
          </w:p>
        </w:tc>
        <w:tc>
          <w:tcPr>
            <w:tcW w:w="1276" w:type="dxa"/>
            <w:noWrap w:val="0"/>
            <w:vAlign w:val="center"/>
          </w:tcPr>
          <w:p w14:paraId="52BB94CC">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5EDA77C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41DFFEF5">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Cs/>
                <w:color w:val="auto"/>
                <w:sz w:val="24"/>
                <w:szCs w:val="24"/>
                <w:lang w:val="en-US" w:eastAsia="zh-CN"/>
              </w:rPr>
            </w:pPr>
            <w:r>
              <w:rPr>
                <w:rFonts w:hint="eastAsia" w:ascii="Times New Roman" w:hAnsi="Times New Roman" w:eastAsia="宋体" w:cs="Times New Roman"/>
                <w:color w:val="auto"/>
                <w:sz w:val="24"/>
                <w:szCs w:val="24"/>
                <w:vertAlign w:val="baseline"/>
                <w:lang w:val="en-US" w:eastAsia="zh-CN"/>
              </w:rPr>
              <w:t>0.3</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0F93E84D">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76DCDC3D">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Cs/>
                <w:color w:val="auto"/>
                <w:sz w:val="24"/>
                <w:szCs w:val="24"/>
                <w:lang w:val="en-US" w:eastAsia="zh-CN"/>
              </w:rPr>
            </w:pPr>
            <w:r>
              <w:rPr>
                <w:rFonts w:hint="eastAsia" w:ascii="Times New Roman" w:hAnsi="Times New Roman" w:eastAsia="宋体" w:cs="Times New Roman"/>
                <w:color w:val="auto"/>
                <w:sz w:val="24"/>
                <w:szCs w:val="24"/>
                <w:vertAlign w:val="baseline"/>
                <w:lang w:val="en-US" w:eastAsia="zh-CN"/>
              </w:rPr>
              <w:t>0.5</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4E116514">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Cs/>
                <w:color w:val="auto"/>
                <w:sz w:val="24"/>
                <w:szCs w:val="24"/>
                <w:lang w:val="en-US" w:eastAsia="zh-CN"/>
              </w:rPr>
            </w:pPr>
            <w:r>
              <w:rPr>
                <w:rFonts w:hint="eastAsia" w:ascii="Times New Roman" w:hAnsi="Times New Roman" w:eastAsia="宋体" w:cs="Times New Roman"/>
                <w:color w:val="auto"/>
                <w:sz w:val="24"/>
                <w:szCs w:val="24"/>
                <w:vertAlign w:val="baseline"/>
                <w:lang w:val="en-US" w:eastAsia="zh-CN"/>
              </w:rPr>
              <w:t>+0.3</w:t>
            </w:r>
            <w:r>
              <w:rPr>
                <w:rFonts w:hint="eastAsia" w:ascii="Times New Roman" w:cs="Times New Roman"/>
                <w:snapToGrid w:val="0"/>
                <w:color w:val="auto"/>
                <w:kern w:val="21"/>
                <w:sz w:val="24"/>
                <w:szCs w:val="24"/>
                <w:lang w:val="en-US" w:eastAsia="zh-CN"/>
              </w:rPr>
              <w:t>t/a</w:t>
            </w:r>
          </w:p>
        </w:tc>
      </w:tr>
      <w:tr w14:paraId="78B547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restart"/>
            <w:noWrap w:val="0"/>
            <w:vAlign w:val="center"/>
          </w:tcPr>
          <w:p w14:paraId="5D2E181D">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r>
              <w:rPr>
                <w:rFonts w:hint="default" w:ascii="Times New Roman" w:hAnsi="Times New Roman" w:eastAsia="宋体" w:cs="Times New Roman"/>
                <w:snapToGrid w:val="0"/>
                <w:color w:val="auto"/>
                <w:kern w:val="21"/>
                <w:sz w:val="24"/>
                <w:szCs w:val="24"/>
              </w:rPr>
              <w:t>危险废物</w:t>
            </w:r>
          </w:p>
        </w:tc>
        <w:tc>
          <w:tcPr>
            <w:tcW w:w="1417" w:type="dxa"/>
            <w:noWrap w:val="0"/>
            <w:vAlign w:val="center"/>
          </w:tcPr>
          <w:p w14:paraId="163FA98D">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lang w:val="en-US" w:eastAsia="zh-CN"/>
              </w:rPr>
            </w:pPr>
            <w:r>
              <w:rPr>
                <w:rFonts w:hint="eastAsia"/>
                <w:color w:val="auto"/>
                <w:sz w:val="24"/>
                <w:szCs w:val="24"/>
                <w:lang w:eastAsia="zh-CN"/>
              </w:rPr>
              <w:t>废活性炭</w:t>
            </w:r>
          </w:p>
        </w:tc>
        <w:tc>
          <w:tcPr>
            <w:tcW w:w="1701" w:type="dxa"/>
            <w:noWrap w:val="0"/>
            <w:vAlign w:val="center"/>
          </w:tcPr>
          <w:p w14:paraId="339322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napToGrid w:val="0"/>
                <w:color w:val="auto"/>
                <w:kern w:val="21"/>
                <w:sz w:val="24"/>
                <w:szCs w:val="24"/>
              </w:rPr>
            </w:pPr>
            <w:r>
              <w:rPr>
                <w:rFonts w:hint="eastAsia" w:cs="Times New Roman"/>
                <w:b w:val="0"/>
                <w:bCs w:val="0"/>
                <w:color w:val="auto"/>
                <w:kern w:val="2"/>
                <w:sz w:val="24"/>
                <w:szCs w:val="24"/>
                <w:highlight w:val="none"/>
                <w:vertAlign w:val="baseline"/>
                <w:lang w:val="en-US" w:eastAsia="zh-CN" w:bidi="ar-SA"/>
              </w:rPr>
              <w:t>36.576</w:t>
            </w:r>
            <w:r>
              <w:rPr>
                <w:rFonts w:hint="eastAsia" w:ascii="Times New Roman" w:cs="Times New Roman"/>
                <w:snapToGrid w:val="0"/>
                <w:color w:val="auto"/>
                <w:kern w:val="21"/>
                <w:sz w:val="24"/>
                <w:szCs w:val="24"/>
                <w:lang w:val="en-US" w:eastAsia="zh-CN"/>
              </w:rPr>
              <w:t>t/a</w:t>
            </w:r>
          </w:p>
        </w:tc>
        <w:tc>
          <w:tcPr>
            <w:tcW w:w="1276" w:type="dxa"/>
            <w:noWrap w:val="0"/>
            <w:vAlign w:val="center"/>
          </w:tcPr>
          <w:p w14:paraId="71B1175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476F87E4">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4141ECDE">
            <w:pPr>
              <w:keepNext w:val="0"/>
              <w:keepLines w:val="0"/>
              <w:pageBreakBefore w:val="0"/>
              <w:widowControl w:val="0"/>
              <w:kinsoku/>
              <w:wordWrap/>
              <w:overflowPunct/>
              <w:topLinePunct w:val="0"/>
              <w:autoSpaceDE/>
              <w:autoSpaceDN/>
              <w:bidi w:val="0"/>
              <w:adjustRightInd w:val="0"/>
              <w:snapToGrid w:val="0"/>
              <w:spacing w:line="240" w:lineRule="auto"/>
              <w:ind w:left="-63" w:leftChars="-30" w:right="-63" w:rightChars="-30" w:firstLine="0"/>
              <w:jc w:val="center"/>
              <w:rPr>
                <w:rFonts w:hint="default" w:ascii="Times New Roman" w:hAnsi="Times New Roman" w:eastAsia="宋体" w:cs="Times New Roman"/>
                <w:snapToGrid w:val="0"/>
                <w:color w:val="auto"/>
                <w:kern w:val="21"/>
                <w:sz w:val="24"/>
                <w:szCs w:val="24"/>
                <w:lang w:val="en-US" w:eastAsia="zh-CN"/>
              </w:rPr>
            </w:pPr>
            <w:r>
              <w:rPr>
                <w:rFonts w:hint="eastAsia" w:cs="Times New Roman"/>
                <w:color w:val="auto"/>
                <w:sz w:val="24"/>
                <w:szCs w:val="24"/>
                <w:vertAlign w:val="baseline"/>
                <w:lang w:val="en-US" w:eastAsia="zh-CN"/>
              </w:rPr>
              <w:t>2</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6D3CAF1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snapToGrid w:val="0"/>
                <w:color w:val="auto"/>
                <w:kern w:val="21"/>
                <w:sz w:val="24"/>
                <w:szCs w:val="24"/>
              </w:rPr>
            </w:pPr>
            <w:r>
              <w:rPr>
                <w:rFonts w:hint="eastAsia" w:cs="Times New Roman"/>
                <w:snapToGrid w:val="0"/>
                <w:color w:val="auto"/>
                <w:kern w:val="21"/>
                <w:sz w:val="24"/>
                <w:szCs w:val="24"/>
                <w:lang w:val="en-US" w:eastAsia="zh-CN"/>
              </w:rPr>
              <w:t>0</w:t>
            </w:r>
          </w:p>
        </w:tc>
        <w:tc>
          <w:tcPr>
            <w:tcW w:w="1455" w:type="dxa"/>
            <w:noWrap w:val="0"/>
            <w:vAlign w:val="center"/>
          </w:tcPr>
          <w:p w14:paraId="5BBC75A3">
            <w:pPr>
              <w:keepNext w:val="0"/>
              <w:keepLines w:val="0"/>
              <w:pageBreakBefore w:val="0"/>
              <w:widowControl w:val="0"/>
              <w:kinsoku/>
              <w:wordWrap/>
              <w:overflowPunct/>
              <w:topLinePunct w:val="0"/>
              <w:autoSpaceDE/>
              <w:autoSpaceDN/>
              <w:bidi w:val="0"/>
              <w:adjustRightInd w:val="0"/>
              <w:snapToGrid w:val="0"/>
              <w:spacing w:line="240" w:lineRule="auto"/>
              <w:ind w:left="-63" w:leftChars="-30" w:right="-63" w:rightChars="-30" w:firstLine="0"/>
              <w:jc w:val="center"/>
              <w:rPr>
                <w:rFonts w:hint="default" w:ascii="Times New Roman" w:hAnsi="Times New Roman" w:eastAsia="宋体" w:cs="Times New Roman"/>
                <w:snapToGrid w:val="0"/>
                <w:color w:val="auto"/>
                <w:kern w:val="21"/>
                <w:sz w:val="24"/>
                <w:szCs w:val="24"/>
              </w:rPr>
            </w:pPr>
            <w:r>
              <w:rPr>
                <w:rFonts w:hint="eastAsia" w:cs="Times New Roman"/>
                <w:color w:val="auto"/>
                <w:sz w:val="24"/>
                <w:szCs w:val="24"/>
                <w:vertAlign w:val="baseline"/>
                <w:lang w:val="en-US" w:eastAsia="zh-CN"/>
              </w:rPr>
              <w:t>38.576</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1F34218F">
            <w:pPr>
              <w:keepNext w:val="0"/>
              <w:keepLines w:val="0"/>
              <w:pageBreakBefore w:val="0"/>
              <w:widowControl w:val="0"/>
              <w:kinsoku/>
              <w:wordWrap/>
              <w:overflowPunct/>
              <w:topLinePunct w:val="0"/>
              <w:autoSpaceDE/>
              <w:autoSpaceDN/>
              <w:bidi w:val="0"/>
              <w:adjustRightInd w:val="0"/>
              <w:snapToGrid w:val="0"/>
              <w:spacing w:line="240" w:lineRule="auto"/>
              <w:ind w:left="-63" w:leftChars="-30" w:right="-63" w:rightChars="-30" w:firstLine="0"/>
              <w:jc w:val="center"/>
              <w:rPr>
                <w:rFonts w:hint="default" w:ascii="Times New Roman" w:hAnsi="Times New Roman" w:eastAsia="宋体" w:cs="Times New Roman"/>
                <w:snapToGrid w:val="0"/>
                <w:color w:val="auto"/>
                <w:kern w:val="21"/>
                <w:sz w:val="24"/>
                <w:szCs w:val="24"/>
              </w:rPr>
            </w:pPr>
            <w:r>
              <w:rPr>
                <w:rFonts w:hint="eastAsia" w:cs="Times New Roman"/>
                <w:color w:val="auto"/>
                <w:sz w:val="24"/>
                <w:szCs w:val="24"/>
                <w:shd w:val="clear" w:color="auto" w:fill="auto"/>
                <w:vertAlign w:val="baseline"/>
                <w:lang w:val="en-US" w:eastAsia="zh-CN"/>
              </w:rPr>
              <w:t>+2</w:t>
            </w:r>
            <w:r>
              <w:rPr>
                <w:rFonts w:hint="eastAsia" w:ascii="Times New Roman" w:cs="Times New Roman"/>
                <w:snapToGrid w:val="0"/>
                <w:color w:val="auto"/>
                <w:kern w:val="21"/>
                <w:sz w:val="24"/>
                <w:szCs w:val="24"/>
                <w:lang w:val="en-US" w:eastAsia="zh-CN"/>
              </w:rPr>
              <w:t>t/a</w:t>
            </w:r>
          </w:p>
        </w:tc>
      </w:tr>
      <w:tr w14:paraId="502B58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2E40B3B2">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2F8DDC2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cs="Times New Roman"/>
                <w:snapToGrid w:val="0"/>
                <w:color w:val="auto"/>
                <w:kern w:val="21"/>
                <w:sz w:val="24"/>
                <w:szCs w:val="24"/>
                <w:lang w:val="en-US" w:eastAsia="zh-CN"/>
              </w:rPr>
            </w:pPr>
            <w:r>
              <w:rPr>
                <w:rFonts w:hint="eastAsia"/>
                <w:color w:val="auto"/>
                <w:sz w:val="24"/>
                <w:szCs w:val="24"/>
                <w:lang w:eastAsia="zh-CN"/>
              </w:rPr>
              <w:t>废机油</w:t>
            </w:r>
          </w:p>
        </w:tc>
        <w:tc>
          <w:tcPr>
            <w:tcW w:w="1701" w:type="dxa"/>
            <w:noWrap w:val="0"/>
            <w:vAlign w:val="center"/>
          </w:tcPr>
          <w:p w14:paraId="48ECFC4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Times New Roman" w:cs="Times New Roman"/>
                <w:snapToGrid w:val="0"/>
                <w:color w:val="auto"/>
                <w:kern w:val="21"/>
                <w:sz w:val="24"/>
                <w:szCs w:val="24"/>
                <w:lang w:val="en-US" w:eastAsia="zh-CN"/>
              </w:rPr>
            </w:pPr>
            <w:r>
              <w:rPr>
                <w:rFonts w:hint="eastAsia" w:cs="Times New Roman"/>
                <w:b w:val="0"/>
                <w:bCs w:val="0"/>
                <w:color w:val="auto"/>
                <w:kern w:val="2"/>
                <w:sz w:val="24"/>
                <w:szCs w:val="24"/>
                <w:highlight w:val="none"/>
                <w:vertAlign w:val="baseline"/>
                <w:lang w:val="en-US" w:eastAsia="zh-CN" w:bidi="ar-SA"/>
              </w:rPr>
              <w:t>0.05</w:t>
            </w:r>
            <w:r>
              <w:rPr>
                <w:rFonts w:hint="eastAsia" w:ascii="Times New Roman" w:cs="Times New Roman"/>
                <w:snapToGrid w:val="0"/>
                <w:color w:val="auto"/>
                <w:kern w:val="21"/>
                <w:sz w:val="24"/>
                <w:szCs w:val="24"/>
                <w:lang w:val="en-US" w:eastAsia="zh-CN"/>
              </w:rPr>
              <w:t>t/a</w:t>
            </w:r>
          </w:p>
        </w:tc>
        <w:tc>
          <w:tcPr>
            <w:tcW w:w="1276" w:type="dxa"/>
            <w:noWrap w:val="0"/>
            <w:vAlign w:val="center"/>
          </w:tcPr>
          <w:p w14:paraId="069DCA1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1D9B023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372E0218">
            <w:pPr>
              <w:keepNext w:val="0"/>
              <w:keepLines w:val="0"/>
              <w:pageBreakBefore w:val="0"/>
              <w:widowControl w:val="0"/>
              <w:kinsoku/>
              <w:wordWrap/>
              <w:overflowPunct/>
              <w:topLinePunct w:val="0"/>
              <w:autoSpaceDE/>
              <w:autoSpaceDN/>
              <w:bidi w:val="0"/>
              <w:adjustRightInd w:val="0"/>
              <w:snapToGrid w:val="0"/>
              <w:spacing w:line="240" w:lineRule="auto"/>
              <w:ind w:left="-63" w:leftChars="-30" w:right="-63" w:rightChars="-30" w:firstLine="0"/>
              <w:jc w:val="center"/>
              <w:rPr>
                <w:rFonts w:hint="default" w:ascii="Times New Roman" w:cs="Times New Roman"/>
                <w:snapToGrid w:val="0"/>
                <w:color w:val="auto"/>
                <w:kern w:val="21"/>
                <w:sz w:val="24"/>
                <w:szCs w:val="24"/>
                <w:lang w:val="en-US" w:eastAsia="zh-CN"/>
              </w:rPr>
            </w:pPr>
            <w:r>
              <w:rPr>
                <w:rFonts w:hint="eastAsia" w:cs="Times New Roman"/>
                <w:color w:val="auto"/>
                <w:sz w:val="24"/>
                <w:szCs w:val="24"/>
                <w:vertAlign w:val="baseline"/>
                <w:lang w:val="en-US" w:eastAsia="zh-CN"/>
              </w:rPr>
              <w:t>/</w:t>
            </w:r>
          </w:p>
        </w:tc>
        <w:tc>
          <w:tcPr>
            <w:tcW w:w="1577" w:type="dxa"/>
            <w:noWrap w:val="0"/>
            <w:vAlign w:val="center"/>
          </w:tcPr>
          <w:p w14:paraId="323334BA">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5A5C401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Times New Roman" w:cs="Times New Roman"/>
                <w:snapToGrid w:val="0"/>
                <w:color w:val="auto"/>
                <w:kern w:val="21"/>
                <w:sz w:val="24"/>
                <w:szCs w:val="24"/>
                <w:lang w:val="en-US" w:eastAsia="zh-CN"/>
              </w:rPr>
            </w:pPr>
            <w:r>
              <w:rPr>
                <w:rFonts w:hint="eastAsia" w:cs="Times New Roman"/>
                <w:b w:val="0"/>
                <w:bCs w:val="0"/>
                <w:color w:val="auto"/>
                <w:kern w:val="2"/>
                <w:sz w:val="24"/>
                <w:szCs w:val="24"/>
                <w:highlight w:val="none"/>
                <w:vertAlign w:val="baseline"/>
                <w:lang w:val="en-US" w:eastAsia="zh-CN" w:bidi="ar-SA"/>
              </w:rPr>
              <w:t>0.05</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6AEDF926">
            <w:pPr>
              <w:keepNext w:val="0"/>
              <w:keepLines w:val="0"/>
              <w:pageBreakBefore w:val="0"/>
              <w:widowControl w:val="0"/>
              <w:kinsoku/>
              <w:wordWrap/>
              <w:overflowPunct/>
              <w:topLinePunct w:val="0"/>
              <w:autoSpaceDE/>
              <w:autoSpaceDN/>
              <w:bidi w:val="0"/>
              <w:adjustRightInd w:val="0"/>
              <w:snapToGrid w:val="0"/>
              <w:spacing w:line="240" w:lineRule="auto"/>
              <w:ind w:left="-63" w:leftChars="-30" w:right="-63" w:rightChars="-30" w:firstLine="0"/>
              <w:jc w:val="center"/>
              <w:rPr>
                <w:rFonts w:hint="eastAsia" w:ascii="Times New Roman" w:cs="Times New Roman"/>
                <w:snapToGrid w:val="0"/>
                <w:color w:val="auto"/>
                <w:kern w:val="21"/>
                <w:sz w:val="24"/>
                <w:szCs w:val="24"/>
                <w:lang w:val="en-US" w:eastAsia="zh-CN"/>
              </w:rPr>
            </w:pPr>
            <w:r>
              <w:rPr>
                <w:rFonts w:hint="eastAsia" w:cs="Times New Roman"/>
                <w:color w:val="auto"/>
                <w:sz w:val="24"/>
                <w:szCs w:val="24"/>
                <w:shd w:val="clear" w:color="auto" w:fill="auto"/>
                <w:vertAlign w:val="baseline"/>
                <w:lang w:val="en-US" w:eastAsia="zh-CN"/>
              </w:rPr>
              <w:t>+0</w:t>
            </w:r>
          </w:p>
        </w:tc>
      </w:tr>
      <w:tr w14:paraId="5992CF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20C7F147">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4E65DC2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hAnsi="Times New Roman" w:eastAsia="宋体" w:cs="Times New Roman"/>
                <w:bCs/>
                <w:color w:val="auto"/>
                <w:kern w:val="0"/>
                <w:sz w:val="24"/>
                <w:szCs w:val="24"/>
                <w:vertAlign w:val="baseline"/>
                <w:lang w:val="en-US" w:eastAsia="zh-CN"/>
              </w:rPr>
            </w:pPr>
            <w:r>
              <w:rPr>
                <w:rFonts w:hint="eastAsia"/>
                <w:color w:val="auto"/>
                <w:sz w:val="24"/>
                <w:szCs w:val="24"/>
                <w:lang w:eastAsia="zh-CN"/>
              </w:rPr>
              <w:t>废机油桶</w:t>
            </w:r>
          </w:p>
        </w:tc>
        <w:tc>
          <w:tcPr>
            <w:tcW w:w="1701" w:type="dxa"/>
            <w:noWrap w:val="0"/>
            <w:vAlign w:val="center"/>
          </w:tcPr>
          <w:p w14:paraId="1C33BE8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Times New Roman" w:cs="Times New Roman"/>
                <w:snapToGrid w:val="0"/>
                <w:color w:val="auto"/>
                <w:kern w:val="21"/>
                <w:sz w:val="24"/>
                <w:szCs w:val="24"/>
                <w:lang w:val="en-US" w:eastAsia="zh-CN"/>
              </w:rPr>
            </w:pPr>
            <w:r>
              <w:rPr>
                <w:rFonts w:hint="eastAsia" w:cs="Times New Roman"/>
                <w:color w:val="auto"/>
                <w:kern w:val="0"/>
                <w:sz w:val="24"/>
                <w:szCs w:val="24"/>
                <w:lang w:val="en-US" w:eastAsia="zh-CN" w:bidi="ar-SA"/>
              </w:rPr>
              <w:t>0.02</w:t>
            </w:r>
            <w:r>
              <w:rPr>
                <w:rFonts w:hint="eastAsia" w:ascii="Times New Roman" w:cs="Times New Roman"/>
                <w:snapToGrid w:val="0"/>
                <w:color w:val="auto"/>
                <w:kern w:val="21"/>
                <w:sz w:val="24"/>
                <w:szCs w:val="24"/>
                <w:lang w:val="en-US" w:eastAsia="zh-CN"/>
              </w:rPr>
              <w:t>t/a</w:t>
            </w:r>
          </w:p>
        </w:tc>
        <w:tc>
          <w:tcPr>
            <w:tcW w:w="1276" w:type="dxa"/>
            <w:noWrap w:val="0"/>
            <w:vAlign w:val="center"/>
          </w:tcPr>
          <w:p w14:paraId="63F20AEB">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64188F15">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304E598F">
            <w:pPr>
              <w:keepNext w:val="0"/>
              <w:keepLines w:val="0"/>
              <w:pageBreakBefore w:val="0"/>
              <w:widowControl w:val="0"/>
              <w:kinsoku/>
              <w:wordWrap/>
              <w:overflowPunct/>
              <w:topLinePunct w:val="0"/>
              <w:autoSpaceDE/>
              <w:autoSpaceDN/>
              <w:bidi w:val="0"/>
              <w:adjustRightInd w:val="0"/>
              <w:snapToGrid w:val="0"/>
              <w:spacing w:line="240" w:lineRule="auto"/>
              <w:ind w:left="-63" w:leftChars="-30" w:right="-63" w:rightChars="-30" w:firstLine="0"/>
              <w:jc w:val="center"/>
              <w:rPr>
                <w:rFonts w:hint="default"/>
                <w:bCs/>
                <w:color w:val="auto"/>
                <w:sz w:val="24"/>
                <w:szCs w:val="24"/>
                <w:lang w:val="en-US" w:eastAsia="zh-CN"/>
              </w:rPr>
            </w:pPr>
            <w:r>
              <w:rPr>
                <w:rFonts w:hint="eastAsia"/>
                <w:bCs/>
                <w:color w:val="auto"/>
                <w:sz w:val="24"/>
                <w:szCs w:val="24"/>
                <w:lang w:val="en-US" w:eastAsia="zh-CN"/>
              </w:rPr>
              <w:t>/</w:t>
            </w:r>
          </w:p>
        </w:tc>
        <w:tc>
          <w:tcPr>
            <w:tcW w:w="1577" w:type="dxa"/>
            <w:noWrap w:val="0"/>
            <w:vAlign w:val="center"/>
          </w:tcPr>
          <w:p w14:paraId="5CE3A297">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64EC839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bCs/>
                <w:color w:val="auto"/>
                <w:sz w:val="24"/>
                <w:szCs w:val="24"/>
                <w:lang w:val="en-US" w:eastAsia="zh-CN"/>
              </w:rPr>
            </w:pPr>
            <w:r>
              <w:rPr>
                <w:rFonts w:hint="eastAsia" w:cs="Times New Roman"/>
                <w:color w:val="auto"/>
                <w:kern w:val="0"/>
                <w:sz w:val="24"/>
                <w:szCs w:val="24"/>
                <w:lang w:val="en-US" w:eastAsia="zh-CN" w:bidi="ar-SA"/>
              </w:rPr>
              <w:t>0.02</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496CE03A">
            <w:pPr>
              <w:keepNext w:val="0"/>
              <w:keepLines w:val="0"/>
              <w:pageBreakBefore w:val="0"/>
              <w:widowControl w:val="0"/>
              <w:kinsoku/>
              <w:wordWrap/>
              <w:overflowPunct/>
              <w:topLinePunct w:val="0"/>
              <w:autoSpaceDE/>
              <w:autoSpaceDN/>
              <w:bidi w:val="0"/>
              <w:adjustRightInd w:val="0"/>
              <w:snapToGrid w:val="0"/>
              <w:spacing w:line="240" w:lineRule="auto"/>
              <w:ind w:left="-63" w:leftChars="-30" w:right="-63" w:rightChars="-30" w:firstLine="0"/>
              <w:jc w:val="center"/>
              <w:rPr>
                <w:rFonts w:hint="eastAsia"/>
                <w:bCs/>
                <w:color w:val="auto"/>
                <w:sz w:val="24"/>
                <w:szCs w:val="24"/>
                <w:lang w:val="en-US" w:eastAsia="zh-CN"/>
              </w:rPr>
            </w:pPr>
            <w:r>
              <w:rPr>
                <w:rFonts w:hint="eastAsia"/>
                <w:bCs/>
                <w:color w:val="auto"/>
                <w:sz w:val="24"/>
                <w:szCs w:val="24"/>
                <w:lang w:val="en-US" w:eastAsia="zh-CN"/>
              </w:rPr>
              <w:t>+0</w:t>
            </w:r>
          </w:p>
        </w:tc>
      </w:tr>
      <w:tr w14:paraId="3E37AE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0850EEA8">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6B5E7A9F">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cs="Times New Roman"/>
                <w:snapToGrid w:val="0"/>
                <w:color w:val="auto"/>
                <w:kern w:val="21"/>
                <w:sz w:val="24"/>
                <w:szCs w:val="24"/>
                <w:lang w:val="en-US" w:eastAsia="zh-CN"/>
              </w:rPr>
            </w:pPr>
            <w:r>
              <w:rPr>
                <w:rFonts w:hint="eastAsia"/>
                <w:color w:val="auto"/>
                <w:sz w:val="24"/>
                <w:szCs w:val="24"/>
                <w:lang w:eastAsia="zh-CN"/>
              </w:rPr>
              <w:t>废润滑油</w:t>
            </w:r>
          </w:p>
        </w:tc>
        <w:tc>
          <w:tcPr>
            <w:tcW w:w="1701" w:type="dxa"/>
            <w:noWrap w:val="0"/>
            <w:vAlign w:val="center"/>
          </w:tcPr>
          <w:p w14:paraId="73A6919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ascii="Times New Roman" w:cs="Times New Roman"/>
                <w:snapToGrid w:val="0"/>
                <w:color w:val="auto"/>
                <w:kern w:val="21"/>
                <w:sz w:val="24"/>
                <w:szCs w:val="24"/>
                <w:lang w:val="en-US" w:eastAsia="zh-CN"/>
              </w:rPr>
            </w:pPr>
            <w:r>
              <w:rPr>
                <w:rFonts w:hint="eastAsia" w:cs="Times New Roman"/>
                <w:color w:val="auto"/>
                <w:sz w:val="24"/>
                <w:szCs w:val="24"/>
                <w:vertAlign w:val="baseline"/>
                <w:lang w:val="en-US" w:eastAsia="zh-CN"/>
              </w:rPr>
              <w:t>/</w:t>
            </w:r>
          </w:p>
        </w:tc>
        <w:tc>
          <w:tcPr>
            <w:tcW w:w="1276" w:type="dxa"/>
            <w:noWrap w:val="0"/>
            <w:vAlign w:val="center"/>
          </w:tcPr>
          <w:p w14:paraId="7635EE4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296D18D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20616BE7">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ascii="Times New Roman" w:cs="Times New Roman"/>
                <w:b/>
                <w:bCs w:val="0"/>
                <w:snapToGrid w:val="0"/>
                <w:color w:val="auto"/>
                <w:kern w:val="21"/>
                <w:sz w:val="24"/>
                <w:szCs w:val="24"/>
                <w:lang w:val="en-US" w:eastAsia="zh-CN"/>
              </w:rPr>
            </w:pPr>
            <w:r>
              <w:rPr>
                <w:rFonts w:hint="eastAsia" w:eastAsia="宋体" w:cs="Times New Roman"/>
                <w:snapToGrid/>
                <w:color w:val="auto"/>
                <w:spacing w:val="0"/>
                <w:kern w:val="0"/>
                <w:position w:val="0"/>
                <w:sz w:val="24"/>
                <w:szCs w:val="24"/>
                <w:lang w:val="en-US" w:eastAsia="zh-CN"/>
              </w:rPr>
              <w:t>0.1</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5E2119CC">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05337105">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color w:val="auto"/>
                <w:sz w:val="24"/>
                <w:szCs w:val="24"/>
                <w:vertAlign w:val="baseline"/>
                <w:lang w:val="en-US" w:eastAsia="zh-CN"/>
              </w:rPr>
              <w:t>14.55</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3755071F">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color w:val="auto"/>
                <w:sz w:val="24"/>
                <w:szCs w:val="24"/>
                <w:vertAlign w:val="baseline"/>
                <w:lang w:val="en-US" w:eastAsia="zh-CN"/>
              </w:rPr>
              <w:t>+3</w:t>
            </w:r>
            <w:r>
              <w:rPr>
                <w:rFonts w:hint="eastAsia" w:ascii="Times New Roman" w:cs="Times New Roman"/>
                <w:snapToGrid w:val="0"/>
                <w:color w:val="auto"/>
                <w:kern w:val="21"/>
                <w:sz w:val="24"/>
                <w:szCs w:val="24"/>
                <w:lang w:val="en-US" w:eastAsia="zh-CN"/>
              </w:rPr>
              <w:t>t/a</w:t>
            </w:r>
          </w:p>
        </w:tc>
      </w:tr>
      <w:tr w14:paraId="3CE279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55BEB4AB">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3090F5B8">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auto"/>
                <w:sz w:val="24"/>
                <w:szCs w:val="24"/>
              </w:rPr>
            </w:pPr>
            <w:r>
              <w:rPr>
                <w:rFonts w:hint="eastAsia" w:eastAsia="宋体" w:cs="Times New Roman"/>
                <w:snapToGrid/>
                <w:color w:val="auto"/>
                <w:spacing w:val="0"/>
                <w:kern w:val="0"/>
                <w:position w:val="0"/>
                <w:sz w:val="24"/>
                <w:szCs w:val="24"/>
                <w:lang w:val="en-US" w:eastAsia="zh-CN"/>
              </w:rPr>
              <w:t>废润滑油桶</w:t>
            </w:r>
          </w:p>
        </w:tc>
        <w:tc>
          <w:tcPr>
            <w:tcW w:w="1701" w:type="dxa"/>
            <w:noWrap w:val="0"/>
            <w:vAlign w:val="center"/>
          </w:tcPr>
          <w:p w14:paraId="1291101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cs="Times New Roman"/>
                <w:color w:val="auto"/>
                <w:kern w:val="0"/>
                <w:sz w:val="24"/>
                <w:szCs w:val="24"/>
                <w:lang w:val="en-US" w:eastAsia="zh-CN" w:bidi="ar-SA"/>
              </w:rPr>
            </w:pPr>
            <w:r>
              <w:rPr>
                <w:rFonts w:hint="eastAsia" w:cs="Times New Roman"/>
                <w:color w:val="auto"/>
                <w:sz w:val="24"/>
                <w:szCs w:val="24"/>
                <w:vertAlign w:val="baseline"/>
                <w:lang w:val="en-US" w:eastAsia="zh-CN"/>
              </w:rPr>
              <w:t>/</w:t>
            </w:r>
          </w:p>
        </w:tc>
        <w:tc>
          <w:tcPr>
            <w:tcW w:w="1276" w:type="dxa"/>
            <w:noWrap w:val="0"/>
            <w:vAlign w:val="center"/>
          </w:tcPr>
          <w:p w14:paraId="1B981BB3">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701" w:type="dxa"/>
            <w:noWrap w:val="0"/>
            <w:vAlign w:val="center"/>
          </w:tcPr>
          <w:p w14:paraId="7BF640FC">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ascii="Times New Roman" w:cs="Times New Roman"/>
                <w:snapToGrid w:val="0"/>
                <w:color w:val="auto"/>
                <w:kern w:val="21"/>
                <w:sz w:val="24"/>
                <w:szCs w:val="24"/>
                <w:lang w:val="en-US" w:eastAsia="zh-CN"/>
              </w:rPr>
              <w:t>/</w:t>
            </w:r>
          </w:p>
        </w:tc>
        <w:tc>
          <w:tcPr>
            <w:tcW w:w="1559" w:type="dxa"/>
            <w:noWrap w:val="0"/>
            <w:vAlign w:val="center"/>
          </w:tcPr>
          <w:p w14:paraId="636FEFE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bCs/>
                <w:color w:val="auto"/>
                <w:sz w:val="24"/>
                <w:szCs w:val="24"/>
                <w:lang w:val="en-US" w:eastAsia="zh-CN"/>
              </w:rPr>
            </w:pPr>
            <w:r>
              <w:rPr>
                <w:rFonts w:hint="eastAsia" w:eastAsia="宋体" w:cs="Times New Roman"/>
                <w:snapToGrid/>
                <w:color w:val="auto"/>
                <w:spacing w:val="0"/>
                <w:kern w:val="0"/>
                <w:position w:val="0"/>
                <w:sz w:val="24"/>
                <w:szCs w:val="24"/>
                <w:lang w:val="en-US" w:eastAsia="zh-CN"/>
              </w:rPr>
              <w:t>0.03</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1E550682">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15B90A39">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Cs/>
                <w:color w:val="auto"/>
                <w:sz w:val="24"/>
                <w:szCs w:val="24"/>
                <w:lang w:val="en-US" w:eastAsia="zh-CN"/>
              </w:rPr>
            </w:pPr>
            <w:r>
              <w:rPr>
                <w:rFonts w:hint="eastAsia" w:ascii="Times New Roman" w:cs="Times New Roman"/>
                <w:snapToGrid w:val="0"/>
                <w:color w:val="auto"/>
                <w:kern w:val="21"/>
                <w:sz w:val="24"/>
                <w:szCs w:val="24"/>
                <w:lang w:val="en-US" w:eastAsia="zh-CN"/>
              </w:rPr>
              <w:t>1303.4t/a</w:t>
            </w:r>
          </w:p>
        </w:tc>
        <w:tc>
          <w:tcPr>
            <w:tcW w:w="1514" w:type="dxa"/>
            <w:noWrap w:val="0"/>
            <w:vAlign w:val="center"/>
          </w:tcPr>
          <w:p w14:paraId="2AEF3E21">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Cs/>
                <w:color w:val="auto"/>
                <w:sz w:val="24"/>
                <w:szCs w:val="24"/>
                <w:lang w:val="en-US" w:eastAsia="zh-CN"/>
              </w:rPr>
            </w:pPr>
            <w:r>
              <w:rPr>
                <w:rFonts w:hint="eastAsia" w:ascii="Times New Roman" w:cs="Times New Roman"/>
                <w:snapToGrid w:val="0"/>
                <w:color w:val="auto"/>
                <w:kern w:val="21"/>
                <w:sz w:val="24"/>
                <w:szCs w:val="24"/>
                <w:lang w:val="en-US" w:eastAsia="zh-CN"/>
              </w:rPr>
              <w:t>+1300t/a</w:t>
            </w:r>
          </w:p>
        </w:tc>
      </w:tr>
      <w:tr w14:paraId="13B0BA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7AC3EB8D">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5F36F508">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snapToGrid/>
                <w:color w:val="auto"/>
                <w:spacing w:val="0"/>
                <w:kern w:val="0"/>
                <w:position w:val="0"/>
                <w:sz w:val="24"/>
                <w:szCs w:val="24"/>
                <w:lang w:val="en-US" w:eastAsia="zh-CN"/>
              </w:rPr>
            </w:pPr>
            <w:r>
              <w:rPr>
                <w:rFonts w:hint="eastAsia" w:eastAsia="宋体" w:cs="Times New Roman"/>
                <w:snapToGrid/>
                <w:color w:val="auto"/>
                <w:spacing w:val="0"/>
                <w:kern w:val="0"/>
                <w:position w:val="0"/>
                <w:sz w:val="24"/>
                <w:szCs w:val="24"/>
                <w:lang w:val="en-US" w:eastAsia="zh-CN"/>
              </w:rPr>
              <w:t>废催化剂</w:t>
            </w:r>
          </w:p>
        </w:tc>
        <w:tc>
          <w:tcPr>
            <w:tcW w:w="1701" w:type="dxa"/>
            <w:noWrap w:val="0"/>
            <w:vAlign w:val="center"/>
          </w:tcPr>
          <w:p w14:paraId="1DE3C38D">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cs="Times New Roman"/>
                <w:color w:val="auto"/>
                <w:sz w:val="24"/>
                <w:szCs w:val="24"/>
                <w:vertAlign w:val="baseline"/>
                <w:lang w:val="en-US" w:eastAsia="zh-CN"/>
              </w:rPr>
            </w:pPr>
            <w:r>
              <w:rPr>
                <w:rFonts w:hint="eastAsia" w:cs="Times New Roman"/>
                <w:color w:val="auto"/>
                <w:sz w:val="24"/>
                <w:szCs w:val="24"/>
                <w:vertAlign w:val="baseline"/>
                <w:lang w:val="en-US" w:eastAsia="zh-CN"/>
              </w:rPr>
              <w:t>/</w:t>
            </w:r>
          </w:p>
        </w:tc>
        <w:tc>
          <w:tcPr>
            <w:tcW w:w="1276" w:type="dxa"/>
            <w:noWrap w:val="0"/>
            <w:vAlign w:val="center"/>
          </w:tcPr>
          <w:p w14:paraId="0D3C2D7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color w:val="auto"/>
                <w:sz w:val="24"/>
                <w:szCs w:val="24"/>
                <w:vertAlign w:val="baseline"/>
                <w:lang w:val="en-US" w:eastAsia="zh-CN"/>
              </w:rPr>
              <w:t>/</w:t>
            </w:r>
          </w:p>
        </w:tc>
        <w:tc>
          <w:tcPr>
            <w:tcW w:w="1701" w:type="dxa"/>
            <w:noWrap w:val="0"/>
            <w:vAlign w:val="center"/>
          </w:tcPr>
          <w:p w14:paraId="6E0FBE3E">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color w:val="auto"/>
                <w:sz w:val="24"/>
                <w:szCs w:val="24"/>
                <w:vertAlign w:val="baseline"/>
                <w:lang w:val="en-US" w:eastAsia="zh-CN"/>
              </w:rPr>
              <w:t>/</w:t>
            </w:r>
          </w:p>
        </w:tc>
        <w:tc>
          <w:tcPr>
            <w:tcW w:w="1559" w:type="dxa"/>
            <w:noWrap w:val="0"/>
            <w:vAlign w:val="center"/>
          </w:tcPr>
          <w:p w14:paraId="45B328F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eastAsia="宋体" w:cs="Times New Roman"/>
                <w:snapToGrid/>
                <w:color w:val="auto"/>
                <w:spacing w:val="0"/>
                <w:kern w:val="0"/>
                <w:position w:val="0"/>
                <w:sz w:val="24"/>
                <w:szCs w:val="24"/>
                <w:lang w:val="en-US" w:eastAsia="zh-CN"/>
              </w:rPr>
            </w:pPr>
            <w:r>
              <w:rPr>
                <w:rFonts w:hint="eastAsia" w:cs="Times New Roman"/>
                <w:snapToGrid/>
                <w:color w:val="auto"/>
                <w:spacing w:val="0"/>
                <w:kern w:val="0"/>
                <w:position w:val="0"/>
                <w:sz w:val="24"/>
                <w:szCs w:val="24"/>
                <w:lang w:val="en-US" w:eastAsia="zh-CN"/>
              </w:rPr>
              <w:t>0.09</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0C867A00">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75A3DC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cs="Times New Roman"/>
                <w:snapToGrid w:val="0"/>
                <w:color w:val="auto"/>
                <w:kern w:val="21"/>
                <w:sz w:val="24"/>
                <w:szCs w:val="24"/>
                <w:lang w:val="en-US" w:eastAsia="zh-CN"/>
              </w:rPr>
            </w:pPr>
            <w:r>
              <w:rPr>
                <w:rFonts w:hint="eastAsia" w:cs="Times New Roman"/>
                <w:snapToGrid/>
                <w:color w:val="auto"/>
                <w:spacing w:val="0"/>
                <w:kern w:val="0"/>
                <w:position w:val="0"/>
                <w:sz w:val="24"/>
                <w:szCs w:val="24"/>
                <w:lang w:val="en-US" w:eastAsia="zh-CN"/>
              </w:rPr>
              <w:t>0.09</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23B1C6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cs="Times New Roman"/>
                <w:snapToGrid w:val="0"/>
                <w:color w:val="auto"/>
                <w:kern w:val="21"/>
                <w:sz w:val="24"/>
                <w:szCs w:val="24"/>
                <w:lang w:val="en-US" w:eastAsia="zh-CN"/>
              </w:rPr>
            </w:pPr>
            <w:r>
              <w:rPr>
                <w:rFonts w:hint="eastAsia" w:cs="Times New Roman"/>
                <w:snapToGrid/>
                <w:color w:val="auto"/>
                <w:spacing w:val="0"/>
                <w:kern w:val="0"/>
                <w:position w:val="0"/>
                <w:sz w:val="24"/>
                <w:szCs w:val="24"/>
                <w:lang w:val="en-US" w:eastAsia="zh-CN"/>
              </w:rPr>
              <w:t>+0.09</w:t>
            </w:r>
            <w:r>
              <w:rPr>
                <w:rFonts w:hint="eastAsia" w:ascii="Times New Roman" w:cs="Times New Roman"/>
                <w:snapToGrid w:val="0"/>
                <w:color w:val="auto"/>
                <w:kern w:val="21"/>
                <w:sz w:val="24"/>
                <w:szCs w:val="24"/>
                <w:lang w:val="en-US" w:eastAsia="zh-CN"/>
              </w:rPr>
              <w:t>t/a</w:t>
            </w:r>
          </w:p>
        </w:tc>
      </w:tr>
      <w:tr w14:paraId="40C941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588" w:type="dxa"/>
            <w:vMerge w:val="continue"/>
            <w:noWrap w:val="0"/>
            <w:vAlign w:val="center"/>
          </w:tcPr>
          <w:p w14:paraId="360465C5">
            <w:pPr>
              <w:pStyle w:val="38"/>
              <w:keepNext w:val="0"/>
              <w:keepLines w:val="0"/>
              <w:pageBreakBefore w:val="0"/>
              <w:widowControl w:val="0"/>
              <w:kinsoku/>
              <w:wordWrap/>
              <w:overflowPunct/>
              <w:topLinePunct w:val="0"/>
              <w:autoSpaceDE/>
              <w:autoSpaceDN/>
              <w:bidi w:val="0"/>
              <w:adjustRightInd w:val="0"/>
              <w:snapToGrid w:val="0"/>
              <w:spacing w:beforeLines="0" w:afterLines="0" w:line="240" w:lineRule="auto"/>
              <w:ind w:firstLine="0"/>
              <w:rPr>
                <w:rFonts w:hint="default" w:ascii="Times New Roman" w:hAnsi="Times New Roman" w:eastAsia="宋体" w:cs="Times New Roman"/>
                <w:snapToGrid w:val="0"/>
                <w:color w:val="auto"/>
                <w:kern w:val="21"/>
                <w:sz w:val="24"/>
                <w:szCs w:val="24"/>
              </w:rPr>
            </w:pPr>
          </w:p>
        </w:tc>
        <w:tc>
          <w:tcPr>
            <w:tcW w:w="1417" w:type="dxa"/>
            <w:noWrap w:val="0"/>
            <w:vAlign w:val="center"/>
          </w:tcPr>
          <w:p w14:paraId="013CED2E">
            <w:pPr>
              <w:pStyle w:val="37"/>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s="Times New Roman"/>
                <w:snapToGrid/>
                <w:color w:val="auto"/>
                <w:spacing w:val="0"/>
                <w:kern w:val="0"/>
                <w:position w:val="0"/>
                <w:sz w:val="24"/>
                <w:szCs w:val="24"/>
                <w:lang w:val="en-US" w:eastAsia="zh-CN"/>
              </w:rPr>
            </w:pPr>
            <w:r>
              <w:rPr>
                <w:rFonts w:hint="eastAsia" w:eastAsia="宋体" w:cs="Times New Roman"/>
                <w:snapToGrid/>
                <w:color w:val="auto"/>
                <w:spacing w:val="0"/>
                <w:kern w:val="0"/>
                <w:position w:val="0"/>
                <w:sz w:val="24"/>
                <w:szCs w:val="24"/>
                <w:lang w:val="en-US" w:eastAsia="zh-CN"/>
              </w:rPr>
              <w:t>废喷淋水</w:t>
            </w:r>
          </w:p>
        </w:tc>
        <w:tc>
          <w:tcPr>
            <w:tcW w:w="1701" w:type="dxa"/>
            <w:noWrap w:val="0"/>
            <w:vAlign w:val="center"/>
          </w:tcPr>
          <w:p w14:paraId="59DA7849">
            <w:pPr>
              <w:keepNext w:val="0"/>
              <w:keepLines w:val="0"/>
              <w:pageBreakBefore w:val="0"/>
              <w:widowControl w:val="0"/>
              <w:kinsoku/>
              <w:wordWrap/>
              <w:overflowPunct/>
              <w:topLinePunct w:val="0"/>
              <w:autoSpaceDE/>
              <w:autoSpaceDN/>
              <w:bidi w:val="0"/>
              <w:adjustRightInd w:val="0"/>
              <w:snapToGrid w:val="0"/>
              <w:spacing w:line="240" w:lineRule="auto"/>
              <w:ind w:firstLine="0"/>
              <w:jc w:val="center"/>
              <w:textAlignment w:val="auto"/>
              <w:rPr>
                <w:rFonts w:hint="eastAsia" w:cs="Times New Roman"/>
                <w:color w:val="auto"/>
                <w:sz w:val="24"/>
                <w:szCs w:val="24"/>
                <w:vertAlign w:val="baseline"/>
                <w:lang w:val="en-US" w:eastAsia="zh-CN"/>
              </w:rPr>
            </w:pPr>
            <w:r>
              <w:rPr>
                <w:rFonts w:hint="eastAsia" w:cs="Times New Roman"/>
                <w:color w:val="auto"/>
                <w:sz w:val="24"/>
                <w:szCs w:val="24"/>
                <w:vertAlign w:val="baseline"/>
                <w:lang w:val="en-US" w:eastAsia="zh-CN"/>
              </w:rPr>
              <w:t>/</w:t>
            </w:r>
          </w:p>
        </w:tc>
        <w:tc>
          <w:tcPr>
            <w:tcW w:w="1276" w:type="dxa"/>
            <w:noWrap w:val="0"/>
            <w:vAlign w:val="center"/>
          </w:tcPr>
          <w:p w14:paraId="5D8DD0F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color w:val="auto"/>
                <w:sz w:val="24"/>
                <w:szCs w:val="24"/>
                <w:vertAlign w:val="baseline"/>
                <w:lang w:val="en-US" w:eastAsia="zh-CN"/>
              </w:rPr>
              <w:t>/</w:t>
            </w:r>
          </w:p>
        </w:tc>
        <w:tc>
          <w:tcPr>
            <w:tcW w:w="1701" w:type="dxa"/>
            <w:noWrap w:val="0"/>
            <w:vAlign w:val="center"/>
          </w:tcPr>
          <w:p w14:paraId="60565101">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ascii="Times New Roman" w:cs="Times New Roman"/>
                <w:snapToGrid w:val="0"/>
                <w:color w:val="auto"/>
                <w:kern w:val="21"/>
                <w:sz w:val="24"/>
                <w:szCs w:val="24"/>
                <w:lang w:val="en-US" w:eastAsia="zh-CN"/>
              </w:rPr>
            </w:pPr>
            <w:r>
              <w:rPr>
                <w:rFonts w:hint="eastAsia" w:cs="Times New Roman"/>
                <w:color w:val="auto"/>
                <w:sz w:val="24"/>
                <w:szCs w:val="24"/>
                <w:vertAlign w:val="baseline"/>
                <w:lang w:val="en-US" w:eastAsia="zh-CN"/>
              </w:rPr>
              <w:t>/</w:t>
            </w:r>
          </w:p>
        </w:tc>
        <w:tc>
          <w:tcPr>
            <w:tcW w:w="1559" w:type="dxa"/>
            <w:noWrap w:val="0"/>
            <w:vAlign w:val="center"/>
          </w:tcPr>
          <w:p w14:paraId="64074C28">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default" w:eastAsia="宋体" w:cs="Times New Roman"/>
                <w:snapToGrid/>
                <w:color w:val="auto"/>
                <w:spacing w:val="0"/>
                <w:kern w:val="0"/>
                <w:position w:val="0"/>
                <w:sz w:val="24"/>
                <w:szCs w:val="24"/>
                <w:lang w:val="en-US" w:eastAsia="zh-CN"/>
              </w:rPr>
            </w:pPr>
            <w:r>
              <w:rPr>
                <w:rFonts w:hint="eastAsia" w:cs="Times New Roman"/>
                <w:snapToGrid/>
                <w:color w:val="auto"/>
                <w:spacing w:val="0"/>
                <w:kern w:val="0"/>
                <w:position w:val="0"/>
                <w:sz w:val="24"/>
                <w:szCs w:val="24"/>
                <w:lang w:val="en-US" w:eastAsia="zh-CN"/>
              </w:rPr>
              <w:t>12</w:t>
            </w:r>
            <w:r>
              <w:rPr>
                <w:rFonts w:hint="eastAsia" w:ascii="Times New Roman" w:cs="Times New Roman"/>
                <w:snapToGrid w:val="0"/>
                <w:color w:val="auto"/>
                <w:kern w:val="21"/>
                <w:sz w:val="24"/>
                <w:szCs w:val="24"/>
                <w:lang w:val="en-US" w:eastAsia="zh-CN"/>
              </w:rPr>
              <w:t>t/a</w:t>
            </w:r>
          </w:p>
        </w:tc>
        <w:tc>
          <w:tcPr>
            <w:tcW w:w="1577" w:type="dxa"/>
            <w:noWrap w:val="0"/>
            <w:vAlign w:val="center"/>
          </w:tcPr>
          <w:p w14:paraId="7B0F6106">
            <w:pPr>
              <w:keepNext w:val="0"/>
              <w:keepLines w:val="0"/>
              <w:pageBreakBefore w:val="0"/>
              <w:widowControl w:val="0"/>
              <w:kinsoku/>
              <w:wordWrap/>
              <w:overflowPunct/>
              <w:topLinePunct w:val="0"/>
              <w:autoSpaceDE/>
              <w:autoSpaceDN/>
              <w:bidi w:val="0"/>
              <w:adjustRightInd w:val="0"/>
              <w:snapToGrid w:val="0"/>
              <w:spacing w:line="240" w:lineRule="auto"/>
              <w:ind w:firstLine="0"/>
              <w:jc w:val="center"/>
              <w:rPr>
                <w:rFonts w:hint="eastAsia" w:cs="Times New Roman"/>
                <w:snapToGrid w:val="0"/>
                <w:color w:val="auto"/>
                <w:kern w:val="21"/>
                <w:sz w:val="24"/>
                <w:szCs w:val="24"/>
                <w:lang w:val="en-US" w:eastAsia="zh-CN"/>
              </w:rPr>
            </w:pPr>
            <w:r>
              <w:rPr>
                <w:rFonts w:hint="eastAsia" w:cs="Times New Roman"/>
                <w:snapToGrid w:val="0"/>
                <w:color w:val="auto"/>
                <w:kern w:val="21"/>
                <w:sz w:val="24"/>
                <w:szCs w:val="24"/>
                <w:lang w:val="en-US" w:eastAsia="zh-CN"/>
              </w:rPr>
              <w:t>0</w:t>
            </w:r>
          </w:p>
        </w:tc>
        <w:tc>
          <w:tcPr>
            <w:tcW w:w="1455" w:type="dxa"/>
            <w:noWrap w:val="0"/>
            <w:vAlign w:val="center"/>
          </w:tcPr>
          <w:p w14:paraId="4055365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cs="Times New Roman"/>
                <w:snapToGrid w:val="0"/>
                <w:color w:val="auto"/>
                <w:kern w:val="21"/>
                <w:sz w:val="24"/>
                <w:szCs w:val="24"/>
                <w:lang w:val="en-US" w:eastAsia="zh-CN"/>
              </w:rPr>
            </w:pPr>
            <w:r>
              <w:rPr>
                <w:rFonts w:hint="eastAsia" w:cs="Times New Roman"/>
                <w:snapToGrid/>
                <w:color w:val="auto"/>
                <w:spacing w:val="0"/>
                <w:kern w:val="0"/>
                <w:position w:val="0"/>
                <w:sz w:val="24"/>
                <w:szCs w:val="24"/>
                <w:lang w:val="en-US" w:eastAsia="zh-CN"/>
              </w:rPr>
              <w:t>12</w:t>
            </w:r>
            <w:r>
              <w:rPr>
                <w:rFonts w:hint="eastAsia" w:ascii="Times New Roman" w:cs="Times New Roman"/>
                <w:snapToGrid w:val="0"/>
                <w:color w:val="auto"/>
                <w:kern w:val="21"/>
                <w:sz w:val="24"/>
                <w:szCs w:val="24"/>
                <w:lang w:val="en-US" w:eastAsia="zh-CN"/>
              </w:rPr>
              <w:t>t/a</w:t>
            </w:r>
          </w:p>
        </w:tc>
        <w:tc>
          <w:tcPr>
            <w:tcW w:w="1514" w:type="dxa"/>
            <w:noWrap w:val="0"/>
            <w:vAlign w:val="center"/>
          </w:tcPr>
          <w:p w14:paraId="0A6869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cs="Times New Roman"/>
                <w:snapToGrid w:val="0"/>
                <w:color w:val="auto"/>
                <w:kern w:val="21"/>
                <w:sz w:val="24"/>
                <w:szCs w:val="24"/>
                <w:lang w:val="en-US" w:eastAsia="zh-CN"/>
              </w:rPr>
            </w:pPr>
            <w:r>
              <w:rPr>
                <w:rFonts w:hint="eastAsia" w:cs="Times New Roman"/>
                <w:snapToGrid/>
                <w:color w:val="auto"/>
                <w:spacing w:val="0"/>
                <w:kern w:val="0"/>
                <w:position w:val="0"/>
                <w:sz w:val="24"/>
                <w:szCs w:val="24"/>
                <w:lang w:val="en-US" w:eastAsia="zh-CN"/>
              </w:rPr>
              <w:t>+12</w:t>
            </w:r>
            <w:r>
              <w:rPr>
                <w:rFonts w:hint="eastAsia" w:ascii="Times New Roman" w:cs="Times New Roman"/>
                <w:snapToGrid w:val="0"/>
                <w:color w:val="auto"/>
                <w:kern w:val="21"/>
                <w:sz w:val="24"/>
                <w:szCs w:val="24"/>
                <w:lang w:val="en-US" w:eastAsia="zh-CN"/>
              </w:rPr>
              <w:t>t/a</w:t>
            </w:r>
          </w:p>
        </w:tc>
      </w:tr>
    </w:tbl>
    <w:p w14:paraId="01864A8A">
      <w:pPr>
        <w:pStyle w:val="38"/>
        <w:spacing w:before="192" w:beforeLines="80" w:after="24"/>
        <w:jc w:val="left"/>
      </w:pPr>
      <w:r>
        <w:rPr>
          <w:rFonts w:hAnsi="宋体"/>
          <w:snapToGrid w:val="0"/>
          <w:color w:val="000000"/>
          <w:kern w:val="21"/>
          <w:szCs w:val="21"/>
        </w:rPr>
        <w:t>注：</w:t>
      </w:r>
      <w:r>
        <w:rPr>
          <w:rFonts w:hAnsi="宋体"/>
          <w:snapToGrid w:val="0"/>
          <w:color w:val="000000"/>
          <w:spacing w:val="-16"/>
          <w:kern w:val="21"/>
          <w:szCs w:val="21"/>
        </w:rPr>
        <w:fldChar w:fldCharType="begin"/>
      </w:r>
      <w:r>
        <w:rPr>
          <w:rFonts w:hAnsi="宋体"/>
          <w:snapToGrid w:val="0"/>
          <w:color w:val="000000"/>
          <w:spacing w:val="-16"/>
          <w:kern w:val="21"/>
          <w:szCs w:val="21"/>
        </w:rPr>
        <w:instrText xml:space="preserve"> = 6 \* GB3 \* MERGEFORMAT </w:instrText>
      </w:r>
      <w:r>
        <w:rPr>
          <w:rFonts w:hAnsi="宋体"/>
          <w:snapToGrid w:val="0"/>
          <w:color w:val="000000"/>
          <w:spacing w:val="-16"/>
          <w:kern w:val="21"/>
          <w:szCs w:val="21"/>
        </w:rPr>
        <w:fldChar w:fldCharType="separate"/>
      </w:r>
      <w:r>
        <w:rPr>
          <w:rFonts w:hint="eastAsia" w:hAnsi="宋体"/>
          <w:szCs w:val="21"/>
        </w:rPr>
        <w:t>⑥</w:t>
      </w:r>
      <w:r>
        <w:rPr>
          <w:rFonts w:hAnsi="宋体"/>
          <w:snapToGrid w:val="0"/>
          <w:color w:val="000000"/>
          <w:spacing w:val="-16"/>
          <w:kern w:val="21"/>
          <w:szCs w:val="21"/>
        </w:rPr>
        <w:fldChar w:fldCharType="end"/>
      </w:r>
      <w:r>
        <w:rPr>
          <w:rFonts w:hAnsi="宋体"/>
          <w:snapToGrid w:val="0"/>
          <w:color w:val="000000"/>
          <w:spacing w:val="-16"/>
          <w:kern w:val="21"/>
          <w:szCs w:val="21"/>
        </w:rPr>
        <w:t>=</w:t>
      </w:r>
      <w:r>
        <w:rPr>
          <w:rFonts w:hAnsi="宋体"/>
          <w:snapToGrid w:val="0"/>
          <w:color w:val="000000"/>
          <w:spacing w:val="-6"/>
          <w:kern w:val="21"/>
          <w:szCs w:val="21"/>
        </w:rPr>
        <w:fldChar w:fldCharType="begin"/>
      </w:r>
      <w:r>
        <w:rPr>
          <w:rFonts w:hAnsi="宋体"/>
          <w:snapToGrid w:val="0"/>
          <w:color w:val="000000"/>
          <w:spacing w:val="-6"/>
          <w:kern w:val="21"/>
          <w:szCs w:val="21"/>
        </w:rPr>
        <w:instrText xml:space="preserve"> = 1 \* GB3 \* MERGEFORMAT </w:instrText>
      </w:r>
      <w:r>
        <w:rPr>
          <w:rFonts w:hAnsi="宋体"/>
          <w:snapToGrid w:val="0"/>
          <w:color w:val="000000"/>
          <w:spacing w:val="-6"/>
          <w:kern w:val="21"/>
          <w:szCs w:val="21"/>
        </w:rPr>
        <w:fldChar w:fldCharType="separate"/>
      </w:r>
      <w:r>
        <w:rPr>
          <w:rFonts w:hint="eastAsia" w:hAnsi="宋体"/>
          <w:szCs w:val="21"/>
        </w:rPr>
        <w:t>①</w:t>
      </w:r>
      <w:r>
        <w:rPr>
          <w:rFonts w:hAnsi="宋体"/>
          <w:snapToGrid w:val="0"/>
          <w:color w:val="000000"/>
          <w:spacing w:val="-6"/>
          <w:kern w:val="21"/>
          <w:szCs w:val="21"/>
        </w:rPr>
        <w:fldChar w:fldCharType="end"/>
      </w:r>
      <w:r>
        <w:rPr>
          <w:rFonts w:hAnsi="宋体"/>
          <w:snapToGrid w:val="0"/>
          <w:color w:val="000000"/>
          <w:spacing w:val="-6"/>
          <w:kern w:val="21"/>
          <w:szCs w:val="21"/>
        </w:rPr>
        <w:t>+</w:t>
      </w:r>
      <w:r>
        <w:rPr>
          <w:rFonts w:hAnsi="宋体"/>
          <w:snapToGrid w:val="0"/>
          <w:color w:val="000000"/>
          <w:spacing w:val="-6"/>
          <w:kern w:val="21"/>
          <w:szCs w:val="21"/>
        </w:rPr>
        <w:fldChar w:fldCharType="begin"/>
      </w:r>
      <w:r>
        <w:rPr>
          <w:rFonts w:hAnsi="宋体"/>
          <w:snapToGrid w:val="0"/>
          <w:color w:val="000000"/>
          <w:spacing w:val="-6"/>
          <w:kern w:val="21"/>
          <w:szCs w:val="21"/>
        </w:rPr>
        <w:instrText xml:space="preserve"> = 3 \* GB3 \* MERGEFORMAT </w:instrText>
      </w:r>
      <w:r>
        <w:rPr>
          <w:rFonts w:hAnsi="宋体"/>
          <w:snapToGrid w:val="0"/>
          <w:color w:val="000000"/>
          <w:spacing w:val="-6"/>
          <w:kern w:val="21"/>
          <w:szCs w:val="21"/>
        </w:rPr>
        <w:fldChar w:fldCharType="separate"/>
      </w:r>
      <w:r>
        <w:rPr>
          <w:rFonts w:hint="eastAsia" w:hAnsi="宋体"/>
          <w:szCs w:val="21"/>
        </w:rPr>
        <w:t>③</w:t>
      </w:r>
      <w:r>
        <w:rPr>
          <w:rFonts w:hAnsi="宋体"/>
          <w:snapToGrid w:val="0"/>
          <w:color w:val="000000"/>
          <w:spacing w:val="-6"/>
          <w:kern w:val="21"/>
          <w:szCs w:val="21"/>
        </w:rPr>
        <w:fldChar w:fldCharType="end"/>
      </w:r>
      <w:r>
        <w:rPr>
          <w:rFonts w:hAnsi="宋体"/>
          <w:snapToGrid w:val="0"/>
          <w:color w:val="000000"/>
          <w:spacing w:val="-6"/>
          <w:kern w:val="21"/>
          <w:szCs w:val="21"/>
        </w:rPr>
        <w:t>+</w:t>
      </w:r>
      <w:r>
        <w:rPr>
          <w:rFonts w:hAnsi="宋体"/>
          <w:snapToGrid w:val="0"/>
          <w:color w:val="000000"/>
          <w:spacing w:val="-6"/>
          <w:kern w:val="21"/>
          <w:szCs w:val="21"/>
        </w:rPr>
        <w:fldChar w:fldCharType="begin"/>
      </w:r>
      <w:r>
        <w:rPr>
          <w:rFonts w:hAnsi="宋体"/>
          <w:snapToGrid w:val="0"/>
          <w:color w:val="000000"/>
          <w:spacing w:val="-6"/>
          <w:kern w:val="21"/>
          <w:szCs w:val="21"/>
        </w:rPr>
        <w:instrText xml:space="preserve"> = 4 \* GB3 \* MERGEFORMAT </w:instrText>
      </w:r>
      <w:r>
        <w:rPr>
          <w:rFonts w:hAnsi="宋体"/>
          <w:snapToGrid w:val="0"/>
          <w:color w:val="000000"/>
          <w:spacing w:val="-6"/>
          <w:kern w:val="21"/>
          <w:szCs w:val="21"/>
        </w:rPr>
        <w:fldChar w:fldCharType="separate"/>
      </w:r>
      <w:r>
        <w:rPr>
          <w:rFonts w:hint="eastAsia" w:hAnsi="宋体"/>
          <w:szCs w:val="21"/>
        </w:rPr>
        <w:t>④</w:t>
      </w:r>
      <w:r>
        <w:rPr>
          <w:rFonts w:hAnsi="宋体"/>
          <w:snapToGrid w:val="0"/>
          <w:color w:val="000000"/>
          <w:spacing w:val="-6"/>
          <w:kern w:val="21"/>
          <w:szCs w:val="21"/>
        </w:rPr>
        <w:fldChar w:fldCharType="end"/>
      </w:r>
      <w:r>
        <w:rPr>
          <w:rFonts w:hAnsi="宋体"/>
          <w:snapToGrid w:val="0"/>
          <w:color w:val="000000"/>
          <w:spacing w:val="-6"/>
          <w:kern w:val="21"/>
          <w:szCs w:val="21"/>
        </w:rPr>
        <w:t>-</w:t>
      </w:r>
      <w:r>
        <w:rPr>
          <w:rFonts w:hAnsi="宋体"/>
          <w:snapToGrid w:val="0"/>
          <w:color w:val="000000"/>
          <w:spacing w:val="-16"/>
          <w:kern w:val="21"/>
          <w:szCs w:val="21"/>
        </w:rPr>
        <w:fldChar w:fldCharType="begin"/>
      </w:r>
      <w:r>
        <w:rPr>
          <w:rFonts w:hAnsi="宋体"/>
          <w:snapToGrid w:val="0"/>
          <w:color w:val="000000"/>
          <w:spacing w:val="-16"/>
          <w:kern w:val="21"/>
          <w:szCs w:val="21"/>
        </w:rPr>
        <w:instrText xml:space="preserve"> = 5 \* GB3 \* MERGEFORMAT </w:instrText>
      </w:r>
      <w:r>
        <w:rPr>
          <w:rFonts w:hAnsi="宋体"/>
          <w:snapToGrid w:val="0"/>
          <w:color w:val="000000"/>
          <w:spacing w:val="-16"/>
          <w:kern w:val="21"/>
          <w:szCs w:val="21"/>
        </w:rPr>
        <w:fldChar w:fldCharType="separate"/>
      </w:r>
      <w:r>
        <w:rPr>
          <w:rFonts w:hint="eastAsia" w:hAnsi="宋体"/>
          <w:szCs w:val="21"/>
        </w:rPr>
        <w:t>⑤</w:t>
      </w:r>
      <w:r>
        <w:rPr>
          <w:rFonts w:hAnsi="宋体"/>
          <w:snapToGrid w:val="0"/>
          <w:color w:val="000000"/>
          <w:spacing w:val="-16"/>
          <w:kern w:val="21"/>
          <w:szCs w:val="21"/>
        </w:rPr>
        <w:fldChar w:fldCharType="end"/>
      </w:r>
      <w:r>
        <w:rPr>
          <w:rFonts w:hAnsi="宋体"/>
          <w:snapToGrid w:val="0"/>
          <w:color w:val="000000"/>
          <w:spacing w:val="-16"/>
          <w:kern w:val="21"/>
          <w:szCs w:val="21"/>
        </w:rPr>
        <w:t>；</w:t>
      </w:r>
      <w:r>
        <w:rPr>
          <w:rFonts w:hAnsi="宋体"/>
          <w:snapToGrid w:val="0"/>
          <w:color w:val="000000"/>
          <w:spacing w:val="-6"/>
          <w:kern w:val="21"/>
          <w:szCs w:val="21"/>
        </w:rPr>
        <w:fldChar w:fldCharType="begin"/>
      </w:r>
      <w:r>
        <w:rPr>
          <w:rFonts w:hAnsi="宋体"/>
          <w:snapToGrid w:val="0"/>
          <w:color w:val="000000"/>
          <w:spacing w:val="-6"/>
          <w:kern w:val="21"/>
          <w:szCs w:val="21"/>
        </w:rPr>
        <w:instrText xml:space="preserve"> = 7 \* GB3 \* MERGEFORMAT </w:instrText>
      </w:r>
      <w:r>
        <w:rPr>
          <w:rFonts w:hAnsi="宋体"/>
          <w:snapToGrid w:val="0"/>
          <w:color w:val="000000"/>
          <w:spacing w:val="-6"/>
          <w:kern w:val="21"/>
          <w:szCs w:val="21"/>
        </w:rPr>
        <w:fldChar w:fldCharType="separate"/>
      </w:r>
      <w:r>
        <w:rPr>
          <w:rFonts w:hint="eastAsia" w:hAnsi="宋体"/>
          <w:szCs w:val="21"/>
        </w:rPr>
        <w:t>⑦</w:t>
      </w:r>
      <w:r>
        <w:rPr>
          <w:rFonts w:hAnsi="宋体"/>
          <w:snapToGrid w:val="0"/>
          <w:color w:val="000000"/>
          <w:spacing w:val="-6"/>
          <w:kern w:val="21"/>
          <w:szCs w:val="21"/>
        </w:rPr>
        <w:fldChar w:fldCharType="end"/>
      </w:r>
      <w:r>
        <w:rPr>
          <w:rFonts w:hAnsi="宋体"/>
          <w:snapToGrid w:val="0"/>
          <w:color w:val="000000"/>
          <w:spacing w:val="-6"/>
          <w:kern w:val="21"/>
          <w:szCs w:val="21"/>
        </w:rPr>
        <w:t>=</w:t>
      </w:r>
      <w:r>
        <w:rPr>
          <w:rFonts w:hAnsi="宋体"/>
          <w:snapToGrid w:val="0"/>
          <w:color w:val="000000"/>
          <w:spacing w:val="-16"/>
          <w:kern w:val="21"/>
          <w:szCs w:val="21"/>
        </w:rPr>
        <w:fldChar w:fldCharType="begin"/>
      </w:r>
      <w:r>
        <w:rPr>
          <w:rFonts w:hAnsi="宋体"/>
          <w:snapToGrid w:val="0"/>
          <w:color w:val="000000"/>
          <w:spacing w:val="-16"/>
          <w:kern w:val="21"/>
          <w:szCs w:val="21"/>
        </w:rPr>
        <w:instrText xml:space="preserve"> = 6 \* GB3 \* MERGEFORMAT </w:instrText>
      </w:r>
      <w:r>
        <w:rPr>
          <w:rFonts w:hAnsi="宋体"/>
          <w:snapToGrid w:val="0"/>
          <w:color w:val="000000"/>
          <w:spacing w:val="-16"/>
          <w:kern w:val="21"/>
          <w:szCs w:val="21"/>
        </w:rPr>
        <w:fldChar w:fldCharType="separate"/>
      </w:r>
      <w:r>
        <w:rPr>
          <w:rFonts w:hint="eastAsia" w:hAnsi="宋体"/>
          <w:szCs w:val="21"/>
        </w:rPr>
        <w:t>⑥</w:t>
      </w:r>
      <w:r>
        <w:rPr>
          <w:rFonts w:hAnsi="宋体"/>
          <w:snapToGrid w:val="0"/>
          <w:color w:val="000000"/>
          <w:spacing w:val="-16"/>
          <w:kern w:val="21"/>
          <w:szCs w:val="21"/>
        </w:rPr>
        <w:fldChar w:fldCharType="end"/>
      </w:r>
      <w:r>
        <w:rPr>
          <w:rFonts w:hAnsi="宋体"/>
          <w:snapToGrid w:val="0"/>
          <w:color w:val="000000"/>
          <w:spacing w:val="-16"/>
          <w:kern w:val="21"/>
          <w:szCs w:val="21"/>
        </w:rPr>
        <w:t>-</w:t>
      </w:r>
      <w:r>
        <w:rPr>
          <w:rFonts w:hAnsi="宋体"/>
          <w:snapToGrid w:val="0"/>
          <w:color w:val="000000"/>
          <w:spacing w:val="-6"/>
          <w:kern w:val="21"/>
          <w:szCs w:val="21"/>
        </w:rPr>
        <w:fldChar w:fldCharType="begin"/>
      </w:r>
      <w:r>
        <w:rPr>
          <w:rFonts w:hAnsi="宋体"/>
          <w:snapToGrid w:val="0"/>
          <w:color w:val="000000"/>
          <w:spacing w:val="-6"/>
          <w:kern w:val="21"/>
          <w:szCs w:val="21"/>
        </w:rPr>
        <w:instrText xml:space="preserve"> = 1 \* GB3 \* MERGEFORMAT </w:instrText>
      </w:r>
      <w:r>
        <w:rPr>
          <w:rFonts w:hAnsi="宋体"/>
          <w:snapToGrid w:val="0"/>
          <w:color w:val="000000"/>
          <w:spacing w:val="-6"/>
          <w:kern w:val="21"/>
          <w:szCs w:val="21"/>
        </w:rPr>
        <w:fldChar w:fldCharType="separate"/>
      </w:r>
      <w:r>
        <w:rPr>
          <w:rFonts w:hint="eastAsia" w:hAnsi="宋体"/>
          <w:szCs w:val="21"/>
        </w:rPr>
        <w:t>①</w:t>
      </w:r>
      <w:r>
        <w:rPr>
          <w:rFonts w:hAnsi="宋体"/>
          <w:snapToGrid w:val="0"/>
          <w:color w:val="000000"/>
          <w:spacing w:val="-6"/>
          <w:kern w:val="21"/>
          <w:szCs w:val="21"/>
        </w:rPr>
        <w:fldChar w:fldCharType="end"/>
      </w:r>
    </w:p>
    <w:sectPr>
      <w:footerReference r:id="rId4" w:type="default"/>
      <w:pgSz w:w="16838" w:h="11906" w:orient="landscape"/>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imesNewRoman">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1F220">
    <w:pPr>
      <w:pStyle w:val="16"/>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83D1A6">
                          <w:pPr>
                            <w:pStyle w:val="1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6883D1A6">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D3035">
    <w:pPr>
      <w:pStyle w:val="16"/>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1F7D2E"/>
    <w:multiLevelType w:val="singleLevel"/>
    <w:tmpl w:val="E81F7D2E"/>
    <w:lvl w:ilvl="0" w:tentative="0">
      <w:start w:val="2"/>
      <w:numFmt w:val="decimal"/>
      <w:suff w:val="nothing"/>
      <w:lvlText w:val="（%1）"/>
      <w:lvlJc w:val="left"/>
    </w:lvl>
  </w:abstractNum>
  <w:abstractNum w:abstractNumId="1">
    <w:nsid w:val="F02EBA4E"/>
    <w:multiLevelType w:val="singleLevel"/>
    <w:tmpl w:val="F02EBA4E"/>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ZlYjkyYTdlNTUzMDRhODRiNzg1MjkyOWY5YmJhOWYifQ=="/>
  </w:docVars>
  <w:rsids>
    <w:rsidRoot w:val="67EE0176"/>
    <w:rsid w:val="00A313D1"/>
    <w:rsid w:val="010827C0"/>
    <w:rsid w:val="01206437"/>
    <w:rsid w:val="01207B0A"/>
    <w:rsid w:val="012279D8"/>
    <w:rsid w:val="016814B1"/>
    <w:rsid w:val="018E31E3"/>
    <w:rsid w:val="01DB45EC"/>
    <w:rsid w:val="01E943A0"/>
    <w:rsid w:val="01F82835"/>
    <w:rsid w:val="022950E4"/>
    <w:rsid w:val="02376D60"/>
    <w:rsid w:val="02860F69"/>
    <w:rsid w:val="029A1B3E"/>
    <w:rsid w:val="03031491"/>
    <w:rsid w:val="03B74094"/>
    <w:rsid w:val="03C40C97"/>
    <w:rsid w:val="03CA25CE"/>
    <w:rsid w:val="040E3AC1"/>
    <w:rsid w:val="04464574"/>
    <w:rsid w:val="04BA2023"/>
    <w:rsid w:val="04C66C1A"/>
    <w:rsid w:val="05D6637E"/>
    <w:rsid w:val="05D74450"/>
    <w:rsid w:val="066F04FF"/>
    <w:rsid w:val="067E64CC"/>
    <w:rsid w:val="06DF5D71"/>
    <w:rsid w:val="07E5385B"/>
    <w:rsid w:val="07F876A6"/>
    <w:rsid w:val="08816B15"/>
    <w:rsid w:val="088E5CA1"/>
    <w:rsid w:val="09023F99"/>
    <w:rsid w:val="094838B6"/>
    <w:rsid w:val="09927A92"/>
    <w:rsid w:val="09E43965"/>
    <w:rsid w:val="09E55D95"/>
    <w:rsid w:val="0B3E1C9F"/>
    <w:rsid w:val="0B6E1DBA"/>
    <w:rsid w:val="0B8C227D"/>
    <w:rsid w:val="0BE441D5"/>
    <w:rsid w:val="0BFE6C9A"/>
    <w:rsid w:val="0C2F40C1"/>
    <w:rsid w:val="0C8D63D5"/>
    <w:rsid w:val="0D1846F6"/>
    <w:rsid w:val="0D1C2D04"/>
    <w:rsid w:val="0D366907"/>
    <w:rsid w:val="0D5D5C42"/>
    <w:rsid w:val="0DD759F4"/>
    <w:rsid w:val="0E15364F"/>
    <w:rsid w:val="0E6D3F01"/>
    <w:rsid w:val="0E771D51"/>
    <w:rsid w:val="0F0C791F"/>
    <w:rsid w:val="0F3F7CF5"/>
    <w:rsid w:val="0F6B6D3C"/>
    <w:rsid w:val="0F777C27"/>
    <w:rsid w:val="0FB030A2"/>
    <w:rsid w:val="10EE224D"/>
    <w:rsid w:val="11194B06"/>
    <w:rsid w:val="11292432"/>
    <w:rsid w:val="11500B9A"/>
    <w:rsid w:val="12511DBD"/>
    <w:rsid w:val="12886DA9"/>
    <w:rsid w:val="12E16C8D"/>
    <w:rsid w:val="130758F4"/>
    <w:rsid w:val="13477178"/>
    <w:rsid w:val="13A1358B"/>
    <w:rsid w:val="13C62793"/>
    <w:rsid w:val="13E64BE3"/>
    <w:rsid w:val="13ED1A3D"/>
    <w:rsid w:val="13FB7F63"/>
    <w:rsid w:val="15C306A0"/>
    <w:rsid w:val="15E60314"/>
    <w:rsid w:val="15F15EE9"/>
    <w:rsid w:val="16946B78"/>
    <w:rsid w:val="16A47B83"/>
    <w:rsid w:val="17965BFE"/>
    <w:rsid w:val="17A675DA"/>
    <w:rsid w:val="17B67D6F"/>
    <w:rsid w:val="17F83137"/>
    <w:rsid w:val="18100480"/>
    <w:rsid w:val="182D42C1"/>
    <w:rsid w:val="185A5BA0"/>
    <w:rsid w:val="186C142F"/>
    <w:rsid w:val="19102DD9"/>
    <w:rsid w:val="195269EC"/>
    <w:rsid w:val="19720647"/>
    <w:rsid w:val="19F96A80"/>
    <w:rsid w:val="1A4176A3"/>
    <w:rsid w:val="1A5B57B5"/>
    <w:rsid w:val="1AC911AC"/>
    <w:rsid w:val="1AD160DE"/>
    <w:rsid w:val="1AD80FFE"/>
    <w:rsid w:val="1AF745BC"/>
    <w:rsid w:val="1AFD33DB"/>
    <w:rsid w:val="1B4641B9"/>
    <w:rsid w:val="1B495259"/>
    <w:rsid w:val="1B9061BA"/>
    <w:rsid w:val="1B9E72CC"/>
    <w:rsid w:val="1BE20386"/>
    <w:rsid w:val="1D09522D"/>
    <w:rsid w:val="1D7F39B2"/>
    <w:rsid w:val="1D886D0B"/>
    <w:rsid w:val="1DDC3EDE"/>
    <w:rsid w:val="1E236E53"/>
    <w:rsid w:val="1F0E4FEE"/>
    <w:rsid w:val="1F523119"/>
    <w:rsid w:val="1F9000F9"/>
    <w:rsid w:val="1FC66388"/>
    <w:rsid w:val="204D5FEA"/>
    <w:rsid w:val="207D6956"/>
    <w:rsid w:val="20983709"/>
    <w:rsid w:val="20C15580"/>
    <w:rsid w:val="20CA3197"/>
    <w:rsid w:val="20D12777"/>
    <w:rsid w:val="20F766A2"/>
    <w:rsid w:val="212343F7"/>
    <w:rsid w:val="219C42B4"/>
    <w:rsid w:val="227F6B35"/>
    <w:rsid w:val="229621B1"/>
    <w:rsid w:val="22A2168A"/>
    <w:rsid w:val="22D9559E"/>
    <w:rsid w:val="22EF3388"/>
    <w:rsid w:val="23027955"/>
    <w:rsid w:val="238C0BD7"/>
    <w:rsid w:val="23A81EB5"/>
    <w:rsid w:val="23AD3B14"/>
    <w:rsid w:val="23E91BF9"/>
    <w:rsid w:val="24066BDB"/>
    <w:rsid w:val="24207347"/>
    <w:rsid w:val="247E3D76"/>
    <w:rsid w:val="24A241FE"/>
    <w:rsid w:val="254C55B7"/>
    <w:rsid w:val="25A85CF2"/>
    <w:rsid w:val="25A93FB5"/>
    <w:rsid w:val="25CE75CD"/>
    <w:rsid w:val="25E63B43"/>
    <w:rsid w:val="25EE5A8E"/>
    <w:rsid w:val="26105AEF"/>
    <w:rsid w:val="264D28A0"/>
    <w:rsid w:val="267B681F"/>
    <w:rsid w:val="26B278B6"/>
    <w:rsid w:val="26C51EEA"/>
    <w:rsid w:val="26CF1507"/>
    <w:rsid w:val="26D1554A"/>
    <w:rsid w:val="26DD4A71"/>
    <w:rsid w:val="2714160F"/>
    <w:rsid w:val="27734657"/>
    <w:rsid w:val="2806436A"/>
    <w:rsid w:val="288325A9"/>
    <w:rsid w:val="28843472"/>
    <w:rsid w:val="290336EA"/>
    <w:rsid w:val="293A1F13"/>
    <w:rsid w:val="29626662"/>
    <w:rsid w:val="2973086F"/>
    <w:rsid w:val="29C9378A"/>
    <w:rsid w:val="2A8A3B98"/>
    <w:rsid w:val="2ACC0481"/>
    <w:rsid w:val="2B40037E"/>
    <w:rsid w:val="2B9568A1"/>
    <w:rsid w:val="2BAD25CB"/>
    <w:rsid w:val="2BCE7A35"/>
    <w:rsid w:val="2BFD6B16"/>
    <w:rsid w:val="2C2E47F4"/>
    <w:rsid w:val="2C3047F6"/>
    <w:rsid w:val="2CBA651B"/>
    <w:rsid w:val="2CEA2186"/>
    <w:rsid w:val="2D880685"/>
    <w:rsid w:val="2DDD09AD"/>
    <w:rsid w:val="2E5C3D21"/>
    <w:rsid w:val="2E913546"/>
    <w:rsid w:val="2EB5457C"/>
    <w:rsid w:val="2EB64782"/>
    <w:rsid w:val="2ECD61FA"/>
    <w:rsid w:val="2EDF69A7"/>
    <w:rsid w:val="2F4A02C4"/>
    <w:rsid w:val="2F4F7689"/>
    <w:rsid w:val="2F6656FC"/>
    <w:rsid w:val="2F7745EB"/>
    <w:rsid w:val="308767DA"/>
    <w:rsid w:val="309A0DD7"/>
    <w:rsid w:val="30CE6CD3"/>
    <w:rsid w:val="32264B80"/>
    <w:rsid w:val="32863A70"/>
    <w:rsid w:val="32B3402F"/>
    <w:rsid w:val="336B305B"/>
    <w:rsid w:val="33D13DD0"/>
    <w:rsid w:val="342E59D6"/>
    <w:rsid w:val="343D174C"/>
    <w:rsid w:val="3480408D"/>
    <w:rsid w:val="34D56296"/>
    <w:rsid w:val="34DD1B24"/>
    <w:rsid w:val="35244B84"/>
    <w:rsid w:val="35D703D8"/>
    <w:rsid w:val="360E4AF9"/>
    <w:rsid w:val="361C403D"/>
    <w:rsid w:val="36303D2F"/>
    <w:rsid w:val="365751A7"/>
    <w:rsid w:val="36870440"/>
    <w:rsid w:val="36BF2691"/>
    <w:rsid w:val="36FA7F62"/>
    <w:rsid w:val="372A4DF2"/>
    <w:rsid w:val="37573CEE"/>
    <w:rsid w:val="37914794"/>
    <w:rsid w:val="381C6697"/>
    <w:rsid w:val="386435D6"/>
    <w:rsid w:val="38C34C43"/>
    <w:rsid w:val="38C44830"/>
    <w:rsid w:val="39003169"/>
    <w:rsid w:val="392561CA"/>
    <w:rsid w:val="3972510E"/>
    <w:rsid w:val="39AC08F2"/>
    <w:rsid w:val="39B03DCB"/>
    <w:rsid w:val="39C53698"/>
    <w:rsid w:val="3A184B1B"/>
    <w:rsid w:val="3A490D14"/>
    <w:rsid w:val="3A7C699D"/>
    <w:rsid w:val="3A9E31EF"/>
    <w:rsid w:val="3ADE7B13"/>
    <w:rsid w:val="3AFF220D"/>
    <w:rsid w:val="3B313CB5"/>
    <w:rsid w:val="3B3D0CDD"/>
    <w:rsid w:val="3B6E533A"/>
    <w:rsid w:val="3BAB4B50"/>
    <w:rsid w:val="3BC431AC"/>
    <w:rsid w:val="3C2F10C7"/>
    <w:rsid w:val="3C3A4FB3"/>
    <w:rsid w:val="3C485B8B"/>
    <w:rsid w:val="3C4E0CC8"/>
    <w:rsid w:val="3D7F55DD"/>
    <w:rsid w:val="3DEE38A3"/>
    <w:rsid w:val="3DFB2E61"/>
    <w:rsid w:val="3E470582"/>
    <w:rsid w:val="3E682FE5"/>
    <w:rsid w:val="3E7A5DA4"/>
    <w:rsid w:val="3F210422"/>
    <w:rsid w:val="3F352685"/>
    <w:rsid w:val="3F3D5999"/>
    <w:rsid w:val="3F87756C"/>
    <w:rsid w:val="3FCA3D33"/>
    <w:rsid w:val="3FD61700"/>
    <w:rsid w:val="4013669A"/>
    <w:rsid w:val="40307062"/>
    <w:rsid w:val="405C7E57"/>
    <w:rsid w:val="406D6DBF"/>
    <w:rsid w:val="40C402F8"/>
    <w:rsid w:val="41230975"/>
    <w:rsid w:val="417B255F"/>
    <w:rsid w:val="419A08AE"/>
    <w:rsid w:val="42334FE4"/>
    <w:rsid w:val="424D6E85"/>
    <w:rsid w:val="42AB59D2"/>
    <w:rsid w:val="436A288B"/>
    <w:rsid w:val="437E1E93"/>
    <w:rsid w:val="439F6AA9"/>
    <w:rsid w:val="44144ADB"/>
    <w:rsid w:val="441647C1"/>
    <w:rsid w:val="44330ECF"/>
    <w:rsid w:val="44647F6F"/>
    <w:rsid w:val="4565255B"/>
    <w:rsid w:val="46327AE1"/>
    <w:rsid w:val="465D5A8A"/>
    <w:rsid w:val="469B0FAE"/>
    <w:rsid w:val="46FF25E1"/>
    <w:rsid w:val="471D19C3"/>
    <w:rsid w:val="47727207"/>
    <w:rsid w:val="4799057C"/>
    <w:rsid w:val="487E46E3"/>
    <w:rsid w:val="489F6FE2"/>
    <w:rsid w:val="48DF1625"/>
    <w:rsid w:val="492E7EB7"/>
    <w:rsid w:val="49926698"/>
    <w:rsid w:val="49F340AA"/>
    <w:rsid w:val="4AA72A95"/>
    <w:rsid w:val="4AB014EA"/>
    <w:rsid w:val="4AE0491C"/>
    <w:rsid w:val="4B4340EE"/>
    <w:rsid w:val="4BB12C0C"/>
    <w:rsid w:val="4BFB7EB1"/>
    <w:rsid w:val="4C4D3DFF"/>
    <w:rsid w:val="4C50697B"/>
    <w:rsid w:val="4C8C3872"/>
    <w:rsid w:val="4C927B2A"/>
    <w:rsid w:val="4D0935E1"/>
    <w:rsid w:val="4D5D5079"/>
    <w:rsid w:val="4EB32E59"/>
    <w:rsid w:val="4F075325"/>
    <w:rsid w:val="4F183F51"/>
    <w:rsid w:val="4F602D94"/>
    <w:rsid w:val="4F6F09F1"/>
    <w:rsid w:val="50221C95"/>
    <w:rsid w:val="50903205"/>
    <w:rsid w:val="50CD0D36"/>
    <w:rsid w:val="510A3F30"/>
    <w:rsid w:val="5141204E"/>
    <w:rsid w:val="51905BB3"/>
    <w:rsid w:val="521F2A93"/>
    <w:rsid w:val="525F4C92"/>
    <w:rsid w:val="52A116FA"/>
    <w:rsid w:val="52DE7C89"/>
    <w:rsid w:val="52F17409"/>
    <w:rsid w:val="533D58C6"/>
    <w:rsid w:val="53FC269A"/>
    <w:rsid w:val="5415414D"/>
    <w:rsid w:val="54FF5A23"/>
    <w:rsid w:val="555F49E0"/>
    <w:rsid w:val="55F36710"/>
    <w:rsid w:val="562B0D69"/>
    <w:rsid w:val="567315FF"/>
    <w:rsid w:val="57792910"/>
    <w:rsid w:val="57A155DF"/>
    <w:rsid w:val="57D63BF4"/>
    <w:rsid w:val="57E44C0B"/>
    <w:rsid w:val="585C1D9C"/>
    <w:rsid w:val="586837FC"/>
    <w:rsid w:val="58FA6008"/>
    <w:rsid w:val="593665CB"/>
    <w:rsid w:val="595C2CE4"/>
    <w:rsid w:val="59641AE8"/>
    <w:rsid w:val="59E3084A"/>
    <w:rsid w:val="5A124512"/>
    <w:rsid w:val="5A9B11BD"/>
    <w:rsid w:val="5AC67AF9"/>
    <w:rsid w:val="5AE20B01"/>
    <w:rsid w:val="5B3F5F54"/>
    <w:rsid w:val="5B660733"/>
    <w:rsid w:val="5BDA6115"/>
    <w:rsid w:val="5BF308E2"/>
    <w:rsid w:val="5C1B6DE9"/>
    <w:rsid w:val="5C473913"/>
    <w:rsid w:val="5C582D85"/>
    <w:rsid w:val="5C6C16E9"/>
    <w:rsid w:val="5C6D1A48"/>
    <w:rsid w:val="5C8C58A8"/>
    <w:rsid w:val="5CFA6EE7"/>
    <w:rsid w:val="5D145224"/>
    <w:rsid w:val="5D490AA3"/>
    <w:rsid w:val="5D891708"/>
    <w:rsid w:val="5E4E6BDA"/>
    <w:rsid w:val="5E6A153A"/>
    <w:rsid w:val="5F242480"/>
    <w:rsid w:val="5F5E109E"/>
    <w:rsid w:val="5FB213EA"/>
    <w:rsid w:val="5FFA069B"/>
    <w:rsid w:val="5FFA1DCF"/>
    <w:rsid w:val="613A0F30"/>
    <w:rsid w:val="617C19D3"/>
    <w:rsid w:val="620A2CEE"/>
    <w:rsid w:val="62886432"/>
    <w:rsid w:val="62CE75AB"/>
    <w:rsid w:val="63385665"/>
    <w:rsid w:val="637C59C9"/>
    <w:rsid w:val="63864EA6"/>
    <w:rsid w:val="63865B14"/>
    <w:rsid w:val="640A2C52"/>
    <w:rsid w:val="641B1D61"/>
    <w:rsid w:val="648B3FB8"/>
    <w:rsid w:val="64990483"/>
    <w:rsid w:val="64B16DC0"/>
    <w:rsid w:val="651E5B91"/>
    <w:rsid w:val="657D7DA4"/>
    <w:rsid w:val="65A30AF6"/>
    <w:rsid w:val="65C82943"/>
    <w:rsid w:val="665E72B8"/>
    <w:rsid w:val="667B4312"/>
    <w:rsid w:val="66B71DB0"/>
    <w:rsid w:val="670818F0"/>
    <w:rsid w:val="671D35ED"/>
    <w:rsid w:val="67670D0C"/>
    <w:rsid w:val="67EB3FE6"/>
    <w:rsid w:val="67EE0176"/>
    <w:rsid w:val="680021EB"/>
    <w:rsid w:val="686929FB"/>
    <w:rsid w:val="68AA78F2"/>
    <w:rsid w:val="68C1269E"/>
    <w:rsid w:val="68EB3964"/>
    <w:rsid w:val="694D7A8E"/>
    <w:rsid w:val="695144B5"/>
    <w:rsid w:val="6A034BC1"/>
    <w:rsid w:val="6A4B221F"/>
    <w:rsid w:val="6AD14E1A"/>
    <w:rsid w:val="6AED4BE5"/>
    <w:rsid w:val="6BDC6ED4"/>
    <w:rsid w:val="6BED6B95"/>
    <w:rsid w:val="6CCF011F"/>
    <w:rsid w:val="6DA265FA"/>
    <w:rsid w:val="6DB1137C"/>
    <w:rsid w:val="6DD4077E"/>
    <w:rsid w:val="6E663ACB"/>
    <w:rsid w:val="6E7837FF"/>
    <w:rsid w:val="6E847687"/>
    <w:rsid w:val="6E991899"/>
    <w:rsid w:val="6F165398"/>
    <w:rsid w:val="6F3C2A7E"/>
    <w:rsid w:val="6F5F03D4"/>
    <w:rsid w:val="6F8A5598"/>
    <w:rsid w:val="6FA704DF"/>
    <w:rsid w:val="6FE07ACB"/>
    <w:rsid w:val="70063C83"/>
    <w:rsid w:val="701B08E6"/>
    <w:rsid w:val="704E5AE4"/>
    <w:rsid w:val="7148395C"/>
    <w:rsid w:val="71974C2D"/>
    <w:rsid w:val="71987B43"/>
    <w:rsid w:val="72330169"/>
    <w:rsid w:val="731F249B"/>
    <w:rsid w:val="735126A6"/>
    <w:rsid w:val="73A537B2"/>
    <w:rsid w:val="73C53042"/>
    <w:rsid w:val="742F61FE"/>
    <w:rsid w:val="747607E0"/>
    <w:rsid w:val="749173C8"/>
    <w:rsid w:val="74D70476"/>
    <w:rsid w:val="750E0A19"/>
    <w:rsid w:val="75587EE6"/>
    <w:rsid w:val="7589009F"/>
    <w:rsid w:val="7601232C"/>
    <w:rsid w:val="76326D9D"/>
    <w:rsid w:val="767B20DE"/>
    <w:rsid w:val="769D3713"/>
    <w:rsid w:val="769F67C2"/>
    <w:rsid w:val="76BB24DB"/>
    <w:rsid w:val="76D812DE"/>
    <w:rsid w:val="76E934EC"/>
    <w:rsid w:val="775C1F10"/>
    <w:rsid w:val="77B952C4"/>
    <w:rsid w:val="77C30BA9"/>
    <w:rsid w:val="782F44E1"/>
    <w:rsid w:val="79394C25"/>
    <w:rsid w:val="7A39453F"/>
    <w:rsid w:val="7A966DE4"/>
    <w:rsid w:val="7B694AFF"/>
    <w:rsid w:val="7C176405"/>
    <w:rsid w:val="7C1A5EF5"/>
    <w:rsid w:val="7C5036C5"/>
    <w:rsid w:val="7C536D71"/>
    <w:rsid w:val="7CB15751"/>
    <w:rsid w:val="7CC14950"/>
    <w:rsid w:val="7D0C271F"/>
    <w:rsid w:val="7D0F17D2"/>
    <w:rsid w:val="7D851BC4"/>
    <w:rsid w:val="7D91263D"/>
    <w:rsid w:val="7DC0487A"/>
    <w:rsid w:val="7E06489D"/>
    <w:rsid w:val="7EB73ECF"/>
    <w:rsid w:val="7EC93A73"/>
    <w:rsid w:val="7EEF64CE"/>
    <w:rsid w:val="7F150997"/>
    <w:rsid w:val="7F2A6E09"/>
    <w:rsid w:val="7F8042C1"/>
    <w:rsid w:val="7F9D4429"/>
    <w:rsid w:val="7FAC433B"/>
    <w:rsid w:val="7FDB59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autoRedefine/>
    <w:qFormat/>
    <w:uiPriority w:val="9"/>
    <w:pPr>
      <w:keepNext/>
      <w:keepLines/>
      <w:overflowPunct w:val="0"/>
      <w:spacing w:before="100" w:beforeAutospacing="1" w:after="100" w:afterAutospacing="1" w:line="360" w:lineRule="auto"/>
      <w:jc w:val="left"/>
      <w:outlineLvl w:val="0"/>
    </w:pPr>
    <w:rPr>
      <w:rFonts w:ascii="Calibri" w:hAnsi="Calibri" w:eastAsia="黑体"/>
      <w:bCs/>
      <w:kern w:val="44"/>
      <w:sz w:val="36"/>
      <w:szCs w:val="44"/>
    </w:rPr>
  </w:style>
  <w:style w:type="paragraph" w:styleId="5">
    <w:name w:val="heading 2"/>
    <w:basedOn w:val="1"/>
    <w:next w:val="1"/>
    <w:autoRedefine/>
    <w:qFormat/>
    <w:uiPriority w:val="0"/>
    <w:pPr>
      <w:keepNext/>
      <w:outlineLvl w:val="1"/>
    </w:pPr>
    <w:rPr>
      <w:rFonts w:ascii="宋体" w:hAnsi="宋体"/>
      <w:color w:val="000000"/>
      <w:sz w:val="28"/>
    </w:rPr>
  </w:style>
  <w:style w:type="paragraph" w:styleId="6">
    <w:name w:val="heading 3"/>
    <w:basedOn w:val="1"/>
    <w:next w:val="1"/>
    <w:autoRedefine/>
    <w:unhideWhenUsed/>
    <w:qFormat/>
    <w:uiPriority w:val="0"/>
    <w:pPr>
      <w:keepNext/>
      <w:keepLines/>
      <w:spacing w:beforeLines="0" w:beforeAutospacing="0" w:afterLines="0" w:afterAutospacing="0" w:line="360" w:lineRule="auto"/>
      <w:ind w:firstLine="0" w:firstLineChars="0"/>
      <w:jc w:val="left"/>
      <w:outlineLvl w:val="2"/>
    </w:pPr>
    <w:rPr>
      <w:rFonts w:ascii="Calibri" w:hAnsi="Calibri"/>
      <w:b/>
    </w:rPr>
  </w:style>
  <w:style w:type="paragraph" w:styleId="7">
    <w:name w:val="heading 4"/>
    <w:basedOn w:val="1"/>
    <w:next w:val="1"/>
    <w:autoRedefine/>
    <w:unhideWhenUsed/>
    <w:qFormat/>
    <w:uiPriority w:val="0"/>
    <w:pPr>
      <w:keepNext/>
      <w:keepLines/>
      <w:spacing w:beforeLines="0" w:beforeAutospacing="0" w:afterLines="0" w:afterAutospacing="0" w:line="360" w:lineRule="auto"/>
      <w:ind w:firstLine="1036" w:firstLineChars="200"/>
      <w:jc w:val="left"/>
      <w:outlineLvl w:val="3"/>
    </w:pPr>
    <w:rPr>
      <w:rFonts w:ascii="Times New Roman" w:hAnsi="Times New Roman" w:eastAsia="宋体"/>
      <w:b/>
    </w:rPr>
  </w:style>
  <w:style w:type="character" w:default="1" w:styleId="26">
    <w:name w:val="Default Paragraph Font"/>
    <w:autoRedefine/>
    <w:semiHidden/>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pPr>
      <w:widowControl/>
      <w:snapToGrid w:val="0"/>
      <w:spacing w:before="60" w:after="160" w:line="259" w:lineRule="auto"/>
      <w:ind w:right="113"/>
    </w:pPr>
    <w:rPr>
      <w:kern w:val="0"/>
      <w:sz w:val="18"/>
      <w:szCs w:val="20"/>
    </w:rPr>
  </w:style>
  <w:style w:type="paragraph" w:customStyle="1" w:styleId="3">
    <w:name w:val="xl2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PMingLiU" w:eastAsia="PMingLiU" w:cs="Times New Roman"/>
      <w:kern w:val="0"/>
      <w:sz w:val="16"/>
      <w:szCs w:val="16"/>
      <w:lang w:eastAsia="zh-TW"/>
    </w:rPr>
  </w:style>
  <w:style w:type="paragraph" w:styleId="8">
    <w:name w:val="List 3"/>
    <w:basedOn w:val="1"/>
    <w:next w:val="1"/>
    <w:autoRedefine/>
    <w:qFormat/>
    <w:uiPriority w:val="0"/>
    <w:pPr>
      <w:autoSpaceDE w:val="0"/>
      <w:autoSpaceDN w:val="0"/>
      <w:adjustRightInd w:val="0"/>
      <w:spacing w:line="288" w:lineRule="auto"/>
      <w:ind w:left="1260" w:hanging="420"/>
      <w:jc w:val="left"/>
      <w:textAlignment w:val="baseline"/>
    </w:pPr>
    <w:rPr>
      <w:kern w:val="0"/>
      <w:sz w:val="24"/>
      <w:szCs w:val="20"/>
    </w:rPr>
  </w:style>
  <w:style w:type="paragraph" w:styleId="9">
    <w:name w:val="Normal Indent"/>
    <w:basedOn w:val="1"/>
    <w:next w:val="1"/>
    <w:autoRedefine/>
    <w:qFormat/>
    <w:uiPriority w:val="0"/>
    <w:pPr>
      <w:adjustRightInd w:val="0"/>
      <w:spacing w:line="312" w:lineRule="atLeast"/>
      <w:ind w:firstLine="420"/>
      <w:textAlignment w:val="baseline"/>
    </w:pPr>
    <w:rPr>
      <w:rFonts w:eastAsia="宋体"/>
      <w:sz w:val="21"/>
      <w:lang w:val="en-US" w:eastAsia="zh-CN" w:bidi="ar-SA"/>
    </w:rPr>
  </w:style>
  <w:style w:type="paragraph" w:styleId="10">
    <w:name w:val="caption"/>
    <w:basedOn w:val="1"/>
    <w:next w:val="1"/>
    <w:autoRedefine/>
    <w:qFormat/>
    <w:uiPriority w:val="0"/>
    <w:pPr>
      <w:jc w:val="center"/>
    </w:pPr>
    <w:rPr>
      <w:rFonts w:ascii="Cambria" w:hAnsi="Cambria"/>
      <w:b/>
      <w:sz w:val="24"/>
      <w:szCs w:val="20"/>
    </w:rPr>
  </w:style>
  <w:style w:type="paragraph" w:styleId="11">
    <w:name w:val="annotation text"/>
    <w:basedOn w:val="1"/>
    <w:autoRedefine/>
    <w:semiHidden/>
    <w:qFormat/>
    <w:uiPriority w:val="0"/>
    <w:pPr>
      <w:jc w:val="left"/>
    </w:pPr>
    <w:rPr>
      <w:kern w:val="0"/>
      <w:sz w:val="24"/>
      <w:szCs w:val="20"/>
    </w:rPr>
  </w:style>
  <w:style w:type="paragraph" w:styleId="12">
    <w:name w:val="Body Text Indent"/>
    <w:basedOn w:val="1"/>
    <w:next w:val="13"/>
    <w:autoRedefine/>
    <w:qFormat/>
    <w:uiPriority w:val="0"/>
    <w:pPr>
      <w:spacing w:after="120"/>
      <w:ind w:left="420" w:leftChars="200"/>
    </w:pPr>
    <w:rPr>
      <w:kern w:val="0"/>
      <w:sz w:val="24"/>
      <w:szCs w:val="20"/>
    </w:rPr>
  </w:style>
  <w:style w:type="paragraph" w:styleId="13">
    <w:name w:val="Body Text Indent 2"/>
    <w:basedOn w:val="1"/>
    <w:next w:val="14"/>
    <w:autoRedefine/>
    <w:unhideWhenUsed/>
    <w:qFormat/>
    <w:uiPriority w:val="99"/>
    <w:pPr>
      <w:spacing w:after="120" w:line="480" w:lineRule="auto"/>
      <w:ind w:left="420" w:leftChars="200"/>
    </w:pPr>
  </w:style>
  <w:style w:type="paragraph" w:styleId="14">
    <w:name w:val="Body Text First Indent 2"/>
    <w:basedOn w:val="12"/>
    <w:next w:val="1"/>
    <w:autoRedefine/>
    <w:qFormat/>
    <w:uiPriority w:val="0"/>
    <w:pPr>
      <w:spacing w:after="120" w:line="240" w:lineRule="auto"/>
      <w:ind w:left="420" w:leftChars="200" w:firstLine="420" w:firstLineChars="200"/>
    </w:pPr>
    <w:rPr>
      <w:spacing w:val="0"/>
      <w:sz w:val="21"/>
    </w:rPr>
  </w:style>
  <w:style w:type="paragraph" w:styleId="15">
    <w:name w:val="Plain Text"/>
    <w:basedOn w:val="1"/>
    <w:autoRedefine/>
    <w:unhideWhenUsed/>
    <w:qFormat/>
    <w:uiPriority w:val="99"/>
    <w:rPr>
      <w:rFonts w:ascii="宋体" w:hAnsi="Courier New" w:cs="Courier New"/>
      <w:szCs w:val="21"/>
    </w:rPr>
  </w:style>
  <w:style w:type="paragraph" w:styleId="16">
    <w:name w:val="footer"/>
    <w:basedOn w:val="1"/>
    <w:autoRedefine/>
    <w:qFormat/>
    <w:uiPriority w:val="99"/>
    <w:pPr>
      <w:tabs>
        <w:tab w:val="center" w:pos="4153"/>
        <w:tab w:val="right" w:pos="8306"/>
      </w:tabs>
      <w:snapToGrid w:val="0"/>
      <w:jc w:val="left"/>
    </w:pPr>
    <w:rPr>
      <w:kern w:val="0"/>
      <w:sz w:val="18"/>
      <w:szCs w:val="20"/>
    </w:rPr>
  </w:style>
  <w:style w:type="paragraph" w:styleId="17">
    <w:name w:val="header"/>
    <w:basedOn w:val="1"/>
    <w:next w:val="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List"/>
    <w:basedOn w:val="1"/>
    <w:next w:val="2"/>
    <w:autoRedefine/>
    <w:qFormat/>
    <w:uiPriority w:val="0"/>
    <w:pPr>
      <w:ind w:left="200" w:hanging="200" w:hangingChars="200"/>
    </w:pPr>
  </w:style>
  <w:style w:type="paragraph" w:styleId="19">
    <w:name w:val="Body Text Indent 3"/>
    <w:basedOn w:val="1"/>
    <w:autoRedefine/>
    <w:qFormat/>
    <w:uiPriority w:val="0"/>
    <w:pPr>
      <w:spacing w:line="360" w:lineRule="auto"/>
      <w:ind w:firstLine="360" w:firstLineChars="150"/>
    </w:pPr>
    <w:rPr>
      <w:rFonts w:ascii="宋体"/>
      <w:sz w:val="24"/>
    </w:rPr>
  </w:style>
  <w:style w:type="paragraph" w:styleId="20">
    <w:name w:val="toc 9"/>
    <w:basedOn w:val="1"/>
    <w:next w:val="1"/>
    <w:qFormat/>
    <w:uiPriority w:val="0"/>
    <w:pPr>
      <w:widowControl/>
      <w:wordWrap w:val="0"/>
      <w:ind w:left="2975"/>
    </w:pPr>
    <w:rPr>
      <w:szCs w:val="22"/>
    </w:rPr>
  </w:style>
  <w:style w:type="paragraph" w:styleId="21">
    <w:name w:val="Body Text 2"/>
    <w:basedOn w:val="1"/>
    <w:next w:val="1"/>
    <w:autoRedefine/>
    <w:qFormat/>
    <w:uiPriority w:val="0"/>
    <w:pPr>
      <w:spacing w:line="360" w:lineRule="auto"/>
      <w:jc w:val="center"/>
    </w:pPr>
    <w:rPr>
      <w:rFonts w:ascii="Times New Roman" w:hAnsi="Times New Roman"/>
      <w:bCs/>
      <w:kern w:val="10"/>
      <w:sz w:val="24"/>
    </w:rPr>
  </w:style>
  <w:style w:type="paragraph" w:styleId="22">
    <w:name w:val="Normal (Web)"/>
    <w:basedOn w:val="1"/>
    <w:autoRedefine/>
    <w:qFormat/>
    <w:uiPriority w:val="0"/>
    <w:pPr>
      <w:widowControl/>
      <w:spacing w:before="100" w:beforeAutospacing="1" w:after="100" w:afterAutospacing="1"/>
      <w:jc w:val="left"/>
    </w:pPr>
    <w:rPr>
      <w:rFonts w:ascii="宋体" w:hAnsi="宋体"/>
      <w:kern w:val="0"/>
      <w:sz w:val="24"/>
      <w:szCs w:val="20"/>
    </w:rPr>
  </w:style>
  <w:style w:type="paragraph" w:styleId="23">
    <w:name w:val="Body Text First Indent"/>
    <w:basedOn w:val="2"/>
    <w:autoRedefine/>
    <w:unhideWhenUsed/>
    <w:qFormat/>
    <w:uiPriority w:val="99"/>
    <w:pPr>
      <w:widowControl w:val="0"/>
      <w:ind w:firstLine="420" w:firstLineChars="100"/>
      <w:jc w:val="both"/>
    </w:pPr>
    <w:rPr>
      <w:kern w:val="2"/>
      <w:sz w:val="21"/>
    </w:rPr>
  </w:style>
  <w:style w:type="table" w:styleId="25">
    <w:name w:val="Table Grid"/>
    <w:basedOn w:val="24"/>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rPr>
  </w:style>
  <w:style w:type="character" w:styleId="28">
    <w:name w:val="Hyperlink"/>
    <w:basedOn w:val="26"/>
    <w:autoRedefine/>
    <w:qFormat/>
    <w:uiPriority w:val="0"/>
    <w:rPr>
      <w:color w:val="0000FF"/>
      <w:u w:val="single"/>
    </w:rPr>
  </w:style>
  <w:style w:type="character" w:styleId="29">
    <w:name w:val="annotation reference"/>
    <w:basedOn w:val="26"/>
    <w:autoRedefine/>
    <w:semiHidden/>
    <w:qFormat/>
    <w:uiPriority w:val="0"/>
    <w:rPr>
      <w:sz w:val="21"/>
      <w:szCs w:val="21"/>
    </w:rPr>
  </w:style>
  <w:style w:type="paragraph" w:customStyle="1" w:styleId="30">
    <w:name w:val="Default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Default"/>
    <w:basedOn w:val="32"/>
    <w:next w:val="8"/>
    <w:autoRedefine/>
    <w:qFormat/>
    <w:uiPriority w:val="0"/>
    <w:pPr>
      <w:widowControl w:val="0"/>
      <w:autoSpaceDE w:val="0"/>
      <w:autoSpaceDN w:val="0"/>
      <w:adjustRightInd w:val="0"/>
      <w:snapToGrid w:val="0"/>
      <w:spacing w:line="360" w:lineRule="auto"/>
      <w:ind w:firstLine="720" w:firstLineChars="200"/>
    </w:pPr>
    <w:rPr>
      <w:rFonts w:ascii="Times New Roman" w:hAnsi="Times New Roman" w:eastAsia="宋体" w:cs="Times New Roman"/>
      <w:color w:val="000000"/>
      <w:sz w:val="24"/>
      <w:szCs w:val="24"/>
      <w:lang w:val="en-US" w:eastAsia="zh-CN" w:bidi="ar-SA"/>
    </w:rPr>
  </w:style>
  <w:style w:type="paragraph" w:customStyle="1" w:styleId="32">
    <w:name w:val="纯文本1"/>
    <w:basedOn w:val="1"/>
    <w:autoRedefine/>
    <w:qFormat/>
    <w:uiPriority w:val="0"/>
    <w:pPr>
      <w:adjustRightInd w:val="0"/>
    </w:pPr>
    <w:rPr>
      <w:rFonts w:ascii="宋体" w:hAnsi="Courier New"/>
      <w:szCs w:val="20"/>
    </w:rPr>
  </w:style>
  <w:style w:type="paragraph" w:customStyle="1" w:styleId="33">
    <w:name w:val="正文1"/>
    <w:basedOn w:val="1"/>
    <w:autoRedefine/>
    <w:qFormat/>
    <w:uiPriority w:val="0"/>
    <w:pPr>
      <w:ind w:firstLine="480"/>
    </w:pPr>
    <w:rPr>
      <w:rFonts w:cs="Times New Roman"/>
      <w:color w:val="auto"/>
      <w:kern w:val="0"/>
    </w:rPr>
  </w:style>
  <w:style w:type="paragraph" w:customStyle="1" w:styleId="34">
    <w:name w:val="A正文"/>
    <w:basedOn w:val="1"/>
    <w:autoRedefine/>
    <w:qFormat/>
    <w:uiPriority w:val="0"/>
  </w:style>
  <w:style w:type="paragraph" w:customStyle="1" w:styleId="35">
    <w:name w:val="A-正文"/>
    <w:basedOn w:val="1"/>
    <w:autoRedefine/>
    <w:qFormat/>
    <w:uiPriority w:val="0"/>
    <w:pPr>
      <w:widowControl w:val="0"/>
      <w:adjustRightInd/>
      <w:snapToGrid/>
      <w:spacing w:line="560" w:lineRule="exact"/>
      <w:ind w:firstLine="560" w:firstLineChars="200"/>
    </w:pPr>
    <w:rPr>
      <w:rFonts w:ascii="Times New Roman" w:hAnsi="Times New Roman" w:eastAsia="仿宋_GB2312"/>
      <w:kern w:val="0"/>
      <w:sz w:val="24"/>
      <w:lang w:bidi="ar-SA"/>
    </w:rPr>
  </w:style>
  <w:style w:type="paragraph" w:customStyle="1" w:styleId="36">
    <w:name w:val="胡正文"/>
    <w:basedOn w:val="1"/>
    <w:autoRedefine/>
    <w:qFormat/>
    <w:uiPriority w:val="0"/>
    <w:pPr>
      <w:spacing w:line="360" w:lineRule="auto"/>
      <w:ind w:firstLine="200" w:firstLineChars="200"/>
      <w:jc w:val="left"/>
    </w:pPr>
    <w:rPr>
      <w:rFonts w:ascii="宋体" w:hAnsi="宋体"/>
      <w:sz w:val="24"/>
      <w:szCs w:val="28"/>
    </w:rPr>
  </w:style>
  <w:style w:type="paragraph" w:customStyle="1" w:styleId="37">
    <w:name w:val="正文 + 仿宋_GB2312"/>
    <w:basedOn w:val="1"/>
    <w:autoRedefine/>
    <w:qFormat/>
    <w:uiPriority w:val="99"/>
    <w:pPr>
      <w:ind w:firstLine="480" w:firstLineChars="200"/>
    </w:pPr>
    <w:rPr>
      <w:rFonts w:ascii="仿宋_GB2312" w:hAnsi="Calibri" w:eastAsia="仿宋_GB2312" w:cs="Times New Roman"/>
      <w:sz w:val="24"/>
    </w:rPr>
  </w:style>
  <w:style w:type="paragraph" w:customStyle="1" w:styleId="38">
    <w:name w:val="表格"/>
    <w:basedOn w:val="39"/>
    <w:next w:val="1"/>
    <w:autoRedefine/>
    <w:qFormat/>
    <w:uiPriority w:val="0"/>
    <w:pPr>
      <w:adjustRightInd w:val="0"/>
      <w:snapToGrid w:val="0"/>
      <w:spacing w:beforeLines="10" w:afterLines="10" w:line="259" w:lineRule="auto"/>
      <w:jc w:val="center"/>
    </w:pPr>
    <w:rPr>
      <w:rFonts w:ascii="宋体"/>
      <w:kern w:val="0"/>
      <w:szCs w:val="20"/>
    </w:rPr>
  </w:style>
  <w:style w:type="paragraph" w:customStyle="1" w:styleId="39">
    <w:name w:val="样式1"/>
    <w:basedOn w:val="9"/>
    <w:qFormat/>
    <w:uiPriority w:val="0"/>
    <w:pPr>
      <w:jc w:val="left"/>
    </w:pPr>
    <w:rPr>
      <w:rFonts w:ascii="宋体" w:hAnsi="宋体"/>
      <w:bCs/>
      <w:sz w:val="28"/>
    </w:rPr>
  </w:style>
  <w:style w:type="paragraph" w:customStyle="1" w:styleId="40">
    <w:name w:val="表内容"/>
    <w:basedOn w:val="41"/>
    <w:next w:val="1"/>
    <w:autoRedefine/>
    <w:qFormat/>
    <w:uiPriority w:val="0"/>
    <w:pPr>
      <w:spacing w:line="360" w:lineRule="exact"/>
      <w:ind w:firstLine="0" w:firstLineChars="0"/>
      <w:jc w:val="center"/>
    </w:pPr>
    <w:rPr>
      <w:szCs w:val="21"/>
    </w:rPr>
  </w:style>
  <w:style w:type="paragraph" w:customStyle="1" w:styleId="41">
    <w:name w:val="24磅正文"/>
    <w:basedOn w:val="1"/>
    <w:autoRedefine/>
    <w:qFormat/>
    <w:uiPriority w:val="0"/>
    <w:pPr>
      <w:spacing w:line="480" w:lineRule="exact"/>
      <w:ind w:firstLine="480" w:firstLineChars="200"/>
    </w:pPr>
    <w:rPr>
      <w:rFonts w:eastAsia="宋体"/>
    </w:rPr>
  </w:style>
  <w:style w:type="paragraph" w:customStyle="1" w:styleId="42">
    <w:name w:val="图、表内容"/>
    <w:basedOn w:val="1"/>
    <w:autoRedefine/>
    <w:qFormat/>
    <w:uiPriority w:val="0"/>
    <w:pPr>
      <w:spacing w:line="240" w:lineRule="auto"/>
      <w:ind w:firstLine="0" w:firstLineChars="0"/>
      <w:jc w:val="center"/>
    </w:pPr>
    <w:rPr>
      <w:sz w:val="21"/>
    </w:rPr>
  </w:style>
  <w:style w:type="paragraph" w:customStyle="1" w:styleId="43">
    <w:name w:val="表格内容"/>
    <w:basedOn w:val="44"/>
    <w:next w:val="1"/>
    <w:autoRedefine/>
    <w:qFormat/>
    <w:uiPriority w:val="0"/>
    <w:pPr>
      <w:spacing w:line="240" w:lineRule="atLeast"/>
      <w:jc w:val="center"/>
    </w:pPr>
    <w:rPr>
      <w:rFonts w:eastAsia="宋体"/>
      <w:sz w:val="21"/>
    </w:rPr>
  </w:style>
  <w:style w:type="paragraph" w:customStyle="1" w:styleId="44">
    <w:name w:val="表格标题"/>
    <w:basedOn w:val="18"/>
    <w:next w:val="1"/>
    <w:autoRedefine/>
    <w:qFormat/>
    <w:uiPriority w:val="0"/>
    <w:pPr>
      <w:spacing w:before="0" w:beforeLines="0" w:line="360" w:lineRule="auto"/>
      <w:jc w:val="center"/>
    </w:pPr>
    <w:rPr>
      <w:rFonts w:ascii="Times New Roman" w:hAnsi="Times New Roman" w:eastAsia="黑体"/>
      <w:sz w:val="24"/>
      <w:szCs w:val="20"/>
    </w:rPr>
  </w:style>
  <w:style w:type="character" w:customStyle="1" w:styleId="45">
    <w:name w:val="font71"/>
    <w:basedOn w:val="26"/>
    <w:autoRedefine/>
    <w:qFormat/>
    <w:uiPriority w:val="0"/>
    <w:rPr>
      <w:rFonts w:hint="default" w:ascii="Times New Roman" w:hAnsi="Times New Roman" w:cs="Times New Roman"/>
      <w:color w:val="C00000"/>
      <w:sz w:val="21"/>
      <w:szCs w:val="21"/>
      <w:u w:val="none"/>
    </w:rPr>
  </w:style>
  <w:style w:type="character" w:customStyle="1" w:styleId="46">
    <w:name w:val="font61"/>
    <w:basedOn w:val="26"/>
    <w:autoRedefine/>
    <w:qFormat/>
    <w:uiPriority w:val="0"/>
    <w:rPr>
      <w:rFonts w:hint="default" w:ascii="Times New Roman" w:hAnsi="Times New Roman" w:cs="Times New Roman"/>
      <w:color w:val="C00000"/>
      <w:sz w:val="21"/>
      <w:szCs w:val="21"/>
      <w:u w:val="none"/>
      <w:vertAlign w:val="superscript"/>
    </w:rPr>
  </w:style>
  <w:style w:type="paragraph" w:customStyle="1" w:styleId="47">
    <w:name w:val="报告正文"/>
    <w:autoRedefine/>
    <w:qFormat/>
    <w:uiPriority w:val="0"/>
    <w:pPr>
      <w:spacing w:line="360" w:lineRule="auto"/>
      <w:ind w:firstLine="723" w:firstLineChars="200"/>
    </w:pPr>
    <w:rPr>
      <w:rFonts w:ascii="Times New Roman" w:hAnsi="Times New Roman" w:eastAsia="宋体" w:cs="宋体"/>
      <w:sz w:val="24"/>
      <w:szCs w:val="24"/>
      <w:lang w:val="en-US" w:eastAsia="zh-CN" w:bidi="ar-SA"/>
    </w:rPr>
  </w:style>
  <w:style w:type="paragraph" w:customStyle="1" w:styleId="48">
    <w:name w:val="图、表标题"/>
    <w:basedOn w:val="1"/>
    <w:link w:val="54"/>
    <w:autoRedefine/>
    <w:qFormat/>
    <w:uiPriority w:val="0"/>
    <w:pPr>
      <w:jc w:val="center"/>
    </w:pPr>
    <w:rPr>
      <w:b/>
      <w:sz w:val="21"/>
    </w:rPr>
  </w:style>
  <w:style w:type="paragraph" w:customStyle="1" w:styleId="49">
    <w:name w:val="报告表三级标题"/>
    <w:basedOn w:val="50"/>
    <w:next w:val="1"/>
    <w:autoRedefine/>
    <w:qFormat/>
    <w:uiPriority w:val="0"/>
    <w:pPr>
      <w:spacing w:before="0" w:after="0" w:line="360" w:lineRule="auto"/>
    </w:pPr>
    <w:rPr>
      <w:rFonts w:eastAsia="宋体"/>
      <w:b/>
      <w:sz w:val="28"/>
    </w:rPr>
  </w:style>
  <w:style w:type="paragraph" w:customStyle="1" w:styleId="50">
    <w:name w:val="报告表二级标题"/>
    <w:basedOn w:val="51"/>
    <w:next w:val="52"/>
    <w:autoRedefine/>
    <w:qFormat/>
    <w:uiPriority w:val="0"/>
    <w:pPr>
      <w:spacing w:before="156"/>
    </w:pPr>
    <w:rPr>
      <w:sz w:val="30"/>
    </w:rPr>
  </w:style>
  <w:style w:type="paragraph" w:customStyle="1" w:styleId="51">
    <w:name w:val="报告表一级标题"/>
    <w:basedOn w:val="1"/>
    <w:next w:val="52"/>
    <w:autoRedefine/>
    <w:qFormat/>
    <w:uiPriority w:val="0"/>
    <w:pPr>
      <w:spacing w:after="156" w:line="240" w:lineRule="auto"/>
      <w:jc w:val="left"/>
      <w:outlineLvl w:val="0"/>
    </w:pPr>
    <w:rPr>
      <w:rFonts w:eastAsia="黑体"/>
      <w:kern w:val="1"/>
      <w:sz w:val="32"/>
    </w:rPr>
  </w:style>
  <w:style w:type="paragraph" w:customStyle="1" w:styleId="52">
    <w:name w:val="报告表正文"/>
    <w:basedOn w:val="1"/>
    <w:autoRedefine/>
    <w:qFormat/>
    <w:uiPriority w:val="0"/>
    <w:pPr>
      <w:adjustRightInd w:val="0"/>
      <w:spacing w:line="312" w:lineRule="auto"/>
      <w:ind w:left="113" w:right="113" w:firstLine="482"/>
      <w:jc w:val="left"/>
      <w:textAlignment w:val="baseline"/>
    </w:pPr>
    <w:rPr>
      <w:kern w:val="0"/>
      <w:sz w:val="24"/>
      <w:szCs w:val="20"/>
    </w:rPr>
  </w:style>
  <w:style w:type="paragraph" w:customStyle="1" w:styleId="53">
    <w:name w:val="正文格式"/>
    <w:basedOn w:val="1"/>
    <w:autoRedefine/>
    <w:qFormat/>
    <w:uiPriority w:val="0"/>
    <w:pPr>
      <w:overflowPunct w:val="0"/>
      <w:ind w:firstLine="560" w:firstLineChars="200"/>
    </w:pPr>
    <w:rPr>
      <w:rFonts w:eastAsia="仿宋_GB2312"/>
      <w:kern w:val="0"/>
      <w:sz w:val="28"/>
      <w:szCs w:val="28"/>
    </w:rPr>
  </w:style>
  <w:style w:type="character" w:customStyle="1" w:styleId="54">
    <w:name w:val="图、表标题 Char1"/>
    <w:link w:val="48"/>
    <w:autoRedefine/>
    <w:qFormat/>
    <w:uiPriority w:val="0"/>
    <w:rPr>
      <w:b/>
      <w:sz w:val="21"/>
    </w:rPr>
  </w:style>
  <w:style w:type="paragraph" w:customStyle="1" w:styleId="55">
    <w:name w:val="报告"/>
    <w:basedOn w:val="1"/>
    <w:autoRedefine/>
    <w:qFormat/>
    <w:uiPriority w:val="0"/>
    <w:pPr>
      <w:adjustRightInd w:val="0"/>
      <w:spacing w:line="360" w:lineRule="auto"/>
      <w:ind w:firstLine="505"/>
      <w:textAlignment w:val="center"/>
    </w:pPr>
    <w:rPr>
      <w:rFonts w:ascii="TimesNewRoman" w:hAnsi="TimesNewRoman"/>
      <w:kern w:val="0"/>
      <w:sz w:val="24"/>
      <w:szCs w:val="20"/>
    </w:rPr>
  </w:style>
  <w:style w:type="paragraph" w:customStyle="1" w:styleId="56">
    <w:name w:val="正文2"/>
    <w:basedOn w:val="1"/>
    <w:autoRedefine/>
    <w:qFormat/>
    <w:uiPriority w:val="0"/>
    <w:pPr>
      <w:spacing w:line="500" w:lineRule="exact"/>
      <w:ind w:firstLine="560" w:firstLineChars="200"/>
    </w:pPr>
    <w:rPr>
      <w:rFonts w:ascii="楷体_GB2312" w:eastAsia="楷体_GB2312" w:cs="宋体"/>
      <w:sz w:val="28"/>
      <w:szCs w:val="20"/>
    </w:rPr>
  </w:style>
  <w:style w:type="table" w:customStyle="1" w:styleId="57">
    <w:name w:val="Table Normal"/>
    <w:semiHidden/>
    <w:unhideWhenUsed/>
    <w:qFormat/>
    <w:uiPriority w:val="0"/>
    <w:tblPr>
      <w:tblCellMar>
        <w:top w:w="0" w:type="dxa"/>
        <w:left w:w="0" w:type="dxa"/>
        <w:bottom w:w="0" w:type="dxa"/>
        <w:right w:w="0" w:type="dxa"/>
      </w:tblCellMar>
    </w:tblPr>
  </w:style>
  <w:style w:type="paragraph" w:customStyle="1" w:styleId="58">
    <w:name w:val="Table Text"/>
    <w:basedOn w:val="1"/>
    <w:semiHidden/>
    <w:qFormat/>
    <w:uiPriority w:val="0"/>
    <w:rPr>
      <w:rFonts w:ascii="宋体" w:hAnsi="宋体" w:eastAsia="宋体" w:cs="宋体"/>
      <w:sz w:val="20"/>
      <w:szCs w:val="20"/>
      <w:lang w:val="en-US" w:eastAsia="en-US" w:bidi="ar-SA"/>
    </w:rPr>
  </w:style>
  <w:style w:type="paragraph" w:customStyle="1" w:styleId="59">
    <w:name w:val="表头标题"/>
    <w:basedOn w:val="1"/>
    <w:qFormat/>
    <w:uiPriority w:val="0"/>
    <w:pPr>
      <w:spacing w:line="240" w:lineRule="auto"/>
      <w:ind w:firstLine="480"/>
      <w:jc w:val="center"/>
    </w:pPr>
    <w:rPr>
      <w:b/>
      <w:bCs/>
      <w:sz w:val="21"/>
    </w:rPr>
  </w:style>
  <w:style w:type="paragraph" w:customStyle="1" w:styleId="60">
    <w:name w:val="表格888"/>
    <w:basedOn w:val="1"/>
    <w:qFormat/>
    <w:uiPriority w:val="0"/>
    <w:pPr>
      <w:spacing w:line="240" w:lineRule="auto"/>
      <w:ind w:firstLine="0" w:firstLineChars="0"/>
      <w:jc w:val="center"/>
    </w:pPr>
    <w:rPr>
      <w:bCs/>
      <w:sz w:val="21"/>
    </w:rPr>
  </w:style>
  <w:style w:type="paragraph" w:customStyle="1" w:styleId="61">
    <w:name w:val="表格文字1"/>
    <w:basedOn w:val="1"/>
    <w:qFormat/>
    <w:uiPriority w:val="0"/>
    <w:pPr>
      <w:adjustRightInd w:val="0"/>
      <w:spacing w:before="120" w:line="360" w:lineRule="auto"/>
      <w:ind w:left="113"/>
      <w:jc w:val="left"/>
      <w:textAlignment w:val="baseline"/>
    </w:pPr>
    <w:rPr>
      <w:rFonts w:ascii="宋体"/>
      <w:kern w:val="0"/>
      <w:sz w:val="24"/>
      <w:szCs w:val="20"/>
    </w:rPr>
  </w:style>
  <w:style w:type="paragraph" w:customStyle="1" w:styleId="62">
    <w:name w:val="表头1"/>
    <w:basedOn w:val="15"/>
    <w:autoRedefine/>
    <w:qFormat/>
    <w:uiPriority w:val="0"/>
    <w:pPr>
      <w:spacing w:line="360" w:lineRule="auto"/>
      <w:jc w:val="center"/>
      <w:textAlignment w:val="baseline"/>
    </w:pPr>
    <w:rPr>
      <w:rFonts w:ascii="Times New Roman" w:hAnsi="Times New Roman"/>
      <w:b/>
      <w:color w:val="000000"/>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2.emf"/><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4.wmf"/><Relationship Id="rId22" Type="http://schemas.openxmlformats.org/officeDocument/2006/relationships/oleObject" Target="embeddings/oleObject4.bin"/><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emf"/><Relationship Id="rId11" Type="http://schemas.openxmlformats.org/officeDocument/2006/relationships/oleObject" Target="embeddings/oleObject3.bin"/><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2d30df0d-a52b-4a9b-b79d-5cd56cb53099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D39A7C8</paraID>
      <start>25</start>
      <end>26</end>
      <status>modified</status>
      <modifiedWord>—</modifiedWord>
      <trackRevisions>false</trackRevisions>
    </reviewItem>
    <reviewItem>
      <errorID>3aad58f4-94df-4dea-984a-de259b46c7ce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6ABFF273</paraID>
      <start>0</start>
      <end>2</end>
      <status>modified</status>
      <modifiedWord>1.</modifiedWord>
      <trackRevisions>false</trackRevisions>
    </reviewItem>
    <reviewItem>
      <errorID>c623263c-a699-4937-8a9a-7996aafb2092</errorID>
      <errorWord>制造生产</errorWord>
      <group>L1_Grammar</group>
      <groupName>语法问题</groupName>
      <ability>L2_Grammar</ability>
      <abilityName>语法错误</abilityName>
      <candidateList>
        <item>制造</item>
      </candidateList>
      <explain/>
      <paraID>58BD20C7</paraID>
      <start>21</start>
      <end>23</end>
      <status>modified</status>
      <modifiedWord>制造</modifiedWord>
      <trackRevisions>false</trackRevisions>
    </reviewItem>
    <reviewItem>
      <errorID>94c72d63-95bb-41e5-a997-0006d8d83fc1</errorID>
      <errorWord>项目地理</errorWord>
      <group>L1_Grammar</group>
      <groupName>语法问题</groupName>
      <ability>L2_Grammar</ability>
      <abilityName>语法错误</abilityName>
      <candidateList>
        <item>项目</item>
      </candidateList>
      <explain/>
      <paraID>58BD20C7</paraID>
      <start>83</start>
      <end>85</end>
      <status>modified</status>
      <modifiedWord>项目</modifiedWord>
      <trackRevisions>false</trackRevisions>
    </reviewItem>
    <reviewItem>
      <errorID>0a47e644-a2e6-43b7-bfbd-6ae853d074ac</errorID>
      <errorWord>埇桥循环经济示范园</errorWord>
      <group>L1_Other</group>
      <groupName>其他问题</groupName>
      <ability>L2_Consistency</ability>
      <abilityName>一致性检查</abilityName>
      <candidateList>
        <item>宿州市埇桥区循环经济示范园</item>
      </candidateList>
      <explain>实体一致性：文档中关于该园区的表述应统一为全称‘宿州市埇桥区循环经济示范园’，‘埇桥循环经济示范园’表述不一致</explain>
      <paraID>58BD20C7</paraID>
      <start>87</start>
      <end>100</end>
      <status>modified</status>
      <modifiedWord>宿州市埇桥区循环经济示范园</modifiedWord>
      <trackRevisions>false</trackRevisions>
    </reviewItem>
    <reviewItem>
      <errorID>4ad8f6d6-0776-4070-a14b-9e4206739944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3C5A84FB</paraID>
      <start>0</start>
      <end>2</end>
      <status>modified</status>
      <modifiedWord>2.</modifiedWord>
      <trackRevisions>false</trackRevisions>
    </reviewItem>
    <reviewItem>
      <errorID>6cd6ff9c-90da-4d56-8303-0efcea542eda</errorID>
      <errorWord>实现</errorWord>
      <group>L1_Word</group>
      <groupName>字词问题</groupName>
      <ability>L2_Typo</ability>
      <abilityName>字词错误</abilityName>
      <candidateList>
        <item>实行</item>
      </candidateList>
      <explain>〈动〉用行动来实现（纲领、政策、计划等）：～改革｜～承包责任制。</explain>
      <paraID>2F0ACC30</paraID>
      <start>21</start>
      <end>23</end>
      <status>ignored</status>
      <modifiedWord/>
      <trackRevisions>false</trackRevisions>
    </reviewItem>
    <reviewItem>
      <errorID>6ef3ffb1-5bdf-4d5d-a269-9bb250b9db5d</errorID>
      <errorWord>环保基础设施建设</errorWord>
      <group>L1_Political</group>
      <groupName>政治性问题</groupName>
      <ability>L2_Keyword</ability>
      <abilityName>固定表述</abilityName>
      <candidateList>
        <item>环境基础设施建设</item>
      </candidateList>
      <explain>词汇“环境基础设施建设”在特定场景下为固定表述形式，请确认此处的“环保基础设施建设”是否存在不当。</explain>
      <paraID> A604EA8</paraID>
      <start>14</start>
      <end>22</end>
      <status>ignored</status>
      <modifiedWord/>
      <trackRevisions>false</trackRevisions>
    </reviewItem>
    <reviewItem>
      <errorID>567e4281-c315-4ddb-9fb0-ac1df4e45017</errorID>
      <errorWord>﹐</errorWord>
      <group>L1_Word</group>
      <groupName>字词问题</groupName>
      <ability>L2_Typo</ability>
      <abilityName>字词错误</abilityName>
      <candidateList>
        <item>，</item>
      </candidateList>
      <explain/>
      <paraID> A604EA8</paraID>
      <start>134</start>
      <end>135</end>
      <status>ignored</status>
      <modifiedWord/>
      <trackRevisions>false</trackRevisions>
    </reviewItem>
    <reviewItem>
      <errorID>64d0acb2-ac08-48c4-aed4-9f62787c9417</errorID>
      <errorWord>严格执行环境</errorWord>
      <group>L1_Grammar</group>
      <groupName>语法问题</groupName>
      <ability>L2_Grammar</ability>
      <abilityName>语法错误</abilityName>
      <candidateList>
        <item>严格执行</item>
      </candidateList>
      <explain/>
      <paraID>615B06FE</paraID>
      <start>37</start>
      <end>43</end>
      <status>ignored</status>
      <modifiedWord/>
      <trackRevisions>false</trackRevisions>
    </reviewItem>
    <reviewItem>
      <errorID>f9c17ddb-a1e8-4afd-803e-9b4690eb4ba6</errorID>
      <errorWord>,</errorWord>
      <group>L1_Format</group>
      <groupName>格式问题</groupName>
      <ability>L2_HalfPunc</ability>
      <abilityName>全半角检查</abilityName>
      <candidateList>
        <item>，</item>
      </candidateList>
      <explain>文本全半角错误。</explain>
      <paraID>636F5EE5</paraID>
      <start>9</start>
      <end>10</end>
      <status>modified</status>
      <modifiedWord>，</modifiedWord>
      <trackRevisions>false</trackRevisions>
    </reviewItem>
    <reviewItem>
      <errorID>f4f3dbd7-40b8-43de-adc1-f0c1c039a477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790EDA48</paraID>
      <start>0</start>
      <end>2</end>
      <status>modified</status>
      <modifiedWord>1.</modifiedWord>
      <trackRevisions>false</trackRevisions>
    </reviewItem>
    <reviewItem>
      <errorID>d2628d6e-e778-4999-b361-a2180c412267</errorID>
      <errorWord>发布</errorWord>
      <group>L1_Word</group>
      <groupName>字词问题</groupName>
      <ability>L2_Typo</ability>
      <abilityName>字词错误</abilityName>
      <candidateList>
        <item>印发</item>
      </candidateList>
      <explain/>
      <paraID> 5DD58F7</paraID>
      <start>19</start>
      <end>21</end>
      <status>ignored</status>
      <modifiedWord/>
      <trackRevisions>false</trackRevisions>
    </reviewItem>
    <reviewItem>
      <errorID>f780cd92-2394-4c27-8a6c-5ecfe43c7701</errorID>
      <errorWord>埇桥循环经济示范园</errorWord>
      <group>L1_Other</group>
      <groupName>其他问题</groupName>
      <ability>L2_Consistency</ability>
      <abilityName>一致性检查</abilityName>
      <candidateList>
        <item>宿州市埇桥区循环经济示范园</item>
      </candidateList>
      <explain>实体一致性：文档中关于该园区的表述应统一为全称‘宿州市埇桥区循环经济示范园’，‘埇桥循环经济示范园’表述不一致</explain>
      <paraID>57DB5F42</paraID>
      <start>14</start>
      <end>27</end>
      <status>modified</status>
      <modifiedWord>宿州市埇桥区循环经济示范园</modifiedWord>
      <trackRevisions>false</trackRevisions>
    </reviewItem>
    <reviewItem>
      <errorID>bac45e60-9b18-411b-99f3-e338f98b051e</errorID>
      <errorWord>主要</errorWord>
      <group>L1_Word</group>
      <groupName>字词问题</groupName>
      <ability>L2_Typo</ability>
      <abilityName>字词错误</abilityName>
      <candidateList>
        <item>的主要</item>
      </candidateList>
      <explain/>
      <paraID>7F14D757</paraID>
      <start>5</start>
      <end>8</end>
      <status>modified</status>
      <modifiedWord>的主要</modifiedWord>
      <trackRevisions>false</trackRevisions>
    </reviewItem>
    <reviewItem>
      <errorID>58ac1f84-3b06-4f43-a3af-f2ca1883868c</errorID>
      <errorWord>融熔</errorWord>
      <group>L1_Word</group>
      <groupName>字词问题</groupName>
      <ability>L2_Typo</ability>
      <abilityName>字词错误</abilityName>
      <candidateList>
        <item>熔融</item>
      </candidateList>
      <explain/>
      <paraID>7F14D757</paraID>
      <start>42</start>
      <end>44</end>
      <status>modified</status>
      <modifiedWord>熔融</modifiedWord>
      <trackRevisions>false</trackRevisions>
    </reviewItem>
    <reviewItem>
      <errorID>1087ea49-c755-4919-8193-43c19a5a41e3</errorID>
      <errorWord>本项目</errorWord>
      <group>L1_Grammar</group>
      <groupName>语法问题</groupName>
      <ability>L2_Grammar</ability>
      <abilityName>语法错误</abilityName>
      <candidateList>
        <item>本</item>
      </candidateList>
      <explain/>
      <paraID>57F69FFB</paraID>
      <start>0</start>
      <end>1</end>
      <status>modified</status>
      <modifiedWord>本</modifiedWord>
      <trackRevisions>false</trackRevisions>
    </reviewItem>
    <reviewItem>
      <errorID>3a3d1e9a-7fed-4bea-8432-fd583c2d7dad</errorID>
      <errorWord>交有</errorWord>
      <group>L1_Word</group>
      <groupName>字词问题</groupName>
      <ability>L2_Typo</ability>
      <abilityName>字词错误</abilityName>
      <candidateList>
        <item>交由</item>
      </candidateList>
      <explain>存在发音相同字词的误用。</explain>
      <paraID>57F69FFB</paraID>
      <start>27</start>
      <end>29</end>
      <status>modified</status>
      <modifiedWord>交由</modifiedWord>
      <trackRevisions>false</trackRevisions>
    </reviewItem>
    <reviewItem>
      <errorID>43ee63e7-e437-44f9-a325-31e09f52f5b1</errorID>
      <errorWord>项本</errorWord>
      <group>L1_Word</group>
      <groupName>字词问题</groupName>
      <ability>L2_Typo</ability>
      <abilityName>字词错误</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730978C7</paraID>
      <start>0</start>
      <end>1</end>
      <status>modified</status>
      <modifiedWord>本</modifiedWord>
      <trackRevisions>false</trackRevisions>
    </reviewItem>
    <reviewItem>
      <errorID>fa41625e-c611-4b64-9ab6-2a369d86eb91</errorID>
      <errorWord>上线</errorWord>
      <group>L1_Word</group>
      <groupName>字词问题</groupName>
      <ability>L2_Typo</ability>
      <abilityName>字词错误</abilityName>
      <candidateList>
        <item>上限</item>
      </candidateList>
      <explain/>
      <paraID>31EE8920</paraID>
      <start>71</start>
      <end>73</end>
      <status>ignored</status>
      <modifiedWord/>
      <trackRevisions>false</trackRevisions>
    </reviewItem>
    <reviewItem>
      <errorID>cdfb4443-b102-4703-a145-c9d1f603fbc7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3CD12DD4</paraID>
      <start>83</start>
      <end>85</end>
      <status>modified</status>
      <modifiedWord>》《</modifiedWord>
      <trackRevisions>false</trackRevisions>
    </reviewItem>
    <reviewItem>
      <errorID>3ca43a86-83d1-4f28-a77e-8621436a3f55</errorID>
      <errorWord>》</errorWord>
      <group>L1_Grammar</group>
      <groupName>语法问题</groupName>
      <ability>L2_Grammar</ability>
      <abilityName>语法错误</abilityName>
      <candidateList>
        <item>生态环境准入清单》</item>
      </candidateList>
      <explain/>
      <paraID> 6CBFEFC</paraID>
      <start>12</start>
      <end>13</end>
      <status>ignored</status>
      <modifiedWord/>
      <trackRevisions>false</trackRevisions>
    </reviewItem>
    <reviewItem>
      <errorID>38e42718-631c-4515-99f6-adfa69a3b907</errorID>
      <errorWord>(</errorWord>
      <group>L1_Format</group>
      <groupName>格式问题</groupName>
      <ability>L2_HalfPunc</ability>
      <abilityName>全半角检查</abilityName>
      <candidateList>
        <item>（</item>
      </candidateList>
      <explain>文本全半角错误。</explain>
      <paraID>612A7E12</paraID>
      <start>43</start>
      <end>44</end>
      <status>modified</status>
      <modifiedWord>（</modifiedWord>
      <trackRevisions>false</trackRevisions>
    </reviewItem>
    <reviewItem>
      <errorID>bb7d07df-5045-46e2-8c83-716f31c9d04d</errorID>
      <errorWord>)</errorWord>
      <group>L1_Format</group>
      <groupName>格式问题</groupName>
      <ability>L2_HalfPunc</ability>
      <abilityName>全半角检查</abilityName>
      <candidateList>
        <item>）</item>
      </candidateList>
      <explain>文本全半角错误。</explain>
      <paraID>612A7E12</paraID>
      <start>49</start>
      <end>50</end>
      <status>modified</status>
      <modifiedWord>）</modifiedWord>
      <trackRevisions>false</trackRevisions>
    </reviewItem>
    <reviewItem>
      <errorID>63c76fd5-d8d0-4d99-92c9-f676dea05755</errorID>
      <errorWord> </errorWord>
      <group>L1_Punc</group>
      <groupName>标点问题</groupName>
      <ability>L2_Punc</ability>
      <abilityName>标点符号检查</abilityName>
      <candidateList>
        <item/>
      </candidateList>
      <explain>此处空格冗余，建议删除。</explain>
      <paraID>4E9608AD</paraID>
      <start>14</start>
      <end>15</end>
      <status>ignored</status>
      <modifiedWord/>
      <trackRevisions>false</trackRevisions>
    </reviewItem>
    <reviewItem>
      <errorID>49abb41b-114e-495e-85a9-c7c87fe1cda5</errorID>
      <errorWord>严肃执法监督</errorWord>
      <group>L1_Political</group>
      <groupName>政治性问题</groupName>
      <ability>L2_Keyword</ability>
      <abilityName>固定表述</abilityName>
      <candidateList>
        <item>严格执法监督</item>
      </candidateList>
      <explain>此处内容疑似含有固定表述相关错误，建议核查。</explain>
      <paraID>7124AF07</paraID>
      <start>1</start>
      <end>7</end>
      <status>ignored</status>
      <modifiedWord/>
      <trackRevisions>false</trackRevisions>
    </reviewItem>
    <reviewItem>
      <errorID>a207dc8a-1a0a-41b6-b7ad-a21f553e3555</errorID>
      <errorWord>:</errorWord>
      <group>L1_Punc</group>
      <groupName>标点问题</groupName>
      <ability>L2_Punc</ability>
      <abilityName>标点符号检查</abilityName>
      <candidateList>
        <item>：</item>
      </candidateList>
      <explain/>
      <paraID>60E01CE1</paraID>
      <start>94</start>
      <end>95</end>
      <status>modified</status>
      <modifiedWord>：</modifiedWord>
      <trackRevisions>false</trackRevisions>
    </reviewItem>
    <reviewItem>
      <errorID>d7a23e64-adf7-4858-a1ab-115ababb3d40</errorID>
      <errorWord>胶粘剂</errorWord>
      <group>L1_Word</group>
      <groupName>字词问题</groupName>
      <ability>L2_Typo</ability>
      <abilityName>字词错误</abilityName>
      <candidateList>
        <item>胶黏剂</item>
      </candidateList>
      <explain/>
      <paraID> AAA21C9</paraID>
      <start>26</start>
      <end>29</end>
      <status>ignored</status>
      <modifiedWord/>
      <trackRevisions>false</trackRevisions>
    </reviewItem>
    <reviewItem>
      <errorID>3f093ec5-ecf4-4177-b5a0-4583b39edd9c</errorID>
      <errorWord>严禁</errorWord>
      <group>L1_Punc</group>
      <groupName>标点问题</groupName>
      <ability>L2_Punc</ability>
      <abilityName>标点符号检查</abilityName>
      <candidateList>
        <item>. 严禁</item>
      </candidateList>
      <explain/>
      <paraID>6F467A36</paraID>
      <start>2</start>
      <end>4</end>
      <status>ignored</status>
      <modifiedWord/>
      <trackRevisions>false</trackRevisions>
    </reviewItem>
    <reviewItem>
      <errorID>30fd8281-ef86-4d60-afe4-b2d9806cfad2</errorID>
      <errorWord>禁止</errorWord>
      <group>L1_Punc</group>
      <groupName>标点问题</groupName>
      <ability>L2_Punc</ability>
      <abilityName>标点符号检查</abilityName>
      <candidateList>
        <item>. 禁止</item>
      </candidateList>
      <explain/>
      <paraID>7371581D</paraID>
      <start>2</start>
      <end>4</end>
      <status>ignored</status>
      <modifiedWord/>
      <trackRevisions>false</trackRevisions>
    </reviewItem>
    <reviewItem>
      <errorID>e6c936e8-df87-495a-975c-ef2b57f03b3a</errorID>
      <errorWord>从事</errorWord>
      <group>L1_Punc</group>
      <groupName>标点问题</groupName>
      <ability>L2_Punc</ability>
      <abilityName>标点符号检查</abilityName>
      <candidateList>
        <item>. 从事</item>
      </candidateList>
      <explain/>
      <paraID>56B722B9</paraID>
      <start>2</start>
      <end>4</end>
      <status>ignored</status>
      <modifiedWord/>
      <trackRevisions>false</trackRevisions>
    </reviewItem>
    <reviewItem>
      <errorID>d2b799f5-7394-46a6-a2c1-08b8a8dd5dca</errorID>
      <errorWord>:</errorWord>
      <group>L1_Punc</group>
      <groupName>标点问题</groupName>
      <ability>L2_Punc</ability>
      <abilityName>标点符号检查</abilityName>
      <candidateList>
        <item>：</item>
      </candidateList>
      <explain/>
      <paraID>4C16B502</paraID>
      <start>142</start>
      <end>143</end>
      <status>ignored</status>
      <modifiedWord/>
      <trackRevisions>false</trackRevisions>
    </reviewItem>
    <reviewItem>
      <errorID>74e010b0-7179-4a39-aa24-2b701917de12</errorID>
      <errorWord>加大</errorWord>
      <group>L1_Punc</group>
      <groupName>标点问题</groupName>
      <ability>L2_Punc</ability>
      <abilityName>标点符号检查</abilityName>
      <candidateList>
        <item>. 加大</item>
      </candidateList>
      <explain/>
      <paraID>4B9AE07F</paraID>
      <start>2</start>
      <end>4</end>
      <status>ignored</status>
      <modifiedWord/>
      <trackRevisions>false</trackRevisions>
    </reviewItem>
    <reviewItem>
      <errorID>2ef2e649-a687-4d8c-90a7-a21e2e2086fe</errorID>
      <errorWord>严格</errorWord>
      <group>L1_Punc</group>
      <groupName>标点问题</groupName>
      <ability>L2_Punc</ability>
      <abilityName>标点符号检查</abilityName>
      <candidateList>
        <item>. 严格</item>
      </candidateList>
      <explain/>
      <paraID>5A3FFA1B</paraID>
      <start>2</start>
      <end>4</end>
      <status>ignored</status>
      <modifiedWord/>
      <trackRevisions>false</trackRevisions>
    </reviewItem>
    <reviewItem>
      <errorID>490f9b0c-0c13-46e2-94cd-e803f71328a9</errorID>
      <errorWord>对</errorWord>
      <group>L1_Punc</group>
      <groupName>标点问题</groupName>
      <ability>L2_Punc</ability>
      <abilityName>标点符号检查</abilityName>
      <candidateList>
        <item>. 对</item>
      </candidateList>
      <explain/>
      <paraID>5E59A45B</paraID>
      <start>2</start>
      <end>3</end>
      <status>ignored</status>
      <modifiedWord/>
      <trackRevisions>false</trackRevisions>
    </reviewItem>
    <reviewItem>
      <errorID>d4c5c0b2-a261-4514-b74d-b670fdd6a894</errorID>
      <errorWord>加大</errorWord>
      <group>L1_Punc</group>
      <groupName>标点问题</groupName>
      <ability>L2_Punc</ability>
      <abilityName>标点符号检查</abilityName>
      <candidateList>
        <item>. 加大</item>
      </candidateList>
      <explain/>
      <paraID>3EE44B5C</paraID>
      <start>2</start>
      <end>4</end>
      <status>ignored</status>
      <modifiedWord/>
      <trackRevisions>false</trackRevisions>
    </reviewItem>
    <reviewItem>
      <errorID>6cddb4f4-39d3-4c79-972c-e686e8bc0616</errorID>
      <errorWord>重点</errorWord>
      <group>L1_Punc</group>
      <groupName>标点问题</groupName>
      <ability>L2_Punc</ability>
      <abilityName>标点符号检查</abilityName>
      <candidateList>
        <item>. 重点</item>
      </candidateList>
      <explain/>
      <paraID>71CFF6D1</paraID>
      <start>2</start>
      <end>4</end>
      <status>ignored</status>
      <modifiedWord/>
      <trackRevisions>false</trackRevisions>
    </reviewItem>
    <reviewItem>
      <errorID>69d21520-d044-4ecb-920a-ecd8a065ab84</errorID>
      <errorWord>加大</errorWord>
      <group>L1_Punc</group>
      <groupName>标点问题</groupName>
      <ability>L2_Punc</ability>
      <abilityName>标点符号检查</abilityName>
      <candidateList>
        <item>. 加大</item>
      </candidateList>
      <explain/>
      <paraID>15013762</paraID>
      <start>2</start>
      <end>4</end>
      <status>ignored</status>
      <modifiedWord/>
      <trackRevisions>false</trackRevisions>
    </reviewItem>
    <reviewItem>
      <errorID>b5e289b9-1647-48cf-b3f8-4fc11d9a608e</errorID>
      <errorWord>胶粘剂</errorWord>
      <group>L1_Word</group>
      <groupName>字词问题</groupName>
      <ability>L2_Typo</ability>
      <abilityName>字词错误</abilityName>
      <candidateList>
        <item>胶黏剂</item>
      </candidateList>
      <explain/>
      <paraID>15013762</paraID>
      <start>44</start>
      <end>47</end>
      <status>ignored</status>
      <modifiedWord/>
      <trackRevisions>false</trackRevisions>
    </reviewItem>
    <reviewItem>
      <errorID>1a08f6b1-b371-4e2b-b1b9-02511f820c5a</errorID>
      <errorWord>严格</errorWord>
      <group>L1_Punc</group>
      <groupName>标点问题</groupName>
      <ability>L2_Punc</ability>
      <abilityName>标点符号检查</abilityName>
      <candidateList>
        <item>. 严格</item>
      </candidateList>
      <explain/>
      <paraID>25634A8F</paraID>
      <start>2</start>
      <end>4</end>
      <status>ignored</status>
      <modifiedWord/>
      <trackRevisions>false</trackRevisions>
    </reviewItem>
    <reviewItem>
      <errorID>77b1f84f-6792-4185-8137-eb3664b43b2b</errorID>
      <errorWord>推动</errorWord>
      <group>L1_Punc</group>
      <groupName>标点问题</groupName>
      <ability>L2_Punc</ability>
      <abilityName>标点符号检查</abilityName>
      <candidateList>
        <item>. 推动</item>
      </candidateList>
      <explain/>
      <paraID>279D149C</paraID>
      <start>2</start>
      <end>4</end>
      <status>ignored</status>
      <modifiedWord/>
      <trackRevisions>false</trackRevisions>
    </reviewItem>
    <reviewItem>
      <errorID>38f1c822-c59d-4a98-9b80-fdc706859d9b</errorID>
      <errorWord>优化</errorWord>
      <group>L1_Punc</group>
      <groupName>标点问题</groupName>
      <ability>L2_Punc</ability>
      <abilityName>标点符号检查</abilityName>
      <candidateList>
        <item>. 优化</item>
      </candidateList>
      <explain/>
      <paraID>7D3B6E25</paraID>
      <start>2</start>
      <end>4</end>
      <status>ignored</status>
      <modifiedWord/>
      <trackRevisions>false</trackRevisions>
    </reviewItem>
    <reviewItem>
      <errorID>dd6a2516-7d51-4714-bfa3-60ffba1a4dd6</errorID>
      <errorWord>:</errorWord>
      <group>L1_Format</group>
      <groupName>格式问题</groupName>
      <ability>L2_HalfPunc</ability>
      <abilityName>全半角检查</abilityName>
      <candidateList>
        <item>：</item>
      </candidateList>
      <explain>文本全半角错误。</explain>
      <paraID>7D3B6E25</paraID>
      <start>51</start>
      <end>52</end>
      <status>ignored</status>
      <modifiedWord/>
      <trackRevisions>false</trackRevisions>
    </reviewItem>
    <reviewItem>
      <errorID>9dc45184-9ead-4e35-93df-b81304af337f</errorID>
      <errorWord>加快</errorWord>
      <group>L1_Punc</group>
      <groupName>标点问题</groupName>
      <ability>L2_Punc</ability>
      <abilityName>标点符号检查</abilityName>
      <candidateList>
        <item>. 加快</item>
      </candidateList>
      <explain/>
      <paraID>7D3B6E25</paraID>
      <start>54</start>
      <end>56</end>
      <status>ignored</status>
      <modifiedWord/>
      <trackRevisions>false</trackRevisions>
    </reviewItem>
    <reviewItem>
      <errorID>c8b7d2eb-1058-47bb-83c0-e7f5d416f386</errorID>
      <errorWord>对</errorWord>
      <group>L1_Punc</group>
      <groupName>标点问题</groupName>
      <ability>L2_Punc</ability>
      <abilityName>标点符号检查</abilityName>
      <candidateList>
        <item>. 对</item>
      </candidateList>
      <explain/>
      <paraID>24C2AAEF</paraID>
      <start>2</start>
      <end>3</end>
      <status>ignored</status>
      <modifiedWord/>
      <trackRevisions>false</trackRevisions>
    </reviewItem>
    <reviewItem>
      <errorID>94fe2ca4-c3db-49c6-b1ea-dcc2a445dc02</errorID>
      <errorWord>城市规划</errorWord>
      <group>L1_Punc</group>
      <groupName>标点问题</groupName>
      <ability>L2_Punc</ability>
      <abilityName>标点符号检查</abilityName>
      <candidateList>
        <item>. 城市规划</item>
      </candidateList>
      <explain/>
      <paraID> 875E80A</paraID>
      <start>2</start>
      <end>6</end>
      <status>ignored</status>
      <modifiedWord/>
      <trackRevisions>false</trackRevisions>
    </reviewItem>
    <reviewItem>
      <errorID>602f5449-232b-4ba4-810a-0971fb9cf660</errorID>
      <errorWord>严格执行</errorWord>
      <group>L1_Punc</group>
      <groupName>标点问题</groupName>
      <ability>L2_Punc</ability>
      <abilityName>标点符号检查</abilityName>
      <candidateList>
        <item>. 严格执行</item>
      </candidateList>
      <explain/>
      <paraID>5D057940</paraID>
      <start>2</start>
      <end>6</end>
      <status>ignored</status>
      <modifiedWord/>
      <trackRevisions>false</trackRevisions>
    </reviewItem>
    <reviewItem>
      <errorID>3e463049-d553-4976-ae05-e7a524327e8e</errorID>
      <errorWord>加快</errorWord>
      <group>L1_Punc</group>
      <groupName>标点问题</groupName>
      <ability>L2_Punc</ability>
      <abilityName>标点符号检查</abilityName>
      <candidateList>
        <item>. 加快</item>
      </candidateList>
      <explain/>
      <paraID> 2CED2D7</paraID>
      <start>2</start>
      <end>4</end>
      <status>ignored</status>
      <modifiedWord/>
      <trackRevisions>false</trackRevisions>
    </reviewItem>
    <reviewItem>
      <errorID>a079dd3c-0d85-47d5-9d91-d10c167f253e</errorID>
      <errorWord>、就</errorWord>
      <group>L1_Punc</group>
      <groupName>标点问题</groupName>
      <ability>L2_Punc</ability>
      <abilityName>标点符号检查</abilityName>
      <candidateList>
        <item>，就</item>
      </candidateList>
      <explain>连接词前后不宜使用顿号，建议使用逗号。</explain>
      <paraID> 2CED2D7</paraID>
      <start>53</start>
      <end>55</end>
      <status>ignored</status>
      <modifiedWord/>
      <trackRevisions>false</trackRevisions>
    </reviewItem>
    <reviewItem>
      <errorID>c5956639-4a0c-47be-afe4-9cf621794aea</errorID>
      <errorWord>对</errorWord>
      <group>L1_Punc</group>
      <groupName>标点问题</groupName>
      <ability>L2_Punc</ability>
      <abilityName>标点符号检查</abilityName>
      <candidateList>
        <item>. 对</item>
      </candidateList>
      <explain/>
      <paraID> 40BDCDF</paraID>
      <start>2</start>
      <end>3</end>
      <status>ignored</status>
      <modifiedWord/>
      <trackRevisions>false</trackRevisions>
    </reviewItem>
    <reviewItem>
      <errorID>2df1773c-b878-4e08-8fc1-956708f14f37</errorID>
      <errorWord>对</errorWord>
      <group>L1_Punc</group>
      <groupName>标点问题</groupName>
      <ability>L2_Punc</ability>
      <abilityName>标点符号检查</abilityName>
      <candidateList>
        <item>. 对</item>
      </candidateList>
      <explain/>
      <paraID> 33507D8</paraID>
      <start>2</start>
      <end>3</end>
      <status>ignored</status>
      <modifiedWord/>
      <trackRevisions>false</trackRevisions>
    </reviewItem>
    <reviewItem>
      <errorID>ada83b9d-6710-40c7-8857-8117f81a4096</errorID>
      <errorWord>对</errorWord>
      <group>L1_Punc</group>
      <groupName>标点问题</groupName>
      <ability>L2_Punc</ability>
      <abilityName>标点符号检查</abilityName>
      <candidateList>
        <item>. 对</item>
      </candidateList>
      <explain/>
      <paraID>50913AF1</paraID>
      <start>2</start>
      <end>3</end>
      <status>ignored</status>
      <modifiedWord/>
      <trackRevisions>false</trackRevisions>
    </reviewItem>
    <reviewItem>
      <errorID>fd5b1ee9-0627-4053-8b69-7f478fd8f261</errorID>
      <errorWord>对</errorWord>
      <group>L1_Punc</group>
      <groupName>标点问题</groupName>
      <ability>L2_Punc</ability>
      <abilityName>标点符号检查</abilityName>
      <candidateList>
        <item>. 对</item>
      </candidateList>
      <explain/>
      <paraID>3C463DBF</paraID>
      <start>2</start>
      <end>3</end>
      <status>ignored</status>
      <modifiedWord/>
      <trackRevisions>false</trackRevisions>
    </reviewItem>
    <reviewItem>
      <errorID>9ebe9abf-826f-4592-91e9-186d198a7355</errorID>
      <errorWord>重点</errorWord>
      <group>L1_Punc</group>
      <groupName>标点问题</groupName>
      <ability>L2_Punc</ability>
      <abilityName>标点符号检查</abilityName>
      <candidateList>
        <item>. 重点</item>
      </candidateList>
      <explain/>
      <paraID>30D41E78</paraID>
      <start>2</start>
      <end>4</end>
      <status>ignored</status>
      <modifiedWord/>
      <trackRevisions>false</trackRevisions>
    </reviewItem>
    <reviewItem>
      <errorID>d1713c22-eca2-44da-964a-365422304057</errorID>
      <errorWord>:</errorWord>
      <group>L1_Format</group>
      <groupName>格式问题</groupName>
      <ability>L2_HalfPunc</ability>
      <abilityName>全半角检查</abilityName>
      <candidateList>
        <item>：</item>
      </candidateList>
      <explain>文本全半角错误。</explain>
      <paraID>13ADA108</paraID>
      <start>10</start>
      <end>11</end>
      <status>ignored</status>
      <modifiedWord/>
      <trackRevisions>false</trackRevisions>
    </reviewItem>
    <reviewItem>
      <errorID>6ab7dfb6-5451-479c-9849-e11ba4aceaf0</errorID>
      <errorWord>强化</errorWord>
      <group>L1_Punc</group>
      <groupName>标点问题</groupName>
      <ability>L2_Punc</ability>
      <abilityName>标点符号检查</abilityName>
      <candidateList>
        <item>. 强化</item>
      </candidateList>
      <explain/>
      <paraID>13ADA108</paraID>
      <start>13</start>
      <end>15</end>
      <status>ignored</status>
      <modifiedWord/>
      <trackRevisions>false</trackRevisions>
    </reviewItem>
    <reviewItem>
      <errorID>5eded7d4-e835-4414-9157-23c5c045f585</errorID>
      <errorWord>企业</errorWord>
      <group>L1_Punc</group>
      <groupName>标点问题</groupName>
      <ability>L2_Punc</ability>
      <abilityName>标点符号检查</abilityName>
      <candidateList>
        <item>. 企业</item>
      </candidateList>
      <explain/>
      <paraID>6462055D</paraID>
      <start>2</start>
      <end>4</end>
      <status>ignored</status>
      <modifiedWord/>
      <trackRevisions>false</trackRevisions>
    </reviewItem>
    <reviewItem>
      <errorID>5d28e3cc-e510-4ee8-aa79-dfaa4402e86f</errorID>
      <errorWord> </errorWord>
      <group>L1_Punc</group>
      <groupName>标点问题</groupName>
      <ability>L2_Punc</ability>
      <abilityName>标点符号检查</abilityName>
      <candidateList>
        <item/>
      </candidateList>
      <explain>此处空格冗余，建议删除。</explain>
      <paraID>6462055D</paraID>
      <start>65</start>
      <end>66</end>
      <status>ignored</status>
      <modifiedWord/>
      <trackRevisions>false</trackRevisions>
    </reviewItem>
    <reviewItem>
      <errorID>a2ecbb43-467a-4b2c-ae43-ebb8b0531032</errorID>
      <errorWord>建 设</errorWord>
      <group>L1_Word</group>
      <groupName>字词问题</groupName>
      <ability>L2_Typo</ability>
      <abilityName>字词错误</abilityName>
      <candidateList>
        <item>建设</item>
      </candidateList>
      <explain/>
      <paraID>6462055D</paraID>
      <start>97</start>
      <end>100</end>
      <status>ignored</status>
      <modifiedWord/>
      <trackRevisions>false</trackRevisions>
    </reviewItem>
    <reviewItem>
      <errorID>2de1bfda-592f-477e-8aeb-a5c72089977e</errorID>
      <errorWord> </errorWord>
      <group>L1_Punc</group>
      <groupName>标点问题</groupName>
      <ability>L2_Punc</ability>
      <abilityName>标点符号检查</abilityName>
      <candidateList>
        <item>. </item>
      </candidateList>
      <explain/>
      <paraID>6462055D</paraID>
      <start>107</start>
      <end>108</end>
      <status>ignored</status>
      <modifiedWord/>
      <trackRevisions>false</trackRevisions>
    </reviewItem>
    <reviewItem>
      <errorID>04ebdd12-015c-44f5-bb9a-4b5677c43c34</errorID>
      <errorWord> </errorWord>
      <group>L1_Punc</group>
      <groupName>标点问题</groupName>
      <ability>L2_Punc</ability>
      <abilityName>标点符号检查</abilityName>
      <candidateList>
        <item/>
      </candidateList>
      <explain>此处空格冗余，建议删除。</explain>
      <paraID>6462055D</paraID>
      <start>132</start>
      <end>132</end>
      <status>modified</status>
      <modifiedWord/>
      <trackRevisions>false</trackRevisions>
    </reviewItem>
    <reviewItem>
      <errorID>1471889a-ebd6-4a1e-91af-9f695a0ad7c2</errorID>
      <errorWord> </errorWord>
      <group>L1_Punc</group>
      <groupName>标点问题</groupName>
      <ability>L2_Punc</ability>
      <abilityName>标点符号检查</abilityName>
      <candidateList>
        <item>. </item>
      </candidateList>
      <explain/>
      <paraID>6462055D</paraID>
      <start>153</start>
      <end>155</end>
      <status>modified</status>
      <modifiedWord>. </modifiedWord>
      <trackRevisions>false</trackRevisions>
    </reviewItem>
    <reviewItem>
      <errorID>96c6ad11-fcd0-4c4d-96fe-7b52f10599e8</errorID>
      <errorWord>渔 业</errorWord>
      <group>L1_Word</group>
      <groupName>字词问题</groupName>
      <ability>L2_Typo</ability>
      <abilityName>字词错误</abilityName>
      <candidateList>
        <item>渔业</item>
      </candidateList>
      <explain/>
      <paraID>6462055D</paraID>
      <start>185</start>
      <end>187</end>
      <status>modified</status>
      <modifiedWord>渔业</modifiedWord>
      <trackRevisions>false</trackRevisions>
    </reviewItem>
    <reviewItem>
      <errorID>7878e56d-e908-4e51-87ba-1c6eb96ef430</errorID>
      <errorWord> </errorWord>
      <group>L1_Punc</group>
      <groupName>标点问题</groupName>
      <ability>L2_Punc</ability>
      <abilityName>标点符号检查</abilityName>
      <candidateList>
        <item/>
      </candidateList>
      <explain>此处空格冗余，建议删除。</explain>
      <paraID>6462055D</paraID>
      <start>218</start>
      <end>218</end>
      <status>modified</status>
      <modifiedWord/>
      <trackRevisions>false</trackRevisions>
    </reviewItem>
    <reviewItem>
      <errorID>02d23ecc-48d0-41b2-b57b-790d02e9b5a5</errorID>
      <errorWord> </errorWord>
      <group>L1_Punc</group>
      <groupName>标点问题</groupName>
      <ability>L2_Punc</ability>
      <abilityName>标点符号检查</abilityName>
      <candidateList>
        <item>. </item>
      </candidateList>
      <explain/>
      <paraID>6462055D</paraID>
      <start>221</start>
      <end>223</end>
      <status>modified</status>
      <modifiedWord>. </modifiedWord>
      <trackRevisions>false</trackRevisions>
    </reviewItem>
    <reviewItem>
      <errorID>2ee7ec74-4d34-45fc-adca-e55e98b52272</errorID>
      <errorWord>(</errorWord>
      <group>L1_Format</group>
      <groupName>格式问题</groupName>
      <ability>L2_HalfPunc</ability>
      <abilityName>全半角检查</abilityName>
      <candidateList>
        <item>（</item>
      </candidateList>
      <explain>文本全半角错误。</explain>
      <paraID>6462055D</paraID>
      <start>230</start>
      <end>231</end>
      <status>modified</status>
      <modifiedWord>（</modifiedWord>
      <trackRevisions>false</trackRevisions>
    </reviewItem>
    <reviewItem>
      <errorID>aa14807b-1a18-48be-8564-c2626676d987</errorID>
      <errorWord>)</errorWord>
      <group>L1_Format</group>
      <groupName>格式问题</groupName>
      <ability>L2_HalfPunc</ability>
      <abilityName>全半角检查</abilityName>
      <candidateList>
        <item>）</item>
      </candidateList>
      <explain>文本全半角错误。</explain>
      <paraID>6462055D</paraID>
      <start>232</start>
      <end>233</end>
      <status>modified</status>
      <modifiedWord>）</modifiedWord>
      <trackRevisions>false</trackRevisions>
    </reviewItem>
    <reviewItem>
      <errorID>d4d2dbb3-d19f-4eb8-882c-b0ee22589f0f</errorID>
      <errorWord>(</errorWord>
      <group>L1_Format</group>
      <groupName>格式问题</groupName>
      <ability>L2_HalfPunc</ability>
      <abilityName>全半角检查</abilityName>
      <candidateList>
        <item>（</item>
      </candidateList>
      <explain>文本全半角错误。</explain>
      <paraID>6462055D</paraID>
      <start>261</start>
      <end>262</end>
      <status>modified</status>
      <modifiedWord>（</modifiedWord>
      <trackRevisions>false</trackRevisions>
    </reviewItem>
    <reviewItem>
      <errorID>608cf053-c110-41ca-9f75-0a282dd87f65</errorID>
      <errorWord>)</errorWord>
      <group>L1_Format</group>
      <groupName>格式问题</groupName>
      <ability>L2_HalfPunc</ability>
      <abilityName>全半角检查</abilityName>
      <candidateList>
        <item>）</item>
      </candidateList>
      <explain>文本全半角错误。</explain>
      <paraID>6462055D</paraID>
      <start>263</start>
      <end>264</end>
      <status>modified</status>
      <modifiedWord>）</modifiedWord>
      <trackRevisions>false</trackRevisions>
    </reviewItem>
    <reviewItem>
      <errorID>53f750a8-4a1c-4db7-b8ff-ab71b259ce9c</errorID>
      <errorWord>(</errorWord>
      <group>L1_Format</group>
      <groupName>格式问题</groupName>
      <ability>L2_HalfPunc</ability>
      <abilityName>全半角检查</abilityName>
      <candidateList>
        <item>（</item>
      </candidateList>
      <explain>文本全半角错误。</explain>
      <paraID>6462055D</paraID>
      <start>291</start>
      <end>292</end>
      <status>modified</status>
      <modifiedWord>（</modifiedWord>
      <trackRevisions>false</trackRevisions>
    </reviewItem>
    <reviewItem>
      <errorID>556618df-75ff-4454-9008-7d7642db015c</errorID>
      <errorWord>)</errorWord>
      <group>L1_Format</group>
      <groupName>格式问题</groupName>
      <ability>L2_HalfPunc</ability>
      <abilityName>全半角检查</abilityName>
      <candidateList>
        <item>）</item>
      </candidateList>
      <explain>文本全半角错误。</explain>
      <paraID>6462055D</paraID>
      <start>293</start>
      <end>294</end>
      <status>modified</status>
      <modifiedWord>）</modifiedWord>
      <trackRevisions>false</trackRevisions>
    </reviewItem>
    <reviewItem>
      <errorID>3a929d15-ffe1-4842-a488-764c1a4aa485</errorID>
      <errorWord>(</errorWord>
      <group>L1_Format</group>
      <groupName>格式问题</groupName>
      <ability>L2_HalfPunc</ability>
      <abilityName>全半角检查</abilityName>
      <candidateList>
        <item>（</item>
      </candidateList>
      <explain>文本全半角错误。</explain>
      <paraID>6462055D</paraID>
      <start>343</start>
      <end>344</end>
      <status>modified</status>
      <modifiedWord>（</modifiedWord>
      <trackRevisions>false</trackRevisions>
    </reviewItem>
    <reviewItem>
      <errorID>77d3e8b1-a425-46de-ae3c-ca1de377ea54</errorID>
      <errorWord>)</errorWord>
      <group>L1_Format</group>
      <groupName>格式问题</groupName>
      <ability>L2_HalfPunc</ability>
      <abilityName>全半角检查</abilityName>
      <candidateList>
        <item>）</item>
      </candidateList>
      <explain>文本全半角错误。</explain>
      <paraID>6462055D</paraID>
      <start>345</start>
      <end>346</end>
      <status>modified</status>
      <modifiedWord>）</modifiedWord>
      <trackRevisions>false</trackRevisions>
    </reviewItem>
    <reviewItem>
      <errorID>8168a6a1-c7be-4cd2-b1ec-cc7084cb2ded</errorID>
      <errorWord>(</errorWord>
      <group>L1_Format</group>
      <groupName>格式问题</groupName>
      <ability>L2_HalfPunc</ability>
      <abilityName>全半角检查</abilityName>
      <candidateList>
        <item>（</item>
      </candidateList>
      <explain>文本全半角错误。</explain>
      <paraID>6462055D</paraID>
      <start>371</start>
      <end>372</end>
      <status>modified</status>
      <modifiedWord>（</modifiedWord>
      <trackRevisions>false</trackRevisions>
    </reviewItem>
    <reviewItem>
      <errorID>02884f9f-5ac0-4253-934a-237969280dd9</errorID>
      <errorWord>)</errorWord>
      <group>L1_Format</group>
      <groupName>格式问题</groupName>
      <ability>L2_HalfPunc</ability>
      <abilityName>全半角检查</abilityName>
      <candidateList>
        <item>）</item>
      </candidateList>
      <explain>文本全半角错误。</explain>
      <paraID>6462055D</paraID>
      <start>373</start>
      <end>374</end>
      <status>modified</status>
      <modifiedWord>）</modifiedWord>
      <trackRevisions>false</trackRevisions>
    </reviewItem>
    <reviewItem>
      <errorID>776fa675-f682-49d2-b99f-c1c3bf7c7b6e</errorID>
      <errorWord>(</errorWord>
      <group>L1_Format</group>
      <groupName>格式问题</groupName>
      <ability>L2_HalfPunc</ability>
      <abilityName>全半角检查</abilityName>
      <candidateList>
        <item>（</item>
      </candidateList>
      <explain>文本全半角错误。</explain>
      <paraID>6462055D</paraID>
      <start>399</start>
      <end>400</end>
      <status>modified</status>
      <modifiedWord>（</modifiedWord>
      <trackRevisions>false</trackRevisions>
    </reviewItem>
    <reviewItem>
      <errorID>2cbe44a6-a67d-440b-80b5-d997e43fd039</errorID>
      <errorWord>)</errorWord>
      <group>L1_Format</group>
      <groupName>格式问题</groupName>
      <ability>L2_HalfPunc</ability>
      <abilityName>全半角检查</abilityName>
      <candidateList>
        <item>）</item>
      </candidateList>
      <explain>文本全半角错误。</explain>
      <paraID>6462055D</paraID>
      <start>401</start>
      <end>402</end>
      <status>modified</status>
      <modifiedWord>）</modifiedWord>
      <trackRevisions>false</trackRevisions>
    </reviewItem>
    <reviewItem>
      <errorID>cf0894e8-ca2b-4728-a787-8981430e03ef</errorID>
      <errorWord>(</errorWord>
      <group>L1_Format</group>
      <groupName>格式问题</groupName>
      <ability>L2_HalfPunc</ability>
      <abilityName>全半角检查</abilityName>
      <candidateList>
        <item>（</item>
      </candidateList>
      <explain>文本全半角错误。</explain>
      <paraID>6462055D</paraID>
      <start>473</start>
      <end>474</end>
      <status>modified</status>
      <modifiedWord>（</modifiedWord>
      <trackRevisions>false</trackRevisions>
    </reviewItem>
    <reviewItem>
      <errorID>4866a45b-20b9-4327-9fd1-d29ee1e1209c</errorID>
      <errorWord>)</errorWord>
      <group>L1_Format</group>
      <groupName>格式问题</groupName>
      <ability>L2_HalfPunc</ability>
      <abilityName>全半角检查</abilityName>
      <candidateList>
        <item>）</item>
      </candidateList>
      <explain>文本全半角错误。</explain>
      <paraID>6462055D</paraID>
      <start>475</start>
      <end>476</end>
      <status>modified</status>
      <modifiedWord>）</modifiedWord>
      <trackRevisions>false</trackRevisions>
    </reviewItem>
    <reviewItem>
      <errorID>e331a045-bea7-41f4-bd19-dd0f0e279204</errorID>
      <errorWord>(</errorWord>
      <group>L1_Format</group>
      <groupName>格式问题</groupName>
      <ability>L2_HalfPunc</ability>
      <abilityName>全半角检查</abilityName>
      <candidateList>
        <item>（</item>
      </candidateList>
      <explain>文本全半角错误。</explain>
      <paraID>6462055D</paraID>
      <start>522</start>
      <end>523</end>
      <status>modified</status>
      <modifiedWord>（</modifiedWord>
      <trackRevisions>false</trackRevisions>
    </reviewItem>
    <reviewItem>
      <errorID>6e8e5f07-01cf-41ad-bc77-7a6636a98be5</errorID>
      <errorWord>)</errorWord>
      <group>L1_Format</group>
      <groupName>格式问题</groupName>
      <ability>L2_HalfPunc</ability>
      <abilityName>全半角检查</abilityName>
      <candidateList>
        <item>）</item>
      </candidateList>
      <explain>文本全半角错误。</explain>
      <paraID>6462055D</paraID>
      <start>524</start>
      <end>525</end>
      <status>modified</status>
      <modifiedWord>）</modifiedWord>
      <trackRevisions>false</trackRevisions>
    </reviewItem>
    <reviewItem>
      <errorID>30fdad8a-4830-4156-8c04-42bd9adbe588</errorID>
      <errorWord>(</errorWord>
      <group>L1_Format</group>
      <groupName>格式问题</groupName>
      <ability>L2_HalfPunc</ability>
      <abilityName>全半角检查</abilityName>
      <candidateList>
        <item>（</item>
      </candidateList>
      <explain>文本全半角错误。</explain>
      <paraID>6462055D</paraID>
      <start>544</start>
      <end>545</end>
      <status>modified</status>
      <modifiedWord>（</modifiedWord>
      <trackRevisions>false</trackRevisions>
    </reviewItem>
    <reviewItem>
      <errorID>ac973cff-da2d-4cc4-a9ce-5ef1e1f9ea0a</errorID>
      <errorWord>)</errorWord>
      <group>L1_Format</group>
      <groupName>格式问题</groupName>
      <ability>L2_HalfPunc</ability>
      <abilityName>全半角检查</abilityName>
      <candidateList>
        <item>）</item>
      </candidateList>
      <explain>文本全半角错误。</explain>
      <paraID>6462055D</paraID>
      <start>546</start>
      <end>547</end>
      <status>modified</status>
      <modifiedWord>）</modifiedWord>
      <trackRevisions>false</trackRevisions>
    </reviewItem>
    <reviewItem>
      <errorID>2f13fda5-a1db-4487-9262-3b883d458619</errorID>
      <errorWord>(</errorWord>
      <group>L1_Format</group>
      <groupName>格式问题</groupName>
      <ability>L2_HalfPunc</ability>
      <abilityName>全半角检查</abilityName>
      <candidateList>
        <item>（</item>
      </candidateList>
      <explain>文本全半角错误。</explain>
      <paraID>6462055D</paraID>
      <start>570</start>
      <end>571</end>
      <status>modified</status>
      <modifiedWord>（</modifiedWord>
      <trackRevisions>false</trackRevisions>
    </reviewItem>
    <reviewItem>
      <errorID>666f7dfd-8e9b-49ea-8219-73174126f664</errorID>
      <errorWord>)</errorWord>
      <group>L1_Format</group>
      <groupName>格式问题</groupName>
      <ability>L2_HalfPunc</ability>
      <abilityName>全半角检查</abilityName>
      <candidateList>
        <item>）</item>
      </candidateList>
      <explain>文本全半角错误。</explain>
      <paraID>6462055D</paraID>
      <start>572</start>
      <end>573</end>
      <status>modified</status>
      <modifiedWord>）</modifiedWord>
      <trackRevisions>false</trackRevisions>
    </reviewItem>
    <reviewItem>
      <errorID>6194d3ec-f1f6-41c4-b75d-159758c1a74b</errorID>
      <errorWord>法律、法规</errorWord>
      <group>L1_Word</group>
      <groupName>字词问题</groupName>
      <ability>L2_Typo</ability>
      <abilityName>字词错误</abilityName>
      <candidateList>
        <item>法律法规</item>
      </candidateList>
      <explain/>
      <paraID>6462055D</paraID>
      <start>573</start>
      <end>577</end>
      <status>modified</status>
      <modifiedWord>法律法规</modifiedWord>
      <trackRevisions>false</trackRevisions>
    </reviewItem>
    <reviewItem>
      <errorID>2d96c893-d354-4cd5-8c4f-1f39a6e80255</errorID>
      <errorWord> </errorWord>
      <group>L1_Punc</group>
      <groupName>标点问题</groupName>
      <ability>L2_Punc</ability>
      <abilityName>标点符号检查</abilityName>
      <candidateList>
        <item>. </item>
      </candidateList>
      <explain/>
      <paraID>6462055D</paraID>
      <start>587</start>
      <end>589</end>
      <status>modified</status>
      <modifiedWord>. </modifiedWord>
      <trackRevisions>false</trackRevisions>
    </reviewItem>
    <reviewItem>
      <errorID>1c9222b9-198f-4639-b3e0-252f930ef5ea</errorID>
      <errorWord> </errorWord>
      <group>L1_Punc</group>
      <groupName>标点问题</groupName>
      <ability>L2_Punc</ability>
      <abilityName>标点符号检查</abilityName>
      <candidateList>
        <item/>
      </candidateList>
      <explain>此处空格冗余，建议删除。</explain>
      <paraID>6462055D</paraID>
      <start>620</start>
      <end>620</end>
      <status>modified</status>
      <modifiedWord/>
      <trackRevisions>false</trackRevisions>
    </reviewItem>
    <reviewItem>
      <errorID>5ce24486-bf19-4f0d-a415-3992c87fc9a3</errorID>
      <errorWord> </errorWord>
      <group>L1_Punc</group>
      <groupName>标点问题</groupName>
      <ability>L2_Punc</ability>
      <abilityName>标点符号检查</abilityName>
      <candidateList>
        <item/>
      </candidateList>
      <explain>此处空格冗余，建议删除。</explain>
      <paraID>6462055D</paraID>
      <start>652</start>
      <end>652</end>
      <status>modified</status>
      <modifiedWord/>
      <trackRevisions>false</trackRevisions>
    </reviewItem>
    <reviewItem>
      <errorID>8d4e8abc-d96d-4fe3-b990-e9a44576c4da</errorID>
      <errorWord> </errorWord>
      <group>L1_Punc</group>
      <groupName>标点问题</groupName>
      <ability>L2_Punc</ability>
      <abilityName>标点符号检查</abilityName>
      <candidateList>
        <item>. </item>
      </candidateList>
      <explain/>
      <paraID>6462055D</paraID>
      <start>657</start>
      <end>659</end>
      <status>modified</status>
      <modifiedWord>. </modifiedWord>
      <trackRevisions>false</trackRevisions>
    </reviewItem>
    <reviewItem>
      <errorID>a16063b1-1739-4fe1-9145-0e1c1505c67b</errorID>
      <errorWord> </errorWord>
      <group>L1_Punc</group>
      <groupName>标点问题</groupName>
      <ability>L2_Punc</ability>
      <abilityName>标点符号检查</abilityName>
      <candidateList>
        <item>. </item>
      </candidateList>
      <explain/>
      <paraID>6462055D</paraID>
      <start>674</start>
      <end>676</end>
      <status>modified</status>
      <modifiedWord>. </modifiedWord>
      <trackRevisions>false</trackRevisions>
    </reviewItem>
    <reviewItem>
      <errorID>672f1e52-ca7e-4fe0-a407-878461fe83e2</errorID>
      <errorWord>露 天矿山</errorWord>
      <group>L1_Word</group>
      <groupName>字词问题</groupName>
      <ability>L2_Typo</ability>
      <abilityName>字词错误</abilityName>
      <candidateList>
        <item>露天矿山</item>
      </candidateList>
      <explain/>
      <paraID>6462055D</paraID>
      <start>706</start>
      <end>710</end>
      <status>modified</status>
      <modifiedWord>露天矿山</modifiedWord>
      <trackRevisions>false</trackRevisions>
    </reviewItem>
    <reviewItem>
      <errorID>725390ad-ae24-4bc9-a063-779063e4f9e1</errorID>
      <errorWord> </errorWord>
      <group>L1_Punc</group>
      <groupName>标点问题</groupName>
      <ability>L2_Punc</ability>
      <abilityName>标点符号检查</abilityName>
      <candidateList>
        <item/>
      </candidateList>
      <explain>此处空格冗余，建议删除。</explain>
      <paraID>6462055D</paraID>
      <start>739</start>
      <end>739</end>
      <status>modified</status>
      <modifiedWord/>
      <trackRevisions>false</trackRevisions>
    </reviewItem>
    <reviewItem>
      <errorID>453bf28b-f111-400e-a475-534a8eba4ff3</errorID>
      <errorWord> </errorWord>
      <group>L1_Punc</group>
      <groupName>标点问题</groupName>
      <ability>L2_Punc</ability>
      <abilityName>标点符号检查</abilityName>
      <candidateList>
        <item>. </item>
      </candidateList>
      <explain/>
      <paraID>6462055D</paraID>
      <start>747</start>
      <end>749</end>
      <status>modified</status>
      <modifiedWord>. </modifiedWord>
      <trackRevisions>false</trackRevisions>
    </reviewItem>
    <reviewItem>
      <errorID>e7cf1be5-0f79-47ee-8973-be773dea37fa</errorID>
      <errorWord>水资源水生态水环境水灾害</errorWord>
      <group>L1_Political</group>
      <groupName>政治性问题</groupName>
      <ability>L2_Keyword</ability>
      <abilityName>固定表述</abilityName>
      <candidateList>
        <item>水资源、水生态、水环境、水灾害</item>
      </candidateList>
      <explain>注意检查当前固定表述标点是否使用规范。</explain>
      <paraID>6462055D</paraID>
      <start>751</start>
      <end>766</end>
      <status>modified</status>
      <modifiedWord>水资源、水生态、水环境、水灾害</modifiedWord>
      <trackRevisions>false</trackRevisions>
    </reviewItem>
    <reviewItem>
      <errorID>4ab45c48-87b7-4c8b-ac5d-dd3b4b7b1790</errorID>
      <errorWord>保护 区</errorWord>
      <group>L1_Word</group>
      <groupName>字词问题</groupName>
      <ability>L2_Typo</ability>
      <abilityName>字词错误</abilityName>
      <candidateList>
        <item>保护区</item>
      </candidateList>
      <explain/>
      <paraID>6462055D</paraID>
      <start>781</start>
      <end>784</end>
      <status>modified</status>
      <modifiedWord>保护区</modifiedWord>
      <trackRevisions>false</trackRevisions>
    </reviewItem>
    <reviewItem>
      <errorID>722a86e3-2663-449b-a1a5-680dde74d388</errorID>
      <errorWord> </errorWord>
      <group>L1_Punc</group>
      <groupName>标点问题</groupName>
      <ability>L2_Punc</ability>
      <abilityName>标点符号检查</abilityName>
      <candidateList>
        <item>. </item>
      </candidateList>
      <explain/>
      <paraID>6462055D</paraID>
      <start>811</start>
      <end>813</end>
      <status>modified</status>
      <modifiedWord>. </modifiedWord>
      <trackRevisions>false</trackRevisions>
    </reviewItem>
    <reviewItem>
      <errorID>ecc4ed2d-bb80-4393-901a-7690aca4fb8b</errorID>
      <errorWord> </errorWord>
      <group>L1_Punc</group>
      <groupName>标点问题</groupName>
      <ability>L2_Punc</ability>
      <abilityName>标点符号检查</abilityName>
      <candidateList>
        <item/>
      </candidateList>
      <explain>此处空格冗余，建议删除。</explain>
      <paraID>6462055D</paraID>
      <start>832</start>
      <end>832</end>
      <status>modified</status>
      <modifiedWord/>
      <trackRevisions>false</trackRevisions>
    </reviewItem>
    <reviewItem>
      <errorID>0845fa9d-3195-4d1d-a07f-39ae7238f087</errorID>
      <errorWord>；</errorWord>
      <group>L1_Punc</group>
      <groupName>标点问题</groupName>
      <ability>L2_Punc</ability>
      <abilityName>标点符号检查</abilityName>
      <candidateList>
        <item>。</item>
      </candidateList>
      <explain/>
      <paraID>6462055D</paraID>
      <start>855</start>
      <end>856</end>
      <status>modified</status>
      <modifiedWord>。</modifiedWord>
      <trackRevisions>false</trackRevisions>
    </reviewItem>
    <reviewItem>
      <errorID>7f896215-82cd-43b6-9981-267fcc0e798d</errorID>
      <errorWord>项目的 </errorWord>
      <group>L1_Grammar</group>
      <groupName>语法问题</groupName>
      <ability>L2_Grammar</ability>
      <abilityName>语法错误</abilityName>
      <candidateList>
        <item>项目</item>
      </candidateList>
      <explain/>
      <paraID>6462055D</paraID>
      <start>860</start>
      <end>862</end>
      <status>modified</status>
      <modifiedWord>项目</modifiedWord>
      <trackRevisions>false</trackRevisions>
    </reviewItem>
    <reviewItem>
      <errorID>c4be1eaa-4aa5-46a5-95d7-6f4a232826b1</errorID>
      <errorWord>办 理</errorWord>
      <group>L1_Word</group>
      <groupName>字词问题</groupName>
      <ability>L2_Typo</ability>
      <abilityName>字词错误</abilityName>
      <candidateList>
        <item>办理</item>
      </candidateList>
      <explain/>
      <paraID>6462055D</paraID>
      <start>893</start>
      <end>895</end>
      <status>modified</status>
      <modifiedWord>办理</modifiedWord>
      <trackRevisions>false</trackRevisions>
    </reviewItem>
    <reviewItem>
      <errorID>43ecf6fb-47a4-467c-8441-1efd5f9a3256</errorID>
      <errorWord> </errorWord>
      <group>L1_Punc</group>
      <groupName>标点问题</groupName>
      <ability>L2_Punc</ability>
      <abilityName>标点符号检查</abilityName>
      <candidateList>
        <item>. </item>
      </candidateList>
      <explain/>
      <paraID>6462055D</paraID>
      <start>902</start>
      <end>904</end>
      <status>modified</status>
      <modifiedWord>. </modifiedWord>
      <trackRevisions>false</trackRevisions>
    </reviewItem>
    <reviewItem>
      <errorID>189146ed-5c9f-493c-917d-bb6f435becee</errorID>
      <errorWord>水 上</errorWord>
      <group>L1_Word</group>
      <groupName>字词问题</groupName>
      <ability>L2_Typo</ability>
      <abilityName>字词错误</abilityName>
      <candidateList>
        <item>水上</item>
      </candidateList>
      <explain/>
      <paraID>6462055D</paraID>
      <start>934</start>
      <end>936</end>
      <status>modified</status>
      <modifiedWord>水上</modifiedWord>
      <trackRevisions>false</trackRevisions>
    </reviewItem>
    <reviewItem>
      <errorID>362f60ea-5bfd-47e9-9aea-e1afb43337cb</errorID>
      <errorWord> </errorWord>
      <group>L1_Punc</group>
      <groupName>标点问题</groupName>
      <ability>L2_Punc</ability>
      <abilityName>标点符号检查</abilityName>
      <candidateList>
        <item/>
      </candidateList>
      <explain>此处空格冗余，建议删除。</explain>
      <paraID>6462055D</paraID>
      <start>967</start>
      <end>967</end>
      <status>modified</status>
      <modifiedWord/>
      <trackRevisions>false</trackRevisions>
    </reviewItem>
    <reviewItem>
      <errorID>25a50345-6808-4fa6-979c-94305ddfc6f0</errorID>
      <errorWord> </errorWord>
      <group>L1_Punc</group>
      <groupName>标点问题</groupName>
      <ability>L2_Punc</ability>
      <abilityName>标点符号检查</abilityName>
      <candidateList>
        <item/>
      </candidateList>
      <explain>此处空格冗余，建议删除。</explain>
      <paraID>6462055D</paraID>
      <start>999</start>
      <end>999</end>
      <status>modified</status>
      <modifiedWord/>
      <trackRevisions>false</trackRevisions>
    </reviewItem>
    <reviewItem>
      <errorID>27e48f5e-12a9-4e97-a3dc-ae24102e974c</errorID>
      <errorWord> </errorWord>
      <group>L1_Punc</group>
      <groupName>标点问题</groupName>
      <ability>L2_Punc</ability>
      <abilityName>标点符号检查</abilityName>
      <candidateList>
        <item>. </item>
      </candidateList>
      <explain/>
      <paraID>6462055D</paraID>
      <start>1242</start>
      <end>1244</end>
      <status>modified</status>
      <modifiedWord>. </modifiedWord>
      <trackRevisions>false</trackRevisions>
    </reviewItem>
    <reviewItem>
      <errorID>ba2fb78d-8f07-4fa5-b6d5-02eb79692423</errorID>
      <errorWord> </errorWord>
      <group>L1_Punc</group>
      <groupName>标点问题</groupName>
      <ability>L2_Punc</ability>
      <abilityName>标点符号检查</abilityName>
      <candidateList>
        <item>. </item>
      </candidateList>
      <explain/>
      <paraID>6462055D</paraID>
      <start>1273</start>
      <end>1275</end>
      <status>modified</status>
      <modifiedWord>. </modifiedWord>
      <trackRevisions>false</trackRevisions>
    </reviewItem>
    <reviewItem>
      <errorID>484fc1ff-bd64-4502-baff-6ab83f63ed9b</errorID>
      <errorWord> </errorWord>
      <group>L1_Punc</group>
      <groupName>标点问题</groupName>
      <ability>L2_Punc</ability>
      <abilityName>标点符号检查</abilityName>
      <candidateList>
        <item/>
      </candidateList>
      <explain>此处空格冗余，建议删除。</explain>
      <paraID>6462055D</paraID>
      <start>1306</start>
      <end>1306</end>
      <status>modified</status>
      <modifiedWord/>
      <trackRevisions>false</trackRevisions>
    </reviewItem>
    <reviewItem>
      <errorID>d74c617a-e812-488c-8cb3-bc0103cc8d03</errorID>
      <errorWord>水 污染</errorWord>
      <group>L1_Word</group>
      <groupName>字词问题</groupName>
      <ability>L2_Typo</ability>
      <abilityName>字词错误</abilityName>
      <candidateList>
        <item>水污染</item>
      </candidateList>
      <explain/>
      <paraID>6462055D</paraID>
      <start>1337</start>
      <end>1340</end>
      <status>modified</status>
      <modifiedWord>水污染</modifiedWord>
      <trackRevisions>false</trackRevisions>
    </reviewItem>
    <reviewItem>
      <errorID>9607fb45-5e27-42de-ba54-e553e0818b76</errorID>
      <errorWord> </errorWord>
      <group>L1_Punc</group>
      <groupName>标点问题</groupName>
      <ability>L2_Punc</ability>
      <abilityName>标点符号检查</abilityName>
      <candidateList>
        <item>. </item>
      </candidateList>
      <explain/>
      <paraID>6462055D</paraID>
      <start>1364</start>
      <end>1366</end>
      <status>modified</status>
      <modifiedWord>. </modifiedWord>
      <trackRevisions>false</trackRevisions>
    </reviewItem>
    <reviewItem>
      <errorID>897d78a1-fccd-40f0-a3c5-c526b4821373</errorID>
      <errorWord> </errorWord>
      <group>L1_Punc</group>
      <groupName>标点问题</groupName>
      <ability>L2_Punc</ability>
      <abilityName>标点符号检查</abilityName>
      <candidateList>
        <item/>
      </candidateList>
      <explain>此处空格冗余，建议删除。</explain>
      <paraID>6462055D</paraID>
      <start>1397</start>
      <end>1397</end>
      <status>modified</status>
      <modifiedWord/>
      <trackRevisions>false</trackRevisions>
    </reviewItem>
    <reviewItem>
      <errorID>3206f8ac-920e-4fd1-8e0c-12380d0122da</errorID>
      <errorWord> </errorWord>
      <group>L1_Punc</group>
      <groupName>标点问题</groupName>
      <ability>L2_Punc</ability>
      <abilityName>标点符号检查</abilityName>
      <candidateList>
        <item/>
      </candidateList>
      <explain>此处空格冗余，建议删除。</explain>
      <paraID>6462055D</paraID>
      <start>1429</start>
      <end>1429</end>
      <status>modified</status>
      <modifiedWord/>
      <trackRevisions>false</trackRevisions>
    </reviewItem>
    <reviewItem>
      <errorID>c66b68c6-a351-4e44-b173-ce5c008f0537</errorID>
      <errorWord> </errorWord>
      <group>L1_Punc</group>
      <groupName>标点问题</groupName>
      <ability>L2_Punc</ability>
      <abilityName>标点符号检查</abilityName>
      <candidateList>
        <item/>
      </candidateList>
      <explain>此处空格冗余，建议删除。</explain>
      <paraID>6462055D</paraID>
      <start>1461</start>
      <end>1461</end>
      <status>modified</status>
      <modifiedWord/>
      <trackRevisions>false</trackRevisions>
    </reviewItem>
    <reviewItem>
      <errorID>927089ec-fc22-46bc-914d-e709bcc3db68</errorID>
      <errorWord> </errorWord>
      <group>L1_Punc</group>
      <groupName>标点问题</groupName>
      <ability>L2_Punc</ability>
      <abilityName>标点符号检查</abilityName>
      <candidateList>
        <item>. </item>
      </candidateList>
      <explain/>
      <paraID>6462055D</paraID>
      <start>1469</start>
      <end>1471</end>
      <status>modified</status>
      <modifiedWord>. </modifiedWord>
      <trackRevisions>false</trackRevisions>
    </reviewItem>
    <reviewItem>
      <errorID>1ffcd0f0-8c3b-4846-bccd-90ae20587fe7</errorID>
      <errorWord> </errorWord>
      <group>L1_Punc</group>
      <groupName>标点问题</groupName>
      <ability>L2_Punc</ability>
      <abilityName>标点符号检查</abilityName>
      <candidateList>
        <item/>
      </candidateList>
      <explain>此处空格冗余，建议删除。</explain>
      <paraID>6462055D</paraID>
      <start>1502</start>
      <end>1502</end>
      <status>modified</status>
      <modifiedWord/>
      <trackRevisions>false</trackRevisions>
    </reviewItem>
    <reviewItem>
      <errorID>f28e7487-7cf0-48c8-9336-51b08af643ff</errorID>
      <errorWord> </errorWord>
      <group>L1_Punc</group>
      <groupName>标点问题</groupName>
      <ability>L2_Punc</ability>
      <abilityName>标点符号检查</abilityName>
      <candidateList>
        <item>. </item>
      </candidateList>
      <explain/>
      <paraID>6462055D</paraID>
      <start>1532</start>
      <end>1534</end>
      <status>modified</status>
      <modifiedWord>. </modifiedWord>
      <trackRevisions>false</trackRevisions>
    </reviewItem>
    <reviewItem>
      <errorID>d4a01f67-ca17-424a-b450-95ee0a1d44f2</errorID>
      <errorWord>重金 属</errorWord>
      <group>L1_Word</group>
      <groupName>字词问题</groupName>
      <ability>L2_Typo</ability>
      <abilityName>字词错误</abilityName>
      <candidateList>
        <item>重金属</item>
      </candidateList>
      <explain/>
      <paraID>6462055D</paraID>
      <start>1546</start>
      <end>1549</end>
      <status>modified</status>
      <modifiedWord>重金属</modifiedWord>
      <trackRevisions>false</trackRevisions>
    </reviewItem>
    <reviewItem>
      <errorID>de769747-21ea-4d41-8503-7fa3124c1d01</errorID>
      <errorWord>排 放</errorWord>
      <group>L1_Word</group>
      <groupName>字词问题</groupName>
      <ability>L2_Typo</ability>
      <abilityName>字词错误</abilityName>
      <candidateList>
        <item>排放</item>
      </candidateList>
      <explain/>
      <paraID>6462055D</paraID>
      <start>1579</start>
      <end>1581</end>
      <status>modified</status>
      <modifiedWord>排放</modifiedWord>
      <trackRevisions>false</trackRevisions>
    </reviewItem>
    <reviewItem>
      <errorID>0619e002-a668-46c4-bada-ce882a4ddf2c</errorID>
      <errorWord> </errorWord>
      <group>L1_Punc</group>
      <groupName>标点问题</groupName>
      <ability>L2_Punc</ability>
      <abilityName>标点符号检查</abilityName>
      <candidateList>
        <item/>
      </candidateList>
      <explain>此处空格冗余，建议删除。</explain>
      <paraID>6462055D</paraID>
      <start>1612</start>
      <end>1612</end>
      <status>modified</status>
      <modifiedWord/>
      <trackRevisions>false</trackRevisions>
    </reviewItem>
    <reviewItem>
      <errorID>3fb6299c-4f6f-4da3-9794-cbbb48722bd6</errorID>
      <errorWord> </errorWord>
      <group>L1_Punc</group>
      <groupName>标点问题</groupName>
      <ability>L2_Punc</ability>
      <abilityName>标点符号检查</abilityName>
      <candidateList>
        <item>. </item>
      </candidateList>
      <explain/>
      <paraID>6462055D</paraID>
      <start>1616</start>
      <end>1618</end>
      <status>modified</status>
      <modifiedWord>. </modifiedWord>
      <trackRevisions>false</trackRevisions>
    </reviewItem>
    <reviewItem>
      <errorID>38f359ff-67fd-46f6-9449-64cb10cab73f</errorID>
      <errorWord> </errorWord>
      <group>L1_Punc</group>
      <groupName>标点问题</groupName>
      <ability>L2_Punc</ability>
      <abilityName>标点符号检查</abilityName>
      <candidateList>
        <item/>
      </candidateList>
      <explain>此处空格冗余，建议删除。</explain>
      <paraID>6462055D</paraID>
      <start>1649</start>
      <end>1649</end>
      <status>modified</status>
      <modifiedWord/>
      <trackRevisions>false</trackRevisions>
    </reviewItem>
    <reviewItem>
      <errorID>60912b5a-682e-4c35-a811-cb4e606a3a33</errorID>
      <errorWord> </errorWord>
      <group>L1_Punc</group>
      <groupName>标点问题</groupName>
      <ability>L2_Punc</ability>
      <abilityName>标点符号检查</abilityName>
      <candidateList>
        <item/>
      </candidateList>
      <explain>此处空格冗余，建议删除。</explain>
      <paraID>6462055D</paraID>
      <start>1681</start>
      <end>1681</end>
      <status>modified</status>
      <modifiedWord/>
      <trackRevisions>false</trackRevisions>
    </reviewItem>
    <reviewItem>
      <errorID>fc760f2c-fa16-478f-aed5-fb971a33ed74</errorID>
      <errorWord>16 </errorWord>
      <group>L1_Grammar</group>
      <groupName>语法问题</groupName>
      <ability>L2_Grammar</ability>
      <abilityName>语法错误</abilityName>
      <candidateList>
        <item>：16. </item>
      </candidateList>
      <explain/>
      <paraID>6462055D</paraID>
      <start>1693</start>
      <end>1698</end>
      <status>modified</status>
      <modifiedWord>：16. </modifiedWord>
      <trackRevisions>false</trackRevisions>
    </reviewItem>
    <reviewItem>
      <errorID>fbb9b4ed-0646-432f-a9b2-77dad1016815</errorID>
      <errorWord>水肥一体 化</errorWord>
      <group>L1_Political</group>
      <groupName>政治性问题</groupName>
      <ability>L2_Keyword</ability>
      <abilityName>固定表述</abilityName>
      <candidateList>
        <item>水肥一体化</item>
      </candidateList>
      <explain>此处内容疑似含有固定表述相关错误，建议核查。</explain>
      <paraID>6462055D</paraID>
      <start>1715</start>
      <end>1720</end>
      <status>modified</status>
      <modifiedWord>水肥一体化</modifiedWord>
      <trackRevisions>false</trackRevisions>
    </reviewItem>
    <reviewItem>
      <errorID>7cb83e50-4c2f-4819-a955-e20bfc97bffd</errorID>
      <errorWord>.禁</errorWord>
      <group>L1_Word</group>
      <groupName>字词问题</groupName>
      <ability>L2_Typo</ability>
      <abilityName>字词错误</abilityName>
      <candidateList>
        <item>.</item>
      </candidateList>
      <explain/>
      <paraID>6462055D</paraID>
      <start>1816</start>
      <end>1817</end>
      <status>modified</status>
      <modifiedWord>.</modifiedWord>
      <trackRevisions>false</trackRevisions>
    </reviewItem>
    <reviewItem>
      <errorID>d18486bd-7b58-4753-b3b9-db575fd454c0</errorID>
      <errorWord>止</errorWord>
      <group>L1_Word</group>
      <groupName>字词问题</groupName>
      <ability>L2_Typo</ability>
      <abilityName>字词错误</abilityName>
      <candidateList>
        <item>禁止</item>
      </candidateList>
      <explain/>
      <paraID>6462055D</paraID>
      <start>1818</start>
      <end>1820</end>
      <status>modified</status>
      <modifiedWord>禁止</modifiedWord>
      <trackRevisions>false</trackRevisions>
    </reviewItem>
    <reviewItem>
      <errorID>2711a1eb-edf4-4d14-b47a-b830297d5bdd</errorID>
      <errorWord>流 域</errorWord>
      <group>L1_Word</group>
      <groupName>字词问题</groupName>
      <ability>L2_Typo</ability>
      <abilityName>字词错误</abilityName>
      <candidateList>
        <item>流域</item>
      </candidateList>
      <explain/>
      <paraID>6462055D</paraID>
      <start>1850</start>
      <end>1852</end>
      <status>modified</status>
      <modifiedWord>流域</modifiedWord>
      <trackRevisions>false</trackRevisions>
    </reviewItem>
    <reviewItem>
      <errorID>e0c15030-71a6-4600-b2d5-41914fb67fc2</errorID>
      <errorWord>，</errorWord>
      <group>L1_Punc</group>
      <groupName>标点问题</groupName>
      <ability>L2_Punc</ability>
      <abilityName>标点符号检查</abilityName>
      <candidateList>
        <item>。</item>
      </candidateList>
      <explain/>
      <paraID>6462055D</paraID>
      <start>1876</start>
      <end>1877</end>
      <status>modified</status>
      <modifiedWord>。</modifiedWord>
      <trackRevisions>false</trackRevisions>
    </reviewItem>
    <reviewItem>
      <errorID>5f9aa9e5-7ed8-4cfb-9455-219e9e8673f9</errorID>
      <errorWord> </errorWord>
      <group>L1_Punc</group>
      <groupName>标点问题</groupName>
      <ability>L2_Punc</ability>
      <abilityName>标点符号检查</abilityName>
      <candidateList>
        <item/>
      </candidateList>
      <explain>此处空格冗余，建议删除。</explain>
      <paraID>6462055D</paraID>
      <start>1885</start>
      <end>1885</end>
      <status>modified</status>
      <modifiedWord/>
      <trackRevisions>false</trackRevisions>
    </reviewItem>
    <reviewItem>
      <errorID>0efb9d3b-90c3-4eb5-936a-a3d39d72f4ca</errorID>
      <errorWord>制定的</errorWord>
      <group>L1_Word</group>
      <groupName>字词问题</groupName>
      <ability>L2_Typo</ability>
      <abilityName>字词错误</abilityName>
      <candidateList>
        <item>制定</item>
      </candidateList>
      <explain>〈动〉定出（法律、规程、政策等）：～宪法｜～学会章程。</explain>
      <paraID>6462055D</paraID>
      <start>1887</start>
      <end>1889</end>
      <status>modified</status>
      <modifiedWord>制定</modifiedWord>
      <trackRevisions>false</trackRevisions>
    </reviewItem>
    <reviewItem>
      <errorID>ef89a985-0da3-4d79-8a5d-692d1c9d7d17</errorID>
      <errorWord>环境污染 防治</errorWord>
      <group>L1_Political</group>
      <groupName>政治性问题</groupName>
      <ability>L2_Keyword</ability>
      <abilityName>固定表述</abilityName>
      <candidateList>
        <item>环境污染防治</item>
      </candidateList>
      <explain>词汇“环境污染防治”在特定场景下为固定表述形式，请确认此处的“环境污染 防治”是否存在不当。</explain>
      <paraID>6462055D</paraID>
      <start>2088</start>
      <end>2094</end>
      <status>modified</status>
      <modifiedWord>环境污染防治</modifiedWord>
      <trackRevisions>false</trackRevisions>
    </reviewItem>
    <reviewItem>
      <errorID>2b07f21d-010f-40a6-8ad3-6ff273afe7db</errorID>
      <errorWord>;</errorWord>
      <group>L1_Format</group>
      <groupName>格式问题</groupName>
      <ability>L2_HalfPunc</ability>
      <abilityName>全半角检查</abilityName>
      <candidateList>
        <item>；</item>
      </candidateList>
      <explain>文本全半角错误。</explain>
      <paraID>6462055D</paraID>
      <start>2229</start>
      <end>2230</end>
      <status>modified</status>
      <modifiedWord>；</modifiedWord>
      <trackRevisions>false</trackRevisions>
    </reviewItem>
    <reviewItem>
      <errorID>a89bd1dd-f4ed-4373-a3d7-c5c8e8bf0d80</errorID>
      <errorWord>淘达</errorWord>
      <group>L1_Word</group>
      <groupName>字词问题</groupName>
      <ability>L2_Typo</ability>
      <abilityName>字词错误</abilityName>
      <candidateList>
        <item>淘汰</item>
      </candidateList>
      <explain/>
      <paraID>77C2EFCE</paraID>
      <start>30</start>
      <end>32</end>
      <status>modified</status>
      <modifiedWord>淘汰</modifiedWord>
      <trackRevisions>false</trackRevisions>
    </reviewItem>
    <reviewItem>
      <errorID>6d7cd624-f94a-4d8c-b412-3bff7fc3eb0c</errorID>
      <errorWord>达</errorWord>
      <group>L1_Grammar</group>
      <groupName>语法问题</groupName>
      <ability>L2_Grammar</ability>
      <abilityName>语法错误</abilityName>
      <candidateList>
        <item>采用达</item>
      </candidateList>
      <explain/>
      <paraID>1A7CB23A</paraID>
      <start>14</start>
      <end>15</end>
      <status>ignored</status>
      <modifiedWord/>
      <trackRevisions>false</trackRevisions>
    </reviewItem>
    <reviewItem>
      <errorID>743f5b92-4fd0-4742-9a73-e41e9c2c7eb2</errorID>
      <errorWord>,</errorWord>
      <group>L1_Punc</group>
      <groupName>标点问题</groupName>
      <ability>L2_Punc</ability>
      <abilityName>标点符号检查</abilityName>
      <candidateList>
        <item>，</item>
      </candidateList>
      <explain/>
      <paraID>2E964031</paraID>
      <start>14</start>
      <end>15</end>
      <status>modified</status>
      <modifiedWord>，</modifiedWord>
      <trackRevisions>false</trackRevisions>
    </reviewItem>
    <reviewItem>
      <errorID>5f25f3d2-a86b-4353-bf8c-6a978ce2ca09</errorID>
      <errorWord>河</errorWord>
      <group>L1_Word</group>
      <groupName>字词问题</groupName>
      <ability>L2_Typo</ability>
      <abilityName>字词错误</abilityName>
      <candidateList>
        <item>在河</item>
      </candidateList>
      <explain/>
      <paraID>2E964031</paraID>
      <start>22</start>
      <end>24</end>
      <status>modified</status>
      <modifiedWord>在河</modifiedWord>
      <trackRevisions>false</trackRevisions>
    </reviewItem>
    <reviewItem>
      <errorID>079d2267-3ba9-4cd5-a7bc-120312b51452</errorID>
      <errorWord>,</errorWord>
      <group>L1_Format</group>
      <groupName>格式问题</groupName>
      <ability>L2_HalfPunc</ability>
      <abilityName>全半角检查</abilityName>
      <candidateList>
        <item>，</item>
      </candidateList>
      <explain>文本全半角错误。</explain>
      <paraID>2E964031</paraID>
      <start>53</start>
      <end>54</end>
      <status>modified</status>
      <modifiedWord>，</modifiedWord>
      <trackRevisions>false</trackRevisions>
    </reviewItem>
    <reviewItem>
      <errorID>ab64758a-99b6-4a91-b452-7e025d832cf6</errorID>
      <errorWord>。</errorWord>
      <group>L1_Grammar</group>
      <groupName>语法问题</groupName>
      <ability>L2_Grammar</ability>
      <abilityName>语法错误</abilityName>
      <candidateList>
        <item>的措施。</item>
      </candidateList>
      <explain/>
      <paraID>1CF54649</paraID>
      <start>52</start>
      <end>56</end>
      <status>modified</status>
      <modifiedWord>的措施。</modifiedWord>
      <trackRevisions>false</trackRevisions>
    </reviewItem>
    <reviewItem>
      <errorID>a5999f95-008d-4c2c-9861-20ca45440810</errorID>
      <errorWord>,</errorWord>
      <group>L1_Format</group>
      <groupName>格式问题</groupName>
      <ability>L2_HalfPunc</ability>
      <abilityName>全半角检查</abilityName>
      <candidateList>
        <item>，</item>
      </candidateList>
      <explain>文本全半角错误。</explain>
      <paraID>5C9A0D92</paraID>
      <start>34</start>
      <end>35</end>
      <status>modified</status>
      <modifiedWord>，</modifiedWord>
      <trackRevisions>false</trackRevisions>
    </reviewItem>
    <reviewItem>
      <errorID>57ffeb41-29bf-4130-bc32-34c01c694190</errorID>
      <errorWord>(</errorWord>
      <group>L1_Format</group>
      <groupName>格式问题</groupName>
      <ability>L2_HalfPunc</ability>
      <abilityName>全半角检查</abilityName>
      <candidateList>
        <item>（</item>
      </candidateList>
      <explain>文本全半角错误。</explain>
      <paraID>1A82FCB9</paraID>
      <start>15</start>
      <end>16</end>
      <status>modified</status>
      <modifiedWord>（</modifiedWord>
      <trackRevisions>false</trackRevisions>
    </reviewItem>
    <reviewItem>
      <errorID>01aa4211-a56f-4957-9e38-f9d71f265040</errorID>
      <errorWord>)</errorWord>
      <group>L1_Format</group>
      <groupName>格式问题</groupName>
      <ability>L2_HalfPunc</ability>
      <abilityName>全半角检查</abilityName>
      <candidateList>
        <item>）</item>
      </candidateList>
      <explain>文本全半角错误。</explain>
      <paraID>1A82FCB9</paraID>
      <start>21</start>
      <end>22</end>
      <status>modified</status>
      <modifiedWord>）</modifiedWord>
      <trackRevisions>false</trackRevisions>
    </reviewItem>
    <reviewItem>
      <errorID>11c4431f-da11-408f-8c4a-35c4fb0ec209</errorID>
      <errorWord>(</errorWord>
      <group>L1_Format</group>
      <groupName>格式问题</groupName>
      <ability>L2_HalfPunc</ability>
      <abilityName>全半角检查</abilityName>
      <candidateList>
        <item>（</item>
      </candidateList>
      <explain>文本全半角错误。</explain>
      <paraID>26BC8028</paraID>
      <start>4</start>
      <end>5</end>
      <status>modified</status>
      <modifiedWord>（</modifiedWord>
      <trackRevisions>false</trackRevisions>
    </reviewItem>
    <reviewItem>
      <errorID>db047f7f-81e3-458f-b466-a605685edae1</errorID>
      <errorWord>)</errorWord>
      <group>L1_Format</group>
      <groupName>格式问题</groupName>
      <ability>L2_HalfPunc</ability>
      <abilityName>全半角检查</abilityName>
      <candidateList>
        <item>）</item>
      </candidateList>
      <explain>文本全半角错误。</explain>
      <paraID>26BC8028</paraID>
      <start>8</start>
      <end>9</end>
      <status>modified</status>
      <modifiedWord>）</modifiedWord>
      <trackRevisions>false</trackRevisions>
    </reviewItem>
    <reviewItem>
      <errorID>da17b452-217e-4d41-b839-4f072ac5dc34</errorID>
      <errorWord>,</errorWord>
      <group>L1_Format</group>
      <groupName>格式问题</groupName>
      <ability>L2_HalfPunc</ability>
      <abilityName>全半角检查</abilityName>
      <candidateList>
        <item>，</item>
      </candidateList>
      <explain>文本全半角错误。</explain>
      <paraID>26BC8028</paraID>
      <start>30</start>
      <end>31</end>
      <status>modified</status>
      <modifiedWord>，</modifiedWord>
      <trackRevisions>false</trackRevisions>
    </reviewItem>
    <reviewItem>
      <errorID>7340bdc6-c6aa-463c-8afe-ed306cdf4aba</errorID>
      <errorWord>以</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5C7FDEF6</paraID>
      <start>0</start>
      <end>1</end>
      <status>modified</status>
      <modifiedWord>已</modifiedWord>
      <trackRevisions>false</trackRevisions>
    </reviewItem>
    <reviewItem>
      <errorID>9f7267f1-31bc-4d46-80ca-1fca00579543</errorID>
      <errorWord>淘汏</errorWord>
      <group>L1_Word</group>
      <groupName>字词问题</groupName>
      <ability>L2_Typo</ability>
      <abilityName>字词错误</abilityName>
      <candidateList>
        <item>淘汰</item>
      </candidateList>
      <explain/>
      <paraID>118E6FAC</paraID>
      <start>4</start>
      <end>6</end>
      <status>modified</status>
      <modifiedWord>淘汰</modifiedWord>
      <trackRevisions>false</trackRevisions>
    </reviewItem>
    <reviewItem>
      <errorID>a3936f23-8eef-452f-8b24-d9d8bf63cce3</errorID>
      <errorWord>沿</errorWord>
      <group>L1_Word</group>
      <groupName>字词问题</groupName>
      <ability>L2_Typo</ability>
      <abilityName>字词错误</abilityName>
      <candidateList>
        <item>对沿</item>
      </candidateList>
      <explain/>
      <paraID>7149CBCB</paraID>
      <start>2</start>
      <end>3</end>
      <status>ignored</status>
      <modifiedWord/>
      <trackRevisions>false</trackRevisions>
    </reviewItem>
    <reviewItem>
      <errorID>6943c567-618f-4db3-b46b-1c1f76f00f3d</errorID>
      <errorWord>企业</errorWord>
      <group>L1_Punc</group>
      <groupName>标点问题</groupName>
      <ability>L2_Punc</ability>
      <abilityName>标点符号检查</abilityName>
      <candidateList>
        <item>.企业</item>
      </candidateList>
      <explain/>
      <paraID>1B5CB7A1</paraID>
      <start>1</start>
      <end>3</end>
      <status>ignored</status>
      <modifiedWord/>
      <trackRevisions>false</trackRevisions>
    </reviewItem>
    <reviewItem>
      <errorID>3597144c-d541-46f8-befc-bdd70d382e29</errorID>
      <errorWord>开展</errorWord>
      <group>L1_Punc</group>
      <groupName>标点问题</groupName>
      <ability>L2_Punc</ability>
      <abilityName>标点符号检查</abilityName>
      <candidateList>
        <item>. 开展</item>
      </candidateList>
      <explain/>
      <paraID>513496E5</paraID>
      <start>1</start>
      <end>3</end>
      <status>ignored</status>
      <modifiedWord/>
      <trackRevisions>false</trackRevisions>
    </reviewItem>
    <reviewItem>
      <errorID>620313b7-1ebd-4229-a024-9073bb11ceab</errorID>
      <errorWord>实行</errorWord>
      <group>L1_Punc</group>
      <groupName>标点问题</groupName>
      <ability>L2_Punc</ability>
      <abilityName>标点符号检查</abilityName>
      <candidateList>
        <item>. 实行</item>
      </candidateList>
      <explain/>
      <paraID>513496E5</paraID>
      <start>112</start>
      <end>114</end>
      <status>ignored</status>
      <modifiedWord/>
      <trackRevisions>false</trackRevisions>
    </reviewItem>
    <reviewItem>
      <errorID>9ab82dd6-f000-4a1d-84a1-d2e077ae2e6a</errorID>
      <errorWord>持续</errorWord>
      <group>L1_Punc</group>
      <groupName>标点问题</groupName>
      <ability>L2_Punc</ability>
      <abilityName>标点符号检查</abilityName>
      <candidateList>
        <item>. 持续</item>
      </candidateList>
      <explain/>
      <paraID>1B0CFBF0</paraID>
      <start>1</start>
      <end>3</end>
      <status>ignored</status>
      <modifiedWord/>
      <trackRevisions>false</trackRevisions>
    </reviewItem>
    <reviewItem>
      <errorID>f0ab37c6-9c5c-4de5-8cea-b35d43f151a8</errorID>
      <errorWord>加快</errorWord>
      <group>L1_Punc</group>
      <groupName>标点问题</groupName>
      <ability>L2_Punc</ability>
      <abilityName>标点符号检查</abilityName>
      <candidateList>
        <item>. 加快</item>
      </candidateList>
      <explain/>
      <paraID>41B03E0E</paraID>
      <start>1</start>
      <end>3</end>
      <status>ignored</status>
      <modifiedWord/>
      <trackRevisions>false</trackRevisions>
    </reviewItem>
    <reviewItem>
      <errorID>fe32a695-14f4-4105-9952-b305b047089f</errorID>
      <errorWord>推进</errorWord>
      <group>L1_Punc</group>
      <groupName>标点问题</groupName>
      <ability>L2_Punc</ability>
      <abilityName>标点符号检查</abilityName>
      <candidateList>
        <item>. 推进</item>
      </candidateList>
      <explain/>
      <paraID>154A6676</paraID>
      <start>1</start>
      <end>3</end>
      <status>ignored</status>
      <modifiedWord/>
      <trackRevisions>false</trackRevisions>
    </reviewItem>
    <reviewItem>
      <errorID>68466582-44bc-4b2f-bbef-b9f995122ad2</errorID>
      <errorWord>处理处置</errorWord>
      <group>L1_Grammar</group>
      <groupName>语法问题</groupName>
      <ability>L2_Grammar</ability>
      <abilityName>语法错误</abilityName>
      <candidateList>
        <item>处理</item>
      </candidateList>
      <explain/>
      <paraID>154A6676</paraID>
      <start>35</start>
      <end>39</end>
      <status>ignored</status>
      <modifiedWord/>
      <trackRevisions>false</trackRevisions>
    </reviewItem>
    <reviewItem>
      <errorID>950f6325-714d-468d-90c6-17213ec73f2e</errorID>
      <errorWord>处理处置</errorWord>
      <group>L1_Grammar</group>
      <groupName>语法问题</groupName>
      <ability>L2_Grammar</ability>
      <abilityName>语法错误</abilityName>
      <candidateList>
        <item>处理</item>
      </candidateList>
      <explain/>
      <paraID>154A6676</paraID>
      <start>42</start>
      <end>46</end>
      <status>ignored</status>
      <modifiedWord/>
      <trackRevisions>false</trackRevisions>
    </reviewItem>
    <reviewItem>
      <errorID>fb52e8f6-a457-40a9-a7c5-c4ac4d094ea8</errorID>
      <errorWord>:</errorWord>
      <group>L1_Format</group>
      <groupName>格式问题</groupName>
      <ability>L2_HalfPunc</ability>
      <abilityName>全半角检查</abilityName>
      <candidateList>
        <item>：</item>
      </candidateList>
      <explain>文本全半角错误。</explain>
      <paraID>661D155C</paraID>
      <start>14</start>
      <end>15</end>
      <status>modified</status>
      <modifiedWord>：</modifiedWord>
      <trackRevisions>false</trackRevisions>
    </reviewItem>
    <reviewItem>
      <errorID>6a948523-1816-4d01-9e0f-743dd9bdf41c</errorID>
      <errorWord>环境</errorWord>
      <group>L1_Punc</group>
      <groupName>标点问题</groupName>
      <ability>L2_Punc</ability>
      <abilityName>标点符号检查</abilityName>
      <candidateList>
        <item>. 环境</item>
      </candidateList>
      <explain/>
      <paraID>1EF16DBA</paraID>
      <start>1</start>
      <end>5</end>
      <status>modified</status>
      <modifiedWord>. 环境</modifiedWord>
      <trackRevisions>false</trackRevisions>
    </reviewItem>
    <reviewItem>
      <errorID>939b8d96-8525-4d68-bde0-1a8d0611fb60</errorID>
      <errorWord> </errorWord>
      <group>L1_Punc</group>
      <groupName>标点问题</groupName>
      <ability>L2_Punc</ability>
      <abilityName>标点符号检查</abilityName>
      <candidateList>
        <item/>
      </candidateList>
      <explain>此处空格冗余，建议删除。</explain>
      <paraID>1EF16DBA</paraID>
      <start>14</start>
      <end>14</end>
      <status>modified</status>
      <modifiedWord/>
      <trackRevisions>false</trackRevisions>
    </reviewItem>
    <reviewItem>
      <errorID>14b6b96c-c776-4e58-8107-95376d181897</errorID>
      <errorWord> </errorWord>
      <group>L1_Punc</group>
      <groupName>标点问题</groupName>
      <ability>L2_Punc</ability>
      <abilityName>标点符号检查</abilityName>
      <candidateList>
        <item/>
      </candidateList>
      <explain>此处空格冗余，建议删除。</explain>
      <paraID>1EF16DBA</paraID>
      <start>21</start>
      <end>21</end>
      <status>modified</status>
      <modifiedWord/>
      <trackRevisions>false</trackRevisions>
    </reviewItem>
    <reviewItem>
      <errorID>4a21cd6e-4b87-4333-8725-74ccdc6eef7c</errorID>
      <errorWord> </errorWord>
      <group>L1_Punc</group>
      <groupName>标点问题</groupName>
      <ability>L2_Punc</ability>
      <abilityName>标点符号检查</abilityName>
      <candidateList>
        <item/>
      </candidateList>
      <explain>此处空格冗余，建议删除。</explain>
      <paraID>1EF16DBA</paraID>
      <start>26</start>
      <end>26</end>
      <status>modified</status>
      <modifiedWord/>
      <trackRevisions>false</trackRevisions>
    </reviewItem>
    <reviewItem>
      <errorID>c953d348-b347-4634-ad8a-c39f4ab9d989</errorID>
      <errorWord>化学</errorWord>
      <group>L1_Punc</group>
      <groupName>标点问题</groupName>
      <ability>L2_Punc</ability>
      <abilityName>标点符号检查</abilityName>
      <candidateList>
        <item>. 化学</item>
      </candidateList>
      <explain/>
      <paraID>52551C89</paraID>
      <start>1</start>
      <end>3</end>
      <status>ignored</status>
      <modifiedWord/>
      <trackRevisions>false</trackRevisions>
    </reviewItem>
    <reviewItem>
      <errorID>e922497c-d5a2-4909-a7ea-949f1ea35697</errorID>
      <errorWord> </errorWord>
      <group>L1_Punc</group>
      <groupName>标点问题</groupName>
      <ability>L2_Punc</ability>
      <abilityName>标点符号检查</abilityName>
      <candidateList>
        <item/>
      </candidateList>
      <explain>此处空格冗余，建议删除。</explain>
      <paraID>52551C89</paraID>
      <start>47</start>
      <end>47</end>
      <status>modified</status>
      <modifiedWord/>
      <trackRevisions>false</trackRevisions>
    </reviewItem>
    <reviewItem>
      <errorID>4f579d49-4dd0-4e28-8490-c646c8fc4e19</errorID>
      <errorWord>严格</errorWord>
      <group>L1_Punc</group>
      <groupName>标点问题</groupName>
      <ability>L2_Punc</ability>
      <abilityName>标点符号检查</abilityName>
      <candidateList>
        <item>. 严格</item>
      </candidateList>
      <explain/>
      <paraID>25B1D4AA</paraID>
      <start>1</start>
      <end>3</end>
      <status>ignored</status>
      <modifiedWord/>
      <trackRevisions>false</trackRevisions>
    </reviewItem>
    <reviewItem>
      <errorID>fb232690-75ef-482d-8643-ff23c0be5415</errorID>
      <errorWord>新建</errorWord>
      <group>L1_Punc</group>
      <groupName>标点问题</groupName>
      <ability>L2_Punc</ability>
      <abilityName>标点符号检查</abilityName>
      <candidateList>
        <item>. 新建</item>
      </candidateList>
      <explain/>
      <paraID>56FA86DE</paraID>
      <start>1</start>
      <end>3</end>
      <status>ignored</status>
      <modifiedWord/>
      <trackRevisions>false</trackRevisions>
    </reviewItem>
    <reviewItem>
      <errorID>d16d847e-a13b-4f1e-aff2-37261d75e98b</errorID>
      <errorWord>:</errorWord>
      <group>L1_Format</group>
      <groupName>格式问题</groupName>
      <ability>L2_HalfPunc</ability>
      <abilityName>全半角检查</abilityName>
      <candidateList>
        <item>：</item>
      </candidateList>
      <explain>文本全半角错误。</explain>
      <paraID> 242A84C</paraID>
      <start>14</start>
      <end>15</end>
      <status>modified</status>
      <modifiedWord>：</modifiedWord>
      <trackRevisions>false</trackRevisions>
    </reviewItem>
    <reviewItem>
      <errorID>df2c23a7-19ae-4fdb-a253-72e37dbcbe61</errorID>
      <errorWord>进出</errorWord>
      <group>L1_Punc</group>
      <groupName>标点问题</groupName>
      <ability>L2_Punc</ability>
      <abilityName>标点符号检查</abilityName>
      <candidateList>
        <item>. 进出</item>
      </candidateList>
      <explain/>
      <paraID>79540D7D</paraID>
      <start>1</start>
      <end>3</end>
      <status>ignored</status>
      <modifiedWord/>
      <trackRevisions>false</trackRevisions>
    </reviewItem>
    <reviewItem>
      <errorID>5ec4b4fc-40f4-424a-acb4-10eae37edb45</errorID>
      <errorWord>对</errorWord>
      <group>L1_Punc</group>
      <groupName>标点问题</groupName>
      <ability>L2_Punc</ability>
      <abilityName>标点符号检查</abilityName>
      <candidateList>
        <item>. 对</item>
      </candidateList>
      <explain/>
      <paraID>2ADE1181</paraID>
      <start>1</start>
      <end>2</end>
      <status>ignored</status>
      <modifiedWord/>
      <trackRevisions>false</trackRevisions>
    </reviewItem>
    <reviewItem>
      <errorID>29b5b434-6f80-4b66-bb3d-e84bea889090</errorID>
      <errorWord>推动</errorWord>
      <group>L1_Punc</group>
      <groupName>标点问题</groupName>
      <ability>L2_Punc</ability>
      <abilityName>标点符号检查</abilityName>
      <candidateList>
        <item>. 推动</item>
      </candidateList>
      <explain/>
      <paraID>3ED674B5</paraID>
      <start>1</start>
      <end>3</end>
      <status>ignored</status>
      <modifiedWord/>
      <trackRevisions>false</trackRevisions>
    </reviewItem>
    <reviewItem>
      <errorID>94c3c1d1-79ad-446f-9abf-82e37deb2e4a</errorID>
      <errorWord>进一步</errorWord>
      <group>L1_Punc</group>
      <groupName>标点问题</groupName>
      <ability>L2_Punc</ability>
      <abilityName>标点符号检查</abilityName>
      <candidateList>
        <item>. 进一步</item>
      </candidateList>
      <explain/>
      <paraID>307AE758</paraID>
      <start>1</start>
      <end>4</end>
      <status>ignored</status>
      <modifiedWord/>
      <trackRevisions>false</trackRevisions>
    </reviewItem>
    <reviewItem>
      <errorID>e1e535ed-9086-457c-9cfd-5c62624029e8</errorID>
      <errorWord>全面</errorWord>
      <group>L1_Punc</group>
      <groupName>标点问题</groupName>
      <ability>L2_Punc</ability>
      <abilityName>标点符号检查</abilityName>
      <candidateList>
        <item>. 全面</item>
      </candidateList>
      <explain/>
      <paraID>141C4EBD</paraID>
      <start>1</start>
      <end>3</end>
      <status>ignored</status>
      <modifiedWord/>
      <trackRevisions>false</trackRevisions>
    </reviewItem>
    <reviewItem>
      <errorID>f30854ce-1142-4d3a-805a-2fa22f611944</errorID>
      <errorWord>胶粘剂</errorWord>
      <group>L1_Word</group>
      <groupName>字词问题</groupName>
      <ability>L2_Typo</ability>
      <abilityName>字词错误</abilityName>
      <candidateList>
        <item>胶黏剂</item>
      </candidateList>
      <explain/>
      <paraID>141C4EBD</paraID>
      <start>44</start>
      <end>47</end>
      <status>ignored</status>
      <modifiedWord/>
      <trackRevisions>false</trackRevisions>
    </reviewItem>
    <reviewItem>
      <errorID>36be5d32-16c9-42d6-bc11-2d61658fb605</errorID>
      <errorWord>胶粘剂</errorWord>
      <group>L1_Word</group>
      <groupName>字词问题</groupName>
      <ability>L2_Typo</ability>
      <abilityName>字词错误</abilityName>
      <candidateList>
        <item>胶黏剂</item>
      </candidateList>
      <explain/>
      <paraID>5B38E23C</paraID>
      <start>40</start>
      <end>43</end>
      <status>ignored</status>
      <modifiedWord/>
      <trackRevisions>false</trackRevisions>
    </reviewItem>
    <reviewItem>
      <errorID>18e4ca57-9734-463d-9ca0-aca4490c7a4a</errorID>
      <errorWord>胶粘剂</errorWord>
      <group>L1_Word</group>
      <groupName>字词问题</groupName>
      <ability>L2_Typo</ability>
      <abilityName>字词错误</abilityName>
      <candidateList>
        <item>胶黏剂</item>
      </candidateList>
      <explain/>
      <paraID>5B38E23C</paraID>
      <start>120</start>
      <end>123</end>
      <status>ignored</status>
      <modifiedWord/>
      <trackRevisions>false</trackRevisions>
    </reviewItem>
    <reviewItem>
      <errorID>1e3dbe62-8124-4405-b253-70e3648a156b</errorID>
      <errorWord>实行</errorWord>
      <group>L1_Punc</group>
      <groupName>标点问题</groupName>
      <ability>L2_Punc</ability>
      <abilityName>标点符号检查</abilityName>
      <candidateList>
        <item>. 实行</item>
      </candidateList>
      <explain/>
      <paraID>63BB7E1C</paraID>
      <start>2</start>
      <end>4</end>
      <status>ignored</status>
      <modifiedWord/>
      <trackRevisions>false</trackRevisions>
    </reviewItem>
    <reviewItem>
      <errorID>34386a1e-3a8b-4504-af8f-0a45da8d7be0</errorID>
      <errorWord>使用</errorWord>
      <group>L1_Punc</group>
      <groupName>标点问题</groupName>
      <ability>L2_Punc</ability>
      <abilityName>标点符号检查</abilityName>
      <candidateList>
        <item>. 使用</item>
      </candidateList>
      <explain/>
      <paraID>3CC60F13</paraID>
      <start>2</start>
      <end>4</end>
      <status>ignored</status>
      <modifiedWord/>
      <trackRevisions>false</trackRevisions>
    </reviewItem>
    <reviewItem>
      <errorID>942628fe-2196-4b86-9e42-075ac0a1d587</errorID>
      <errorWord>胶粘剂</errorWord>
      <group>L1_Word</group>
      <groupName>字词问题</groupName>
      <ability>L2_Typo</ability>
      <abilityName>字词错误</abilityName>
      <candidateList>
        <item>胶黏剂</item>
      </candidateList>
      <explain/>
      <paraID>3CC60F13</paraID>
      <start>185</start>
      <end>188</end>
      <status>ignored</status>
      <modifiedWord/>
      <trackRevisions>false</trackRevisions>
    </reviewItem>
    <reviewItem>
      <errorID>e1bfcbe8-d90e-4bdd-a341-b53ade7c8a3a</errorID>
      <errorWord>胶粘剂</errorWord>
      <group>L1_Word</group>
      <groupName>字词问题</groupName>
      <ability>L2_Typo</ability>
      <abilityName>字词错误</abilityName>
      <candidateList>
        <item>胶黏剂</item>
      </candidateList>
      <explain/>
      <paraID>3CC60F13</paraID>
      <start>220</start>
      <end>223</end>
      <status>ignored</status>
      <modifiedWord/>
      <trackRevisions>false</trackRevisions>
    </reviewItem>
    <reviewItem>
      <errorID>ea66cc06-5347-4476-af67-250d38cd0fa9</errorID>
      <errorWord>:</errorWord>
      <group>L1_Format</group>
      <groupName>格式问题</groupName>
      <ability>L2_HalfPunc</ability>
      <abilityName>全半角检查</abilityName>
      <candidateList>
        <item>：</item>
      </candidateList>
      <explain>文本全半角错误。</explain>
      <paraID>2671439A</paraID>
      <start>9</start>
      <end>10</end>
      <status>modified</status>
      <modifiedWord>：</modifiedWord>
      <trackRevisions>false</trackRevisions>
    </reviewItem>
    <reviewItem>
      <errorID>48f4a0f4-77bd-4e30-940e-44284c5ea1b0</errorID>
      <errorWord>污染物</errorWord>
      <group>L1_Punc</group>
      <groupName>标点问题</groupName>
      <ability>L2_Punc</ability>
      <abilityName>标点符号检查</abilityName>
      <candidateList>
        <item>. 污染物</item>
      </candidateList>
      <explain/>
      <paraID>1F59A9F8</paraID>
      <start>2</start>
      <end>5</end>
      <status>ignored</status>
      <modifiedWord/>
      <trackRevisions>false</trackRevisions>
    </reviewItem>
    <reviewItem>
      <errorID>8569d934-b35c-4059-b81c-5f0fc89635d0</errorID>
      <errorWord>限值的标准</errorWord>
      <group>L1_Grammar</group>
      <groupName>语法问题</groupName>
      <ability>L2_Grammar</ability>
      <abilityName>语法错误</abilityName>
      <candidateList>
        <item>限值</item>
      </candidateList>
      <explain/>
      <paraID>1F59A9F8</paraID>
      <start>15</start>
      <end>20</end>
      <status>ignored</status>
      <modifiedWord/>
      <trackRevisions>false</trackRevisions>
    </reviewItem>
    <reviewItem>
      <errorID>448b72b3-ff62-422a-9593-8775b8b180f4</errorID>
      <errorWord>对</errorWord>
      <group>L1_Punc</group>
      <groupName>标点问题</groupName>
      <ability>L2_Punc</ability>
      <abilityName>标点符号检查</abilityName>
      <candidateList>
        <item>. 对</item>
      </candidateList>
      <explain/>
      <paraID>33D8D6AD</paraID>
      <start>2</start>
      <end>3</end>
      <status>ignored</status>
      <modifiedWord/>
      <trackRevisions>false</trackRevisions>
    </reviewItem>
    <reviewItem>
      <errorID>c65fc259-a770-4f87-ac39-9008fe74154c</errorID>
      <errorWord>按</errorWord>
      <group>L1_Word</group>
      <groupName>字词问题</groupName>
      <ability>L2_Typo</ability>
      <abilityName>字词错误</abilityName>
      <candidateList>
        <item> 按</item>
      </candidateList>
      <explain/>
      <paraID>356ACFA1</paraID>
      <start>2</start>
      <end>3</end>
      <status>ignored</status>
      <modifiedWord/>
      <trackRevisions>false</trackRevisions>
    </reviewItem>
    <reviewItem>
      <errorID>a046d068-c153-4244-bb88-9ece430a233a</errorID>
      <errorWord>要求</errorWord>
      <group>L1_Grammar</group>
      <groupName>语法问题</groupName>
      <ability>L2_Grammar</ability>
      <abilityName>语法错误</abilityName>
      <candidateList>
        <item>相关工作</item>
      </candidateList>
      <explain/>
      <paraID>7699F03E</paraID>
      <start>27</start>
      <end>29</end>
      <status>ignored</status>
      <modifiedWord/>
      <trackRevisions>false</trackRevisions>
    </reviewItem>
    <reviewItem>
      <errorID>a72bfd76-dfe3-4025-b1a9-51338139bead</errorID>
      <errorWord>每月至少</errorWord>
      <group>L1_Grammar</group>
      <groupName>语法问题</groupName>
      <ability>L2_Grammar</ability>
      <abilityName>语法错误</abilityName>
      <candidateList>
        <item>每月</item>
      </candidateList>
      <explain/>
      <paraID> B7B820B</paraID>
      <start>118</start>
      <end>122</end>
      <status>ignored</status>
      <modifiedWord/>
      <trackRevisions>false</trackRevisions>
    </reviewItem>
    <reviewItem>
      <errorID>1a6873f1-c60e-4f82-98b7-262d2e8ff8d7</errorID>
      <errorWord>严格执行</errorWord>
      <group>L1_Word</group>
      <groupName>字词问题</groupName>
      <ability>L2_Typo</ability>
      <abilityName>字词错误</abilityName>
      <candidateList>
        <item>应严格执行</item>
      </candidateList>
      <explain/>
      <paraID>57A30353</paraID>
      <start>16</start>
      <end>20</end>
      <status>ignored</status>
      <modifiedWord/>
      <trackRevisions>false</trackRevisions>
    </reviewItem>
    <reviewItem>
      <errorID>ab13ee61-b584-41e7-a5c3-acad04ed50c9</errorID>
      <errorWord>:</errorWord>
      <group>L1_Format</group>
      <groupName>格式问题</groupName>
      <ability>L2_HalfPunc</ability>
      <abilityName>全半角检查</abilityName>
      <candidateList>
        <item>：</item>
      </candidateList>
      <explain>文本全半角错误。</explain>
      <paraID>5CE69D2B</paraID>
      <start>63</start>
      <end>64</end>
      <status>modified</status>
      <modifiedWord>：</modifiedWord>
      <trackRevisions>false</trackRevisions>
    </reviewItem>
    <reviewItem>
      <errorID>f989f6a6-6f63-40f4-90a9-1705299dc40c</errorID>
      <errorWord>工业生产</errorWord>
      <group>L1_Word</group>
      <groupName>字词问题</groupName>
      <ability>L2_Typo</ability>
      <abilityName>字词错误</abilityName>
      <candidateList>
        <item> 工业生产</item>
      </candidateList>
      <explain/>
      <paraID>5B1AE9B5</paraID>
      <start>2</start>
      <end>6</end>
      <status>ignored</status>
      <modifiedWord/>
      <trackRevisions>false</trackRevisions>
    </reviewItem>
    <reviewItem>
      <errorID>cf31605c-9ef2-4cb8-a019-2e23323b6481</errorID>
      <errorWord>.</errorWord>
      <group>L1_Format</group>
      <groupName>格式问题</groupName>
      <ability>L2_HalfPunc</ability>
      <abilityName>全半角检查</abilityName>
      <candidateList>
        <item>。</item>
      </candidateList>
      <explain>文本全半角错误。</explain>
      <paraID>5B1AE9B5</paraID>
      <start>49</start>
      <end>50</end>
      <status>modified</status>
      <modifiedWord>。</modifiedWord>
      <trackRevisions>false</trackRevisions>
    </reviewItem>
    <reviewItem>
      <errorID>ffe5c48c-e9d0-45fb-8df4-06e5051ec51e</errorID>
      <errorWord>《建筑工程施工和预拌混凝土生产扬尘污染防治标准》（试行）</errorWord>
      <group>L1_Knowledge</group>
      <groupName>知识性问题</groupName>
      <ability>L2_Knowledge</ability>
      <abilityName>其他知识</abilityName>
      <candidateList>
        <item>《建筑工程施工和预拌混凝土生产扬尘污染防治标准（试行）》</item>
      </candidateList>
      <explain>疑似政策文件、法律法规名称等书写不规范，请注意检查。</explain>
      <paraID>256921D9</paraID>
      <start>77</start>
      <end>105</end>
      <status>modified</status>
      <modifiedWord>《建筑工程施工和预拌混凝土生产扬尘污染防治标准（试行）》</modifiedWord>
      <trackRevisions>false</trackRevisions>
    </reviewItem>
    <reviewItem>
      <errorID>af70447e-4671-46e4-a531-0697042f7d0f</errorID>
      <errorWord>裸露</errorWord>
      <group>L1_Word</group>
      <groupName>字词问题</groupName>
      <ability>L2_Typo</ability>
      <abilityName>字词错误</abilityName>
      <candidateList>
        <item> 裸露</item>
      </candidateList>
      <explain/>
      <paraID>5465F2B7</paraID>
      <start>2</start>
      <end>4</end>
      <status>ignored</status>
      <modifiedWord/>
      <trackRevisions>false</trackRevisions>
    </reviewItem>
    <reviewItem>
      <errorID>886dc4b8-55fc-414f-a901-eefacce24744</errorID>
      <errorWord>从严</errorWord>
      <group>L1_Word</group>
      <groupName>字词问题</groupName>
      <ability>L2_Typo</ability>
      <abilityName>字词错误</abilityName>
      <candidateList>
        <item>应从严</item>
      </candidateList>
      <explain/>
      <paraID>5465F2B7</paraID>
      <start>24</start>
      <end>26</end>
      <status>ignored</status>
      <modifiedWord/>
      <trackRevisions>false</trackRevisions>
    </reviewItem>
    <reviewItem>
      <errorID>70f86ee3-a11e-4098-bb32-8013f1f71e7d</errorID>
      <errorWord>按照</errorWord>
      <group>L1_Word</group>
      <groupName>字词问题</groupName>
      <ability>L2_Typo</ability>
      <abilityName>字词错误</abilityName>
      <candidateList>
        <item> 按照</item>
      </candidateList>
      <explain/>
      <paraID>19A66AA1</paraID>
      <start>12</start>
      <end>14</end>
      <status>ignored</status>
      <modifiedWord/>
      <trackRevisions>false</trackRevisions>
    </reviewItem>
    <reviewItem>
      <errorID>5fb55b83-02e2-4052-a216-e5a704a44769</errorID>
      <errorWord>全面</errorWord>
      <group>L1_Word</group>
      <groupName>字词问题</groupName>
      <ability>L2_Typo</ability>
      <abilityName>字词错误</abilityName>
      <candidateList>
        <item> 全面</item>
      </candidateList>
      <explain/>
      <paraID>5088871A</paraID>
      <start>11</start>
      <end>13</end>
      <status>ignored</status>
      <modifiedWord/>
      <trackRevisions>false</trackRevisions>
    </reviewItem>
    <reviewItem>
      <errorID>985d691a-266e-45cd-b4ba-e79e2d058062</errorID>
      <errorWord>完善</errorWord>
      <group>L1_Word</group>
      <groupName>字词问题</groupName>
      <ability>L2_Typo</ability>
      <abilityName>字词错误</abilityName>
      <candidateList>
        <item> 完善</item>
      </candidateList>
      <explain/>
      <paraID>4D544404</paraID>
      <start>13</start>
      <end>15</end>
      <status>ignored</status>
      <modifiedWord/>
      <trackRevisions>false</trackRevisions>
    </reviewItem>
    <reviewItem>
      <errorID>73b3203b-740c-4b76-b47b-9e79dd18bc99</errorID>
      <errorWord>加快</errorWord>
      <group>L1_Word</group>
      <groupName>字词问题</groupName>
      <ability>L2_Typo</ability>
      <abilityName>字词错误</abilityName>
      <candidateList>
        <item> 加快</item>
      </candidateList>
      <explain/>
      <paraID>645E4154</paraID>
      <start>1</start>
      <end>3</end>
      <status>ignored</status>
      <modifiedWord/>
      <trackRevisions>false</trackRevisions>
    </reviewItem>
    <reviewItem>
      <errorID>d7d14c6a-7a7b-4726-9c99-8013e781da5d</errorID>
      <errorWord>加强</errorWord>
      <group>L1_Word</group>
      <groupName>字词问题</groupName>
      <ability>L2_Typo</ability>
      <abilityName>字词错误</abilityName>
      <candidateList>
        <item> 加强</item>
      </candidateList>
      <explain/>
      <paraID>4FC68CC5</paraID>
      <start>1</start>
      <end>3</end>
      <status>ignored</status>
      <modifiedWord/>
      <trackRevisions>false</trackRevisions>
    </reviewItem>
    <reviewItem>
      <errorID>0cf1f184-48a0-4cf7-9600-0db55ce46761</errorID>
      <errorWord>建立</errorWord>
      <group>L1_Word</group>
      <groupName>字词问题</groupName>
      <ability>L2_Typo</ability>
      <abilityName>字词错误</abilityName>
      <candidateList>
        <item> 建立</item>
      </candidateList>
      <explain/>
      <paraID>2750691D</paraID>
      <start>1</start>
      <end>3</end>
      <status>ignored</status>
      <modifiedWord/>
      <trackRevisions>false</trackRevisions>
    </reviewItem>
    <reviewItem>
      <errorID>6d7e787e-af34-4d41-ae06-e5badc5c5b4d</errorID>
      <errorWord>十四五期间</errorWord>
      <group>L1_Political</group>
      <groupName>政治性问题</groupName>
      <ability>L2_Keyword</ability>
      <abilityName>固定表述</abilityName>
      <candidateList>
        <item>“十四五”期间</item>
      </candidateList>
      <explain>注意检查当前固定表述标点是否使用规范。</explain>
      <paraID>54D5784C</paraID>
      <start>2</start>
      <end>7</end>
      <status>ignored</status>
      <modifiedWord/>
      <trackRevisions>false</trackRevisions>
    </reviewItem>
    <reviewItem>
      <errorID>43d3b52d-92d1-48e8-a2a8-2a349dfb18b7</errorID>
      <errorWord>每小时35 </errorWord>
      <group>L1_Word</group>
      <groupName>字词问题</groupName>
      <ability>L2_Typo</ability>
      <abilityName>字词错误</abilityName>
      <candidateList>
        <item> 每小时35</item>
      </candidateList>
      <explain/>
      <paraID>31A0B1A7</paraID>
      <start>2</start>
      <end>8</end>
      <status>ignored</status>
      <modifiedWord/>
      <trackRevisions>false</trackRevisions>
    </reviewItem>
    <reviewItem>
      <errorID>f1ca5d87-5531-426f-9347-0f4dcc93fac9</errorID>
      <errorWord> </errorWord>
      <group>L1_Punc</group>
      <groupName>标点问题</groupName>
      <ability>L2_Punc</ability>
      <abilityName>标点符号检查</abilityName>
      <candidateList>
        <item/>
      </candidateList>
      <explain>此处空格冗余，建议删除。</explain>
      <paraID>31A0B1A7</paraID>
      <start>13</start>
      <end>14</end>
      <status>ignored</status>
      <modifiedWord/>
      <trackRevisions>false</trackRevisions>
    </reviewItem>
    <reviewItem>
      <errorID>e659d0da-c582-43b1-bf34-2d9798502428</errorID>
      <errorWord>实施</errorWord>
      <group>L1_Word</group>
      <groupName>字词问题</groupName>
      <ability>L2_Typo</ability>
      <abilityName>字词错误</abilityName>
      <candidateList>
        <item> 实施</item>
      </candidateList>
      <explain/>
      <paraID>31901BB2</paraID>
      <start>2</start>
      <end>4</end>
      <status>ignored</status>
      <modifiedWord/>
      <trackRevisions>false</trackRevisions>
    </reviewItem>
    <reviewItem>
      <errorID>164cdc8e-2aba-42f6-bdb2-14d6451a8548</errorID>
      <errorWord>，包括</errorWord>
      <group>L1_Grammar</group>
      <groupName>语法问题</groupName>
      <ability>L2_Grammar</ability>
      <abilityName>语法错误</abilityName>
      <candidateList>
        <item>，</item>
      </candidateList>
      <explain/>
      <paraID>31901BB2</paraID>
      <start>53</start>
      <end>54</end>
      <status>modified</status>
      <modifiedWord>，</modifiedWord>
      <trackRevisions>false</trackRevisions>
    </reviewItem>
    <reviewItem>
      <errorID>f2b5e2b7-978a-4fbe-81fb-9a37c6a47268</errorID>
      <errorWord>胶粘剂</errorWord>
      <group>L1_Word</group>
      <groupName>字词问题</groupName>
      <ability>L2_Typo</ability>
      <abilityName>字词错误</abilityName>
      <candidateList>
        <item>胶黏剂</item>
      </candidateList>
      <explain/>
      <paraID>568CB67C</paraID>
      <start>8</start>
      <end>11</end>
      <status>ignored</status>
      <modifiedWord/>
      <trackRevisions>false</trackRevisions>
    </reviewItem>
    <reviewItem>
      <errorID>c6f5f356-cd91-4d08-a47a-8750bf0468f4</errorID>
      <errorWord>祼</errorWord>
      <group>L1_Word</group>
      <groupName>字词问题</groupName>
      <ability>L2_Typo</ability>
      <abilityName>字词错误</abilityName>
      <candidateList>
        <item>裸</item>
      </candidateList>
      <explain/>
      <paraID>  BE9F00</paraID>
      <start>154</start>
      <end>155</end>
      <status>ignored</status>
      <modifiedWord/>
      <trackRevisions>false</trackRevisions>
    </reviewItem>
    <reviewItem>
      <errorID>a41d1072-68a1-473a-9dc8-ca9721dc89fc</errorID>
      <errorWord>抛洒</errorWord>
      <group>L1_Word</group>
      <groupName>字词问题</groupName>
      <ability>L2_Typo</ability>
      <abilityName>字词错误</abilityName>
      <candidateList>
        <item>抛撒</item>
      </candidateList>
      <explain/>
      <paraID>5D0F43BD</paraID>
      <start>140</start>
      <end>142</end>
      <status>ignored</status>
      <modifiedWord/>
      <trackRevisions>false</trackRevisions>
    </reviewItem>
    <reviewItem>
      <errorID>c9c820f8-9e6b-4791-8ebf-865b13197611</errorID>
      <errorWord>,</errorWord>
      <group>L1_Format</group>
      <groupName>格式问题</groupName>
      <ability>L2_HalfPunc</ability>
      <abilityName>全半角检查</abilityName>
      <candidateList>
        <item>，</item>
      </candidateList>
      <explain>文本全半角错误。</explain>
      <paraID> 294287B</paraID>
      <start>44</start>
      <end>45</end>
      <status>modified</status>
      <modifiedWord>，</modifiedWord>
      <trackRevisions>false</trackRevisions>
    </reviewItem>
    <reviewItem>
      <errorID>fe612ade-4cea-4f42-86c5-484455b73165</errorID>
      <errorWord>,</errorWord>
      <group>L1_Format</group>
      <groupName>格式问题</groupName>
      <ability>L2_HalfPunc</ability>
      <abilityName>全半角检查</abilityName>
      <candidateList>
        <item>，</item>
      </candidateList>
      <explain>文本全半角错误。</explain>
      <paraID>641BF5FB</paraID>
      <start>27</start>
      <end>28</end>
      <status>modified</status>
      <modifiedWord>，</modifiedWord>
      <trackRevisions>false</trackRevisions>
    </reviewItem>
    <reviewItem>
      <errorID>a9e13d89-53d5-4e5b-8cc0-1c662fd3bc08</errorID>
      <errorWord>,</errorWord>
      <group>L1_Format</group>
      <groupName>格式问题</groupName>
      <ability>L2_HalfPunc</ability>
      <abilityName>全半角检查</abilityName>
      <candidateList>
        <item>，</item>
      </candidateList>
      <explain>文本全半角错误。</explain>
      <paraID>641BF5FB</paraID>
      <start>41</start>
      <end>42</end>
      <status>modified</status>
      <modifiedWord>，</modifiedWord>
      <trackRevisions>false</trackRevisions>
    </reviewItem>
    <reviewItem>
      <errorID>4e8482d3-2a59-4d1e-a4cb-6f421cf02691</errorID>
      <errorWord>,</errorWord>
      <group>L1_Format</group>
      <groupName>格式问题</groupName>
      <ability>L2_HalfPunc</ability>
      <abilityName>全半角检查</abilityName>
      <candidateList>
        <item>，</item>
      </candidateList>
      <explain>文本全半角错误。</explain>
      <paraID>641BF5FB</paraID>
      <start>63</start>
      <end>64</end>
      <status>modified</status>
      <modifiedWord>，</modifiedWord>
      <trackRevisions>false</trackRevisions>
    </reviewItem>
    <reviewItem>
      <errorID>6276156b-724c-4caf-8422-98adc1d09b2f</errorID>
      <errorWord>,</errorWord>
      <group>L1_Format</group>
      <groupName>格式问题</groupName>
      <ability>L2_HalfPunc</ability>
      <abilityName>全半角检查</abilityName>
      <candidateList>
        <item>，</item>
      </candidateList>
      <explain>文本全半角错误。</explain>
      <paraID>641BF5FB</paraID>
      <start>104</start>
      <end>105</end>
      <status>modified</status>
      <modifiedWord>，</modifiedWord>
      <trackRevisions>false</trackRevisions>
    </reviewItem>
    <reviewItem>
      <errorID>228b25f3-f905-4973-a7f2-666efa432597</errorID>
      <errorWord>,</errorWord>
      <group>L1_Format</group>
      <groupName>格式问题</groupName>
      <ability>L2_HalfPunc</ability>
      <abilityName>全半角检查</abilityName>
      <candidateList>
        <item>，</item>
      </candidateList>
      <explain>文本全半角错误。</explain>
      <paraID>641BF5FB</paraID>
      <start>128</start>
      <end>129</end>
      <status>modified</status>
      <modifiedWord>，</modifiedWord>
      <trackRevisions>false</trackRevisions>
    </reviewItem>
    <reviewItem>
      <errorID>698921a3-5d98-4f4b-afef-c14601039b89</errorID>
      <errorWord>十四五期间</errorWord>
      <group>L1_Political</group>
      <groupName>政治性问题</groupName>
      <ability>L2_Keyword</ability>
      <abilityName>固定表述</abilityName>
      <candidateList>
        <item>“十四五”期间</item>
      </candidateList>
      <explain>注意检查当前固定表述标点是否使用规范。</explain>
      <paraID>5D4888E6</paraID>
      <start>2</start>
      <end>7</end>
      <status>ignored</status>
      <modifiedWord/>
      <trackRevisions>false</trackRevisions>
    </reviewItem>
    <reviewItem>
      <errorID>e9c1703a-c10d-461e-9196-b5bf969444a4</errorID>
      <errorWord>环保治理</errorWord>
      <group>L1_Word</group>
      <groupName>字词问题</groupName>
      <ability>L2_Typo</ability>
      <abilityName>字词错误</abilityName>
      <candidateList>
        <item>环境治理</item>
      </candidateList>
      <explain/>
      <paraID>765BBDA9</paraID>
      <start>53</start>
      <end>57</end>
      <status>ignored</status>
      <modifiedWord/>
      <trackRevisions>false</trackRevisions>
    </reviewItem>
    <reviewItem>
      <errorID>7ee6dddd-6663-4e89-ba46-d08776cfb230</errorID>
      <errorWord>达</errorWord>
      <group>L1_Word</group>
      <groupName>字词问题</groupName>
      <ability>L2_Typo</ability>
      <abilityName>字词错误</abilityName>
      <candidateList>
        <item>达到</item>
      </candidateList>
      <explain>〈动〉到（多指抽象事物或程度）：达得到｜达不到｜目的没有～｜～国际水平。</explain>
      <paraID>5E640819</paraID>
      <start>15</start>
      <end>16</end>
      <status>ignored</status>
      <modifiedWord/>
      <trackRevisions>false</trackRevisions>
    </reviewItem>
    <reviewItem>
      <errorID>54db14eb-8127-479a-a85a-f950dd364528</errorID>
      <errorWord>,</errorWord>
      <group>L1_Format</group>
      <groupName>格式问题</groupName>
      <ability>L2_HalfPunc</ability>
      <abilityName>全半角检查</abilityName>
      <candidateList>
        <item>，</item>
      </candidateList>
      <explain>文本全半角错误。</explain>
      <paraID>559C16A1</paraID>
      <start>41</start>
      <end>42</end>
      <status>modified</status>
      <modifiedWord>，</modifiedWord>
      <trackRevisions>false</trackRevisions>
    </reviewItem>
    <reviewItem>
      <errorID>9758735f-2bd9-483c-a449-06187f30ddbe</errorID>
      <errorWord>严格</errorWord>
      <group>L1_Punc</group>
      <groupName>标点问题</groupName>
      <ability>L2_Punc</ability>
      <abilityName>标点符号检查</abilityName>
      <candidateList>
        <item>. 严格</item>
      </candidateList>
      <explain/>
      <paraID>11BF9D78</paraID>
      <start>1</start>
      <end>3</end>
      <status>ignored</status>
      <modifiedWord/>
      <trackRevisions>false</trackRevisions>
    </reviewItem>
    <reviewItem>
      <errorID>51adeafe-9a7e-44e5-a81a-e7ffd50a56dd</errorID>
      <errorWord>坚持</errorWord>
      <group>L1_Punc</group>
      <groupName>标点问题</groupName>
      <ability>L2_Punc</ability>
      <abilityName>标点符号检查</abilityName>
      <candidateList>
        <item>. 坚持</item>
      </candidateList>
      <explain/>
      <paraID> 5B4023E</paraID>
      <start>1</start>
      <end>3</end>
      <status>ignored</status>
      <modifiedWord/>
      <trackRevisions>false</trackRevisions>
    </reviewItem>
    <reviewItem>
      <errorID>bd7f9dfd-f475-4c94-9c20-7866fc56aec6</errorID>
      <errorWord>推动</errorWord>
      <group>L1_Punc</group>
      <groupName>标点问题</groupName>
      <ability>L2_Punc</ability>
      <abilityName>标点符号检查</abilityName>
      <candidateList>
        <item>. 推动</item>
      </candidateList>
      <explain/>
      <paraID>50B7124F</paraID>
      <start>1</start>
      <end>3</end>
      <status>ignored</status>
      <modifiedWord/>
      <trackRevisions>false</trackRevisions>
    </reviewItem>
    <reviewItem>
      <errorID>2f6d239a-698a-43fc-97bb-d9b0e9b2aab9</errorID>
      <errorWord>实施</errorWord>
      <group>L1_Punc</group>
      <groupName>标点问题</groupName>
      <ability>L2_Punc</ability>
      <abilityName>标点符号检查</abilityName>
      <candidateList>
        <item>. 实施</item>
      </candidateList>
      <explain/>
      <paraID>7F9CEFCF</paraID>
      <start>1</start>
      <end>3</end>
      <status>ignored</status>
      <modifiedWord/>
      <trackRevisions>false</trackRevisions>
    </reviewItem>
    <reviewItem>
      <errorID>b0b0238b-be26-4659-8983-8da2e5e0f918</errorID>
      <errorWord>推动</errorWord>
      <group>L1_Punc</group>
      <groupName>标点问题</groupName>
      <ability>L2_Punc</ability>
      <abilityName>标点符号检查</abilityName>
      <candidateList>
        <item>. 推动</item>
      </candidateList>
      <explain/>
      <paraID>7F9CEFCF</paraID>
      <start>127</start>
      <end>129</end>
      <status>ignored</status>
      <modifiedWord/>
      <trackRevisions>false</trackRevisions>
    </reviewItem>
    <reviewItem>
      <errorID>3c5444cc-7aaa-4661-becb-45f8425951e6</errorID>
      <errorWord>积极</errorWord>
      <group>L1_Punc</group>
      <groupName>标点问题</groupName>
      <ability>L2_Punc</ability>
      <abilityName>标点符号检查</abilityName>
      <candidateList>
        <item>. 积极</item>
      </candidateList>
      <explain/>
      <paraID>5769ECD8</paraID>
      <start>1</start>
      <end>3</end>
      <status>ignored</status>
      <modifiedWord/>
      <trackRevisions>false</trackRevisions>
    </reviewItem>
    <reviewItem>
      <errorID>0f3ba815-9f28-49e2-b81f-bc8cdcb9cd9d</errorID>
      <errorWord>、就</errorWord>
      <group>L1_Punc</group>
      <groupName>标点问题</groupName>
      <ability>L2_Punc</ability>
      <abilityName>标点符号检查</abilityName>
      <candidateList>
        <item>，就</item>
      </candidateList>
      <explain>连接词前后不宜使用顿号，建议使用逗号。</explain>
      <paraID>5769ECD8</paraID>
      <start>38</start>
      <end>40</end>
      <status>ignored</status>
      <modifiedWord/>
      <trackRevisions>false</trackRevisions>
    </reviewItem>
    <reviewItem>
      <errorID>8d50b467-eebf-4a54-aed9-3280fb10bf29</errorID>
      <errorWord>大力推广</errorWord>
      <group>L1_Punc</group>
      <groupName>标点问题</groupName>
      <ability>L2_Punc</ability>
      <abilityName>标点符号检查</abilityName>
      <candidateList>
        <item>. 大力推广</item>
      </candidateList>
      <explain/>
      <paraID>392D13F0</paraID>
      <start>1</start>
      <end>5</end>
      <status>ignored</status>
      <modifiedWord/>
      <trackRevisions>false</trackRevisions>
    </reviewItem>
    <reviewItem>
      <errorID>c45a3ef5-48f8-4771-a1c5-204436a068a7</errorID>
      <errorWord>按照</errorWord>
      <group>L1_Punc</group>
      <groupName>标点问题</groupName>
      <ability>L2_Punc</ability>
      <abilityName>标点符号检查</abilityName>
      <candidateList>
        <item>. 按照</item>
      </candidateList>
      <explain/>
      <paraID>392D13F0</paraID>
      <start>52</start>
      <end>54</end>
      <status>ignored</status>
      <modifiedWord/>
      <trackRevisions>false</trackRevisions>
    </reviewItem>
    <reviewItem>
      <errorID>10dd491d-202d-4854-aad4-12e250d10386</errorID>
      <errorWord>兴建</errorWord>
      <group>L1_Punc</group>
      <groupName>标点问题</groupName>
      <ability>L2_Punc</ability>
      <abilityName>标点符号检查</abilityName>
      <candidateList>
        <item>. 兴建</item>
      </candidateList>
      <explain/>
      <paraID>392D13F0</paraID>
      <start>89</start>
      <end>91</end>
      <status>ignored</status>
      <modifiedWord/>
      <trackRevisions>false</trackRevisions>
    </reviewItem>
    <reviewItem>
      <errorID>a4ae2643-0612-45e7-b1c8-a27d946f7b77</errorID>
      <errorWord>开采</errorWord>
      <group>L1_Punc</group>
      <groupName>标点问题</groupName>
      <ability>L2_Punc</ability>
      <abilityName>标点符号检查</abilityName>
      <candidateList>
        <item>. 开采</item>
      </candidateList>
      <explain/>
      <paraID> 9CEBE90</paraID>
      <start>1</start>
      <end>3</end>
      <status>ignored</status>
      <modifiedWord/>
      <trackRevisions>false</trackRevisions>
    </reviewItem>
    <reviewItem>
      <errorID>c29a0c51-514e-4d78-81c8-b80ac9def6aa</errorID>
      <errorWord>淮河流域</errorWord>
      <group>L1_Punc</group>
      <groupName>标点问题</groupName>
      <ability>L2_Punc</ability>
      <abilityName>标点符号检查</abilityName>
      <candidateList>
        <item>. 淮河流域</item>
      </candidateList>
      <explain/>
      <paraID>158BE490</paraID>
      <start>1</start>
      <end>5</end>
      <status>unmodified</status>
      <modifiedWord/>
      <trackRevisions>false</trackRevisions>
    </reviewItem>
    <reviewItem>
      <errorID>a6124bc6-e669-4899-90b1-0f09fa4c5038</errorID>
      <errorWord>按照</errorWord>
      <group>L1_Punc</group>
      <groupName>标点问题</groupName>
      <ability>L2_Punc</ability>
      <abilityName>标点符号检查</abilityName>
      <candidateList>
        <item>. 按照</item>
      </candidateList>
      <explain/>
      <paraID>122D7F48</paraID>
      <start>13</start>
      <end>15</end>
      <status>ignored</status>
      <modifiedWord/>
      <trackRevisions>false</trackRevisions>
    </reviewItem>
    <reviewItem>
      <errorID>d2a3da6e-4723-4a58-bdef-edef05128fc9</errorID>
      <errorWord>按照</errorWord>
      <group>L1_Punc</group>
      <groupName>标点问题</groupName>
      <ability>L2_Punc</ability>
      <abilityName>标点符号检查</abilityName>
      <candidateList>
        <item>. 按照</item>
      </candidateList>
      <explain/>
      <paraID>66A53070</paraID>
      <start>7</start>
      <end>9</end>
      <status>ignored</status>
      <modifiedWord/>
      <trackRevisions>false</trackRevisions>
    </reviewItem>
    <reviewItem>
      <errorID>4dc59144-11f2-43b6-964f-a33d024eb928</errorID>
      <errorWord>土地</errorWord>
      <group>L1_Punc</group>
      <groupName>标点问题</groupName>
      <ability>L2_Punc</ability>
      <abilityName>标点符号检查</abilityName>
      <candidateList>
        <item>. 土地</item>
      </candidateList>
      <explain/>
      <paraID>4D4DDD26</paraID>
      <start>12</start>
      <end>14</end>
      <status>ignored</status>
      <modifiedWord/>
      <trackRevisions>false</trackRevisions>
    </reviewItem>
    <reviewItem>
      <errorID>fc12be5c-1d2b-4fb2-b032-2be04520be65</errorID>
      <errorWord>到十四五</errorWord>
      <group>L1_Grammar</group>
      <groupName>语法问题</groupName>
      <ability>L2_Grammar</ability>
      <abilityName>语法错误</abilityName>
      <candidateList>
        <item> 到“十四五”</item>
      </candidateList>
      <explain/>
      <paraID>4D4DDD26</paraID>
      <start>40</start>
      <end>44</end>
      <status>ignored</status>
      <modifiedWord/>
      <trackRevisions>false</trackRevisions>
    </reviewItem>
    <reviewItem>
      <errorID>14fa1ea3-941a-4b95-8b2c-0da00fee6e30</errorID>
      <errorWord>、</errorWord>
      <group>L1_Punc</group>
      <groupName>标点问题</groupName>
      <ability>L2_Punc</ability>
      <abilityName>标点符号检查</abilityName>
      <candidateList/>
      <explain/>
      <paraID>2F4EA6D6</paraID>
      <start>161</start>
      <end>162</end>
      <status>ignored</status>
      <modifiedWord/>
      <trackRevisions>false</trackRevisions>
    </reviewItem>
    <reviewItem>
      <errorID>0e7042a7-f485-4126-979c-a7d802c19db6</errorID>
      <errorWord>三线一单</errorWord>
      <group>L1_Political</group>
      <groupName>政治性问题</groupName>
      <ability>L2_Keyword</ability>
      <abilityName>固定表述</abilityName>
      <candidateList>
        <item>‘三线一单’</item>
      </candidateList>
      <explain>注意检查当前固定表述标点是否使用规范。</explain>
      <paraID>4604CF1E</paraID>
      <start>47</start>
      <end>51</end>
      <status>ignored</status>
      <modifiedWord/>
      <trackRevisions>false</trackRevisions>
    </reviewItem>
    <reviewItem>
      <errorID>54f485d2-3fd2-42a2-ad2e-5497f6269b71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35B6EE97</paraID>
      <start>0</start>
      <end>2</end>
      <status>modified</status>
      <modifiedWord>2.</modifiedWord>
      <trackRevisions>false</trackRevisions>
    </reviewItem>
    <reviewItem>
      <errorID>5f2e085d-afb6-4839-8179-42f61ac35c4b</errorID>
      <errorWord>关于</errorWord>
      <group>L1_Punc</group>
      <groupName>标点问题</groupName>
      <ability>L2_Punc</ability>
      <abilityName>标点符号检查</abilityName>
      <candidateList>
        <item>《关于</item>
      </candidateList>
      <explain/>
      <paraID>3AD3EFF5</paraID>
      <start>6</start>
      <end>8</end>
      <status>ignored</status>
      <modifiedWord/>
      <trackRevisions>false</trackRevisions>
    </reviewItem>
    <reviewItem>
      <errorID>1b9c3483-ef51-4842-a339-bfc011af9904</errorID>
      <errorWord>《</errorWord>
      <group>L1_Punc</group>
      <groupName>标点问题</groupName>
      <ability>L2_Punc</ability>
      <abilityName>标点符号检查</abilityName>
      <candidateList>
        <item>〈</item>
      </candidateList>
      <explain/>
      <paraID>3AD3EFF5</paraID>
      <start>10</start>
      <end>11</end>
      <status>ignored</status>
      <modifiedWord/>
      <trackRevisions>false</trackRevisions>
    </reviewItem>
    <reviewItem>
      <errorID>0208b44a-52a8-4e50-bd17-6d9ec23e6f7a</errorID>
      <errorWord>》</errorWord>
      <group>L1_Punc</group>
      <groupName>标点问题</groupName>
      <ability>L2_Punc</ability>
      <abilityName>标点符号检查</abilityName>
      <candidateList>
        <item>〉</item>
      </candidateList>
      <explain/>
      <paraID>3AD3EFF5</paraID>
      <start>27</start>
      <end>28</end>
      <status>ignored</status>
      <modifiedWord/>
      <trackRevisions>false</trackRevisions>
    </reviewItem>
    <reviewItem>
      <errorID>9558cbfd-4e3d-4289-a4da-abe928613360</errorID>
      <errorWord>（</errorWord>
      <group>L1_Punc</group>
      <groupName>标点问题</groupName>
      <ability>L2_Punc</ability>
      <abilityName>标点符号检查</abilityName>
      <candidateList>
        <item>》（</item>
      </candidateList>
      <explain/>
      <paraID>3AD3EFF5</paraID>
      <start>31</start>
      <end>32</end>
      <status>ignored</status>
      <modifiedWord/>
      <trackRevisions>false</trackRevisions>
    </reviewItem>
    <reviewItem>
      <errorID>7ab96f0a-25a3-47f1-b9a1-b872a631dc57</errorID>
      <errorWord>【2022】2号</errorWord>
      <group>L1_Knowledge</group>
      <groupName>知识性问题</groupName>
      <ability>L2_Knowledge</ability>
      <abilityName>其他知识</abilityName>
      <candidateList>
        <item>〔2022〕2号</item>
      </candidateList>
      <explain>发文字号格式错误。</explain>
      <paraID>3AD3EFF5</paraID>
      <start>36</start>
      <end>44</end>
      <status>ignored</status>
      <modifiedWord/>
      <trackRevisions>false</trackRevisions>
    </reviewItem>
    <reviewItem>
      <errorID>8d666129-9193-4c7c-ad6c-0704f610a391</errorID>
      <errorWord>关于</errorWord>
      <group>L1_Punc</group>
      <groupName>标点问题</groupName>
      <ability>L2_Punc</ability>
      <abilityName>标点符号检查</abilityName>
      <candidateList>
        <item>《关于</item>
      </candidateList>
      <explain/>
      <paraID>1E3B2952</paraID>
      <start>7</start>
      <end>9</end>
      <status>ignored</status>
      <modifiedWord/>
      <trackRevisions>false</trackRevisions>
    </reviewItem>
    <reviewItem>
      <errorID>9b431609-fa22-4b33-a566-a6f44f674e85</errorID>
      <errorWord>《</errorWord>
      <group>L1_Punc</group>
      <groupName>标点问题</groupName>
      <ability>L2_Punc</ability>
      <abilityName>标点符号检查</abilityName>
      <candidateList>
        <item>〈</item>
      </candidateList>
      <explain/>
      <paraID>1E3B2952</paraID>
      <start>11</start>
      <end>12</end>
      <status>ignored</status>
      <modifiedWord/>
      <trackRevisions>false</trackRevisions>
    </reviewItem>
    <reviewItem>
      <errorID>c3fa3d06-b5c4-46b6-95fb-fc08c74abd32</errorID>
      <errorWord>》</errorWord>
      <group>L1_Punc</group>
      <groupName>标点问题</groupName>
      <ability>L2_Punc</ability>
      <abilityName>标点符号检查</abilityName>
      <candidateList>
        <item>〉</item>
      </candidateList>
      <explain/>
      <paraID>1E3B2952</paraID>
      <start>28</start>
      <end>29</end>
      <status>ignored</status>
      <modifiedWord/>
      <trackRevisions>false</trackRevisions>
    </reviewItem>
    <reviewItem>
      <errorID>07267934-ed2e-49f5-9d44-60f88bfaffb4</errorID>
      <errorWord>（</errorWord>
      <group>L1_Punc</group>
      <groupName>标点问题</groupName>
      <ability>L2_Punc</ability>
      <abilityName>标点符号检查</abilityName>
      <candidateList>
        <item>》（</item>
      </candidateList>
      <explain/>
      <paraID>1E3B2952</paraID>
      <start>32</start>
      <end>33</end>
      <status>ignored</status>
      <modifiedWord/>
      <trackRevisions>false</trackRevisions>
    </reviewItem>
    <reviewItem>
      <errorID>ac3830a1-49a8-4def-861e-466a46894b0f</errorID>
      <errorWord>【2022】2号</errorWord>
      <group>L1_Knowledge</group>
      <groupName>知识性问题</groupName>
      <ability>L2_Knowledge</ability>
      <abilityName>其他知识</abilityName>
      <candidateList>
        <item>〔2022〕2号</item>
      </candidateList>
      <explain>发文字号格式错误。</explain>
      <paraID>1E3B2952</paraID>
      <start>37</start>
      <end>45</end>
      <status>ignored</status>
      <modifiedWord/>
      <trackRevisions>false</trackRevisions>
    </reviewItem>
    <reviewItem>
      <errorID>8f7df669-023d-4318-ad46-e82d21236545</errorID>
      <errorWord>胶粘剂</errorWord>
      <group>L1_Word</group>
      <groupName>字词问题</groupName>
      <ability>L2_Typo</ability>
      <abilityName>字词错误</abilityName>
      <candidateList>
        <item>胶黏剂</item>
      </candidateList>
      <explain/>
      <paraID> 91EF42D</paraID>
      <start>100</start>
      <end>103</end>
      <status>ignored</status>
      <modifiedWord/>
      <trackRevisions>false</trackRevisions>
    </reviewItem>
    <reviewItem>
      <errorID>2a6b2bbc-60f7-4b98-a625-d3dc1a999273</errorID>
      <errorWord>,</errorWord>
      <group>L1_Format</group>
      <groupName>格式问题</groupName>
      <ability>L2_HalfPunc</ability>
      <abilityName>全半角检查</abilityName>
      <candidateList>
        <item>，</item>
      </candidateList>
      <explain>文本全半角错误。</explain>
      <paraID>41771931</paraID>
      <start>24</start>
      <end>25</end>
      <status>modified</status>
      <modifiedWord>，</modifiedWord>
      <trackRevisions>false</trackRevisions>
    </reviewItem>
    <reviewItem>
      <errorID>d71e40df-4143-48c7-add9-b6f859dfb193</errorID>
      <errorWord>(</errorWord>
      <group>L1_Format</group>
      <groupName>格式问题</groupName>
      <ability>L2_HalfPunc</ability>
      <abilityName>全半角检查</abilityName>
      <candidateList>
        <item>（</item>
      </candidateList>
      <explain>文本全半角错误。</explain>
      <paraID>41771931</paraID>
      <start>27</start>
      <end>28</end>
      <status>modified</status>
      <modifiedWord>（</modifiedWord>
      <trackRevisions>false</trackRevisions>
    </reviewItem>
    <reviewItem>
      <errorID>f0d13aa8-13c1-4612-af19-51d9585d28e7</errorID>
      <errorWord>)</errorWord>
      <group>L1_Format</group>
      <groupName>格式问题</groupName>
      <ability>L2_HalfPunc</ability>
      <abilityName>全半角检查</abilityName>
      <candidateList>
        <item>）</item>
      </candidateList>
      <explain>文本全半角错误。</explain>
      <paraID>41771931</paraID>
      <start>33</start>
      <end>34</end>
      <status>modified</status>
      <modifiedWord>）</modifiedWord>
      <trackRevisions>false</trackRevisions>
    </reviewItem>
    <reviewItem>
      <errorID>b1e301fd-923e-4c36-bb72-617ff4a3e409</errorID>
      <errorWord>:</errorWord>
      <group>L1_Format</group>
      <groupName>格式问题</groupName>
      <ability>L2_HalfPunc</ability>
      <abilityName>全半角检查</abilityName>
      <candidateList>
        <item>：</item>
      </candidateList>
      <explain>文本全半角错误。</explain>
      <paraID>41771931</paraID>
      <start>47</start>
      <end>48</end>
      <status>modified</status>
      <modifiedWord>：</modifiedWord>
      <trackRevisions>false</trackRevisions>
    </reviewItem>
    <reviewItem>
      <errorID>efdb7bed-5eee-445f-a08b-2ae9b790890e</errorID>
      <errorWord>(</errorWord>
      <group>L1_Format</group>
      <groupName>格式问题</groupName>
      <ability>L2_HalfPunc</ability>
      <abilityName>全半角检查</abilityName>
      <candidateList>
        <item>（</item>
      </candidateList>
      <explain>文本全半角错误。</explain>
      <paraID>41771931</paraID>
      <start>63</start>
      <end>64</end>
      <status>modified</status>
      <modifiedWord>（</modifiedWord>
      <trackRevisions>false</trackRevisions>
    </reviewItem>
    <reviewItem>
      <errorID>e8f6bd77-7447-4371-a170-7e92b950107c</errorID>
      <errorWord>)</errorWord>
      <group>L1_Format</group>
      <groupName>格式问题</groupName>
      <ability>L2_HalfPunc</ability>
      <abilityName>全半角检查</abilityName>
      <candidateList>
        <item>）</item>
      </candidateList>
      <explain>文本全半角错误。</explain>
      <paraID>41771931</paraID>
      <start>66</start>
      <end>67</end>
      <status>modified</status>
      <modifiedWord>）</modifiedWord>
      <trackRevisions>false</trackRevisions>
    </reviewItem>
    <reviewItem>
      <errorID>89f8b94a-c66f-43bc-b1aa-c85a8b3731d1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3893A3D3</paraID>
      <start>0</start>
      <end>2</end>
      <status>modified</status>
      <modifiedWord>3.</modifiedWord>
      <trackRevisions>false</trackRevisions>
    </reviewItem>
    <reviewItem>
      <errorID>921fffad-d501-4fcc-9765-3bbccbf311f4</errorID>
      <errorWord>《产业结构调整指导目录》（2024年本）</errorWord>
      <group>L1_Knowledge</group>
      <groupName>知识性问题</groupName>
      <ability>L2_Knowledge</ability>
      <abilityName>其他知识</abilityName>
      <candidateList>
        <item>《产业结构调整指导目录（2024年本）》</item>
      </candidateList>
      <explain>疑似政策文件、法律法规名称等书写不规范，请注意检查。</explain>
      <paraID>5B116090</paraID>
      <start>2</start>
      <end>22</end>
      <status>modified</status>
      <modifiedWord>《产业结构调整指导目录（2024年本）》</modifiedWord>
      <trackRevisions>false</trackRevisions>
    </reviewItem>
    <reviewItem>
      <errorID>a0a0fe30-2b06-4ba8-a76f-117e5c0804a3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6769EA45</paraID>
      <start>0</start>
      <end>2</end>
      <status>modified</status>
      <modifiedWord>4.</modifiedWord>
      <trackRevisions>false</trackRevisions>
    </reviewItem>
    <reviewItem>
      <errorID>c41b2eb7-39f0-47fd-bfaa-571927417e3b</errorID>
      <errorWord>现场勘察</errorWord>
      <group>L1_Word</group>
      <groupName>字词问题</groupName>
      <ability>L2_Typo</ability>
      <abilityName>字词错误</abilityName>
      <candidateList>
        <item>现场勘查</item>
      </candidateList>
      <explain/>
      <paraID>7668859B</paraID>
      <start>2</start>
      <end>6</end>
      <status>unmodified</status>
      <modifiedWord/>
      <trackRevisions>false</trackRevisions>
    </reviewItem>
    <reviewItem>
      <errorID>01c171c3-0dbe-496d-b16f-b23d3a6f0b9c</errorID>
      <errorWord>旅游区</errorWord>
      <group>L1_Word</group>
      <groupName>字词问题</groupName>
      <ability>L2_Typo</ability>
      <abilityName>字词错误</abilityName>
      <candidateList>
        <item>名胜区</item>
      </candidateList>
      <explain/>
      <paraID>7668859B</paraID>
      <start>49</start>
      <end>52</end>
      <status>modified</status>
      <modifiedWord>名胜区</modifiedWord>
      <trackRevisions>false</trackRevisions>
    </reviewItem>
    <reviewItem>
      <errorID>aaff5fff-91f4-4afa-a67a-ffa87ce9e6a4</errorID>
      <errorWord>ᨀ出</errorWord>
      <group>L1_Word</group>
      <groupName>字词问题</groupName>
      <ability>L2_Typo</ability>
      <abilityName>字词错误</abilityName>
      <candidateList>
        <item>提出</item>
      </candidateList>
      <explain/>
      <paraID>7A59E55D</paraID>
      <start>33</start>
      <end>35</end>
      <status>modified</status>
      <modifiedWord>提出</modifiedWord>
      <trackRevisions>false</trackRevisions>
    </reviewItem>
    <reviewItem>
      <errorID>2ab62d4b-65bb-4520-9871-38b7509a7ff1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7AC9EF8E</paraID>
      <start>0</start>
      <end>2</end>
      <status>modified</status>
      <modifiedWord>1.</modifiedWord>
      <trackRevisions>false</trackRevisions>
    </reviewItem>
    <reviewItem>
      <errorID>e2c3c9cb-4779-4f95-afb6-2f59415843d7</errorID>
      <errorWord>(</errorWord>
      <group>L1_Format</group>
      <groupName>格式问题</groupName>
      <ability>L2_HalfPunc</ability>
      <abilityName>全半角检查</abilityName>
      <candidateList>
        <item>（</item>
      </candidateList>
      <explain>文本全半角错误。</explain>
      <paraID>742A4D5C</paraID>
      <start>218</start>
      <end>219</end>
      <status>unmodified</status>
      <modifiedWord/>
      <trackRevisions>false</trackRevisions>
    </reviewItem>
    <reviewItem>
      <errorID>833c1642-9858-4f80-b770-27af6d3e937d</errorID>
      <errorWord>【2015]10号</errorWord>
      <group>L1_Knowledge</group>
      <groupName>知识性问题</groupName>
      <ability>L2_Knowledge</ability>
      <abilityName>其他知识</abilityName>
      <candidateList>
        <item>〔2015〕10号</item>
      </candidateList>
      <explain>发文字号格式错误。</explain>
      <paraID>742A4D5C</paraID>
      <start>223</start>
      <end>232</end>
      <status>modified</status>
      <modifiedWord>〔2015〕10号</modifiedWord>
      <trackRevisions>false</trackRevisions>
    </reviewItem>
    <reviewItem>
      <errorID>b007db7d-8678-4648-aab0-b257cbe5849c</errorID>
      <errorWord>)</errorWord>
      <group>L1_Format</group>
      <groupName>格式问题</groupName>
      <ability>L2_HalfPunc</ability>
      <abilityName>全半角检查</abilityName>
      <candidateList>
        <item>）</item>
      </candidateList>
      <explain>文本全半角错误。</explain>
      <paraID>742A4D5C</paraID>
      <start>232</start>
      <end>233</end>
      <status>modified</status>
      <modifiedWord>）</modifiedWord>
      <trackRevisions>false</trackRevisions>
    </reviewItem>
    <reviewItem>
      <errorID>c0769e3c-c261-4bab-9967-7eea6ec1ea3a</errorID>
      <errorWord>(</errorWord>
      <group>L1_Format</group>
      <groupName>格式问题</groupName>
      <ability>L2_HalfPunc</ability>
      <abilityName>全半角检查</abilityName>
      <candidateList>
        <item>（</item>
      </candidateList>
      <explain>文本全半角错误。</explain>
      <paraID>742A4D5C</paraID>
      <start>320</start>
      <end>321</end>
      <status>modified</status>
      <modifiedWord>（</modifiedWord>
      <trackRevisions>false</trackRevisions>
    </reviewItem>
    <reviewItem>
      <errorID>4905be2f-d046-4a0d-b777-b82126c1a396</errorID>
      <errorWord>【2017]11号</errorWord>
      <group>L1_Knowledge</group>
      <groupName>知识性问题</groupName>
      <ability>L2_Knowledge</ability>
      <abilityName>其他知识</abilityName>
      <candidateList>
        <item>〔2017〕11号</item>
      </candidateList>
      <explain>发文字号格式错误。</explain>
      <paraID>742A4D5C</paraID>
      <start>325</start>
      <end>334</end>
      <status>ignored</status>
      <modifiedWord/>
      <trackRevisions>false</trackRevisions>
    </reviewItem>
    <reviewItem>
      <errorID>d43c8882-d659-40b7-8e51-b9dbef5ca8f2</errorID>
      <errorWord>)</errorWord>
      <group>L1_Format</group>
      <groupName>格式问题</groupName>
      <ability>L2_HalfPunc</ability>
      <abilityName>全半角检查</abilityName>
      <candidateList>
        <item>）</item>
      </candidateList>
      <explain>文本全半角错误。</explain>
      <paraID>742A4D5C</paraID>
      <start>334</start>
      <end>335</end>
      <status>modified</status>
      <modifiedWord>）</modifiedWord>
      <trackRevisions>false</trackRevisions>
    </reviewItem>
    <reviewItem>
      <errorID>ef5dfab1-2434-4612-8114-36213505d74d</errorID>
      <errorWord>(</errorWord>
      <group>L1_Format</group>
      <groupName>格式问题</groupName>
      <ability>L2_HalfPunc</ability>
      <abilityName>全半角检查</abilityName>
      <candidateList>
        <item>（</item>
      </candidateList>
      <explain>文本全半角错误。</explain>
      <paraID>742A4D5C</paraID>
      <start>389</start>
      <end>390</end>
      <status>modified</status>
      <modifiedWord>（</modifiedWord>
      <trackRevisions>false</trackRevisions>
    </reviewItem>
    <reviewItem>
      <errorID>04b896ea-65ee-4d65-812a-7aae3a5904a3</errorID>
      <errorWord>:</errorWord>
      <group>L1_Format</group>
      <groupName>格式问题</groupName>
      <ability>L2_HalfPunc</ability>
      <abilityName>全半角检查</abilityName>
      <candidateList>
        <item>：</item>
      </candidateList>
      <explain>文本全半角错误。</explain>
      <paraID>742A4D5C</paraID>
      <start>394</start>
      <end>395</end>
      <status>modified</status>
      <modifiedWord>：</modifiedWord>
      <trackRevisions>false</trackRevisions>
    </reviewItem>
    <reviewItem>
      <errorID>25a6b655-8b5b-4c4f-a2af-686c9d35c9eb</errorID>
      <errorWord>)</errorWord>
      <group>L1_Format</group>
      <groupName>格式问题</groupName>
      <ability>L2_HalfPunc</ability>
      <abilityName>全半角检查</abilityName>
      <candidateList>
        <item>）</item>
      </candidateList>
      <explain>文本全半角错误。</explain>
      <paraID>742A4D5C</paraID>
      <start>417</start>
      <end>418</end>
      <status>modified</status>
      <modifiedWord>）</modifiedWord>
      <trackRevisions>false</trackRevisions>
    </reviewItem>
    <reviewItem>
      <errorID>5ee51d2e-1992-43d8-9997-380e2b4e0178</errorID>
      <errorWord>(</errorWord>
      <group>L1_Format</group>
      <groupName>格式问题</groupName>
      <ability>L2_HalfPunc</ability>
      <abilityName>全半角检查</abilityName>
      <candidateList>
        <item>（</item>
      </candidateList>
      <explain>文本全半角错误。</explain>
      <paraID>1849CBD9</paraID>
      <start>138</start>
      <end>139</end>
      <status>modified</status>
      <modifiedWord>（</modifiedWord>
      <trackRevisions>false</trackRevisions>
    </reviewItem>
    <reviewItem>
      <errorID>40e241af-e378-4922-ba86-0f28ba41871c</errorID>
      <errorWord>[2023]57号</errorWord>
      <group>L1_Knowledge</group>
      <groupName>知识性问题</groupName>
      <ability>L2_Knowledge</ability>
      <abilityName>其他知识</abilityName>
      <candidateList>
        <item>〔2023〕57号</item>
      </candidateList>
      <explain>发文字号格式错误。</explain>
      <paraID>1849CBD9</paraID>
      <start>156</start>
      <end>165</end>
      <status>ignored</status>
      <modifiedWord/>
      <trackRevisions>false</trackRevisions>
    </reviewItem>
    <reviewItem>
      <errorID>9a4d919c-49b2-4ca9-8707-cdb18c75fa5d</errorID>
      <errorWord>)</errorWord>
      <group>L1_Format</group>
      <groupName>格式问题</groupName>
      <ability>L2_HalfPunc</ability>
      <abilityName>全半角检查</abilityName>
      <candidateList>
        <item>）</item>
      </candidateList>
      <explain>文本全半角错误。</explain>
      <paraID>1849CBD9</paraID>
      <start>165</start>
      <end>166</end>
      <status>modified</status>
      <modifiedWord>）</modifiedWord>
      <trackRevisions>false</trackRevisions>
    </reviewItem>
    <reviewItem>
      <errorID>556b1adb-6aca-4c89-817c-1218bd745d36</errorID>
      <errorWord>(</errorWord>
      <group>L1_Format</group>
      <groupName>格式问题</groupName>
      <ability>L2_HalfPunc</ability>
      <abilityName>全半角检查</abilityName>
      <candidateList>
        <item>（</item>
      </candidateList>
      <explain>文本全半角错误。</explain>
      <paraID>1849CBD9</paraID>
      <start>200</start>
      <end>201</end>
      <status>modified</status>
      <modifiedWord>（</modifiedWord>
      <trackRevisions>false</trackRevisions>
    </reviewItem>
    <reviewItem>
      <errorID>99a792fe-0359-479d-9e95-2fd2b728af89</errorID>
      <errorWord>(</errorWord>
      <group>L1_Format</group>
      <groupName>格式问题</groupName>
      <ability>L2_HalfPunc</ability>
      <abilityName>全半角检查</abilityName>
      <candidateList>
        <item>（</item>
      </candidateList>
      <explain>文本全半角错误。</explain>
      <paraID>1849CBD9</paraID>
      <start>258</start>
      <end>259</end>
      <status>modified</status>
      <modifiedWord>（</modifiedWord>
      <trackRevisions>false</trackRevisions>
    </reviewItem>
    <reviewItem>
      <errorID>4bee07d6-2262-4d30-9785-9d0959d2d602</errorID>
      <errorWord>,</errorWord>
      <group>L1_Format</group>
      <groupName>格式问题</groupName>
      <ability>L2_HalfPunc</ability>
      <abilityName>全半角检查</abilityName>
      <candidateList>
        <item>，</item>
      </candidateList>
      <explain>文本全半角错误。</explain>
      <paraID>14BBFE78</paraID>
      <start>119</start>
      <end>120</end>
      <status>modified</status>
      <modifiedWord>，</modifiedWord>
      <trackRevisions>false</trackRevisions>
    </reviewItem>
    <reviewItem>
      <errorID>abf22e2a-5c95-4c28-9a99-1e552da2dab2</errorID>
      <errorWord>,</errorWord>
      <group>L1_Format</group>
      <groupName>格式问题</groupName>
      <ability>L2_HalfPunc</ability>
      <abilityName>全半角检查</abilityName>
      <candidateList>
        <item>，</item>
      </candidateList>
      <explain>文本全半角错误。</explain>
      <paraID>69601CE6</paraID>
      <start>124</start>
      <end>125</end>
      <status>modified</status>
      <modifiedWord>，</modifiedWord>
      <trackRevisions>false</trackRevisions>
    </reviewItem>
    <reviewItem>
      <errorID>4ffea16a-f940-450a-8039-633211215632</errorID>
      <errorWord>交有</errorWord>
      <group>L1_Word</group>
      <groupName>字词问题</groupName>
      <ability>L2_Typo</ability>
      <abilityName>字词错误</abilityName>
      <candidateList>
        <item>交由</item>
      </candidateList>
      <explain>存在发音相同字词的误用。</explain>
      <paraID> EC5DDBD</paraID>
      <start>54</start>
      <end>56</end>
      <status>modified</status>
      <modifiedWord>交由</modifiedWord>
      <trackRevisions>false</trackRevisions>
    </reviewItem>
    <reviewItem>
      <errorID>60451ee1-0d00-411a-bc27-d64396cf3b03</errorID>
      <errorWord>交有</errorWord>
      <group>L1_Word</group>
      <groupName>字词问题</groupName>
      <ability>L2_Typo</ability>
      <abilityName>字词错误</abilityName>
      <candidateList>
        <item>交由</item>
      </candidateList>
      <explain>存在发音相同字词的误用。</explain>
      <paraID>32E267C9</paraID>
      <start>54</start>
      <end>56</end>
      <status>modified</status>
      <modifiedWord>交由</modifiedWord>
      <trackRevisions>false</trackRevisions>
    </reviewItem>
    <reviewItem>
      <errorID>83f9659f-8854-4f99-af0a-2ee939613888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2FAE3D1D</paraID>
      <start>43</start>
      <end>44</end>
      <status>modified</status>
      <modifiedWord>—</modifiedWord>
      <trackRevisions>false</trackRevisions>
    </reviewItem>
    <reviewItem>
      <errorID>a7fcd44a-3f06-4823-b188-f245c03f34df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2FAE3D1D</paraID>
      <start>95</start>
      <end>96</end>
      <status>modified</status>
      <modifiedWord>—</modifiedWord>
      <trackRevisions>false</trackRevisions>
    </reviewItem>
    <reviewItem>
      <errorID>c1f4e28b-d04d-48fb-947d-51caf00937ab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ADA08BA</paraID>
      <start>0</start>
      <end>2</end>
      <status>modified</status>
      <modifiedWord>2.</modifiedWord>
      <trackRevisions>false</trackRevisions>
    </reviewItem>
    <reviewItem>
      <errorID>3a06673d-863e-4a14-96fb-1f7616d23456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14D6A943</paraID>
      <start>3</start>
      <end>4</end>
      <status>modified</status>
      <modifiedWord>—</modifiedWord>
      <trackRevisions>false</trackRevisions>
    </reviewItem>
    <reviewItem>
      <errorID>dd88e300-8084-4d59-a602-7e0173b8f2ca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688B9246</paraID>
      <start>3</start>
      <end>4</end>
      <status>modified</status>
      <modifiedWord>—</modifiedWord>
      <trackRevisions>false</trackRevisions>
    </reviewItem>
    <reviewItem>
      <errorID>d9a49029-98c4-4fa1-8647-35ccc759624c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1B4FCD0B</paraID>
      <start>3</start>
      <end>4</end>
      <status>modified</status>
      <modifiedWord>—</modifiedWord>
      <trackRevisions>false</trackRevisions>
    </reviewItem>
    <reviewItem>
      <errorID>9c1030d7-0944-47cb-9b6f-08d6000b41f6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414ECB36</paraID>
      <start>3</start>
      <end>4</end>
      <status>modified</status>
      <modifiedWord>—</modifiedWord>
      <trackRevisions>false</trackRevisions>
    </reviewItem>
    <reviewItem>
      <errorID>53ff50f9-4da9-46fb-893b-ad140dd7fd9a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5EAF23E6</paraID>
      <start>0</start>
      <end>2</end>
      <status>modified</status>
      <modifiedWord>3.</modifiedWord>
      <trackRevisions>false</trackRevisions>
    </reviewItem>
    <reviewItem>
      <errorID>c488d24b-0194-4a45-9f64-9349a5d54668</errorID>
      <errorWord>融熔</errorWord>
      <group>L1_Word</group>
      <groupName>字词问题</groupName>
      <ability>L2_Typo</ability>
      <abilityName>字词错误</abilityName>
      <candidateList>
        <item>熔融</item>
      </candidateList>
      <explain/>
      <paraID>68AE9FEA</paraID>
      <start>0</start>
      <end>2</end>
      <status>modified</status>
      <modifiedWord>熔融</modifiedWord>
      <trackRevisions>false</trackRevisions>
    </reviewItem>
    <reviewItem>
      <errorID>6585dea9-eab0-4e03-a0b9-d9ac13e12020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517433C5</paraID>
      <start>0</start>
      <end>2</end>
      <status>modified</status>
      <modifiedWord>4.</modifiedWord>
      <trackRevisions>false</trackRevisions>
    </reviewItem>
    <reviewItem>
      <errorID>4b2612c5-d5f4-454a-96df-9e54edae1fd8</errorID>
      <errorWord>)</errorWord>
      <group>L1_Format</group>
      <groupName>格式问题</groupName>
      <ability>L2_HalfPunc</ability>
      <abilityName>全半角检查</abilityName>
      <candidateList>
        <item>）</item>
      </candidateList>
      <explain>文本全半角错误。</explain>
      <paraID>67183ABE</paraID>
      <start>56</start>
      <end>57</end>
      <status>modified</status>
      <modifiedWord>）</modifiedWord>
      <trackRevisions>false</trackRevisions>
    </reviewItem>
    <reviewItem>
      <errorID>f4d87df1-a25a-4441-8335-0af759fb667a</errorID>
      <errorWord>称之为</errorWord>
      <group>L1_Word</group>
      <groupName>字词问题</groupName>
      <ability>L2_Typo</ability>
      <abilityName>字词错误</abilityName>
      <candidateList>
        <item>称为</item>
      </candidateList>
      <explain/>
      <paraID>6DFBAB36</paraID>
      <start>14</start>
      <end>16</end>
      <status>modified</status>
      <modifiedWord>称为</modifiedWord>
      <trackRevisions>false</trackRevisions>
    </reviewItem>
    <reviewItem>
      <errorID>f39672eb-fc87-4b2f-bbc4-d43a11b5cc4e</errorID>
      <errorWord>56%~58%</errorWord>
      <group>L1_Knowledge</group>
      <groupName>知识性问题</groupName>
      <ability>L2_Knowledge</ability>
      <abilityName>其他知识</abilityName>
      <candidateList>
        <item>56%～58%</item>
      </candidateList>
      <explain>1. “56%~58%”中的单位“%”仅出现在后一个数字上，容易引起歧义；根据《现代汉语标点符号数字用法规范手册》，数字表示范围两边需要使用统一的格式。2. 根据标点国标 4.13 中的规则，数字、时间或地域连接符应使用（视觉上更长的）“—”或“～”。</explain>
      <paraID>6DFBAB36</paraID>
      <start>130</start>
      <end>137</end>
      <status>modified</status>
      <modifiedWord>56%～58%</modifiedWord>
      <trackRevisions>false</trackRevisions>
    </reviewItem>
    <reviewItem>
      <errorID>893f0405-64fb-4bac-a504-e9ef0cd6bef0</errorID>
      <errorWord>做大</errorWord>
      <group>L1_Word</group>
      <groupName>字词问题</groupName>
      <ability>L2_Typo</ability>
      <abilityName>字词错误</abilityName>
      <candidateList>
        <item>最大</item>
      </candidateList>
      <explain/>
      <paraID>6DFBAB36</paraID>
      <start>259</start>
      <end>261</end>
      <status>modified</status>
      <modifiedWord>最大</modifiedWord>
      <trackRevisions>false</trackRevisions>
    </reviewItem>
    <reviewItem>
      <errorID>c704285c-bf37-48b4-8214-6134296aee2c</errorID>
      <errorWord>(</errorWord>
      <group>L1_Format</group>
      <groupName>格式问题</groupName>
      <ability>L2_HalfPunc</ability>
      <abilityName>全半角检查</abilityName>
      <candidateList>
        <item>（</item>
      </candidateList>
      <explain>文本全半角错误。</explain>
      <paraID>5D3F471E</paraID>
      <start>35</start>
      <end>36</end>
      <status>modified</status>
      <modifiedWord>（</modifiedWord>
      <trackRevisions>false</trackRevisions>
    </reviewItem>
    <reviewItem>
      <errorID>c28beae1-933e-408d-841a-9c0614b03a32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5D3F471E</paraID>
      <start>39</start>
      <end>40</end>
      <status>modified</status>
      <modifiedWord>—</modifiedWord>
      <trackRevisions>false</trackRevisions>
    </reviewItem>
    <reviewItem>
      <errorID>8a6bf1d8-3a3e-49e0-bc78-773057248da9</errorID>
      <errorWord>)</errorWord>
      <group>L1_Format</group>
      <groupName>格式问题</groupName>
      <ability>L2_HalfPunc</ability>
      <abilityName>全半角检查</abilityName>
      <candidateList>
        <item>）</item>
      </candidateList>
      <explain>文本全半角错误。</explain>
      <paraID>5D3F471E</paraID>
      <start>47</start>
      <end>48</end>
      <status>modified</status>
      <modifiedWord>）</modifiedWord>
      <trackRevisions>false</trackRevisions>
    </reviewItem>
    <reviewItem>
      <errorID>bcd08afe-33e6-4009-a478-3ad2adb516e7</errorID>
      <errorWord>(</errorWord>
      <group>L1_Format</group>
      <groupName>格式问题</groupName>
      <ability>L2_HalfPunc</ability>
      <abilityName>全半角检查</abilityName>
      <candidateList>
        <item>（</item>
      </candidateList>
      <explain>文本全半角错误。</explain>
      <paraID>5D3F471E</paraID>
      <start>66</start>
      <end>67</end>
      <status>modified</status>
      <modifiedWord>（</modifiedWord>
      <trackRevisions>false</trackRevisions>
    </reviewItem>
    <reviewItem>
      <errorID>536eed40-723a-4009-b798-e03f8a2379fb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5D3F471E</paraID>
      <start>70</start>
      <end>71</end>
      <status>modified</status>
      <modifiedWord>—</modifiedWord>
      <trackRevisions>false</trackRevisions>
    </reviewItem>
    <reviewItem>
      <errorID>9224e2dc-0583-481b-a646-792b319307ce</errorID>
      <errorWord>)</errorWord>
      <group>L1_Format</group>
      <groupName>格式问题</groupName>
      <ability>L2_HalfPunc</ability>
      <abilityName>全半角检查</abilityName>
      <candidateList>
        <item>）</item>
      </candidateList>
      <explain>文本全半角错误。</explain>
      <paraID>5D3F471E</paraID>
      <start>78</start>
      <end>79</end>
      <status>modified</status>
      <modifiedWord>）</modifiedWord>
      <trackRevisions>false</trackRevisions>
    </reviewItem>
    <reviewItem>
      <errorID>a863402d-b662-43d2-ad01-b4694b58c0fe</errorID>
      <errorWord>一种</errorWord>
      <group>L1_Knowledge</group>
      <groupName>知识性问题</groupName>
      <ability>L2_Knowledge</ability>
      <abilityName>其他知识</abilityName>
      <candidateList>
        <item>一副</item>
      </candidateList>
      <explain/>
      <paraID>5D3F471E</paraID>
      <start>134</start>
      <end>136</end>
      <status>ignored</status>
      <modifiedWord/>
      <trackRevisions>false</trackRevisions>
    </reviewItem>
    <reviewItem>
      <errorID>3b8359af-c923-42b9-9d7a-c4e2d894ee90</errorID>
      <errorWord>根据研究显示</errorWord>
      <group>L1_Grammar</group>
      <groupName>语法问题</groupName>
      <ability>L2_Grammar</ability>
      <abilityName>语法错误</abilityName>
      <candidateList>
        <item>根据研究</item>
      </candidateList>
      <explain/>
      <paraID> 4D1CD62</paraID>
      <start>306</start>
      <end>310</end>
      <status>modified</status>
      <modifiedWord>根据研究</modifiedWord>
      <trackRevisions>false</trackRevisions>
    </reviewItem>
    <reviewItem>
      <errorID>35691f46-824d-4f8e-a0da-886cea8b2b30</errorID>
      <errorWord>粘度</errorWord>
      <group>L1_Word</group>
      <groupName>字词问题</groupName>
      <ability>L2_Alias</ability>
      <abilityName>也作/曾用词</abilityName>
      <candidateList>
        <item>黏度</item>
      </candidateList>
      <explain>词汇[粘度]为不规范表述或旧称，其规范书面表述为[黏度]。</explain>
      <paraID>1ED90BCD</paraID>
      <start>55</start>
      <end>57</end>
      <status>modified</status>
      <modifiedWord>黏度</modifiedWord>
      <trackRevisions>false</trackRevisions>
    </reviewItem>
    <reviewItem>
      <errorID>82f957f9-5013-45a9-a017-7d79975036e5</errorID>
      <errorWord>:</errorWord>
      <group>L1_Format</group>
      <groupName>格式问题</groupName>
      <ability>L2_HalfPunc</ability>
      <abilityName>全半角检查</abilityName>
      <candidateList>
        <item>：</item>
      </candidateList>
      <explain>文本全半角错误。</explain>
      <paraID>46E95514</paraID>
      <start>6</start>
      <end>7</end>
      <status>modified</status>
      <modifiedWord>：</modifiedWord>
      <trackRevisions>false</trackRevisions>
    </reviewItem>
    <reviewItem>
      <errorID>21286c85-c092-45de-bfe5-fb6d4e75c37e</errorID>
      <errorWord>(</errorWord>
      <group>L1_Format</group>
      <groupName>格式问题</groupName>
      <ability>L2_HalfPunc</ability>
      <abilityName>全半角检查</abilityName>
      <candidateList>
        <item>（</item>
      </candidateList>
      <explain>文本全半角错误。</explain>
      <paraID>46E95514</paraID>
      <start>18</start>
      <end>19</end>
      <status>modified</status>
      <modifiedWord>（</modifiedWord>
      <trackRevisions>false</trackRevisions>
    </reviewItem>
    <reviewItem>
      <errorID>3f2e0f19-94c6-4123-bec6-c6ea3e27dc42</errorID>
      <errorWord>)</errorWord>
      <group>L1_Format</group>
      <groupName>格式问题</groupName>
      <ability>L2_HalfPunc</ability>
      <abilityName>全半角检查</abilityName>
      <candidateList>
        <item>）</item>
      </candidateList>
      <explain>文本全半角错误。</explain>
      <paraID>46E95514</paraID>
      <start>21</start>
      <end>22</end>
      <status>modified</status>
      <modifiedWord>）</modifiedWord>
      <trackRevisions>false</trackRevisions>
    </reviewItem>
    <reviewItem>
      <errorID>0a998fa1-cfdf-45f6-8b9e-7ddcc7f50716</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46E95514</paraID>
      <start>111</start>
      <end>118</end>
      <status>modified</status>
      <modifiedWord>40%—60%</modifiedWord>
      <trackRevisions>false</trackRevisions>
    </reviewItem>
    <reviewItem>
      <errorID>56207006-735e-4804-9493-7d015e5cb92a</errorID>
      <errorWord>30%-50%</errorWord>
      <group>L1_Knowledge</group>
      <groupName>知识性问题</groupName>
      <ability>L2_Knowledge</ability>
      <abilityName>其他知识</abilityName>
      <candidateList>
        <item>30%—50%</item>
      </candidateList>
      <explain>1. “30%-50%”中的单位“%”仅出现在后一个数字上，容易引起歧义；根据《现代汉语标点符号数字用法规范手册》，数字表示范围两边需要使用统一的格式。2. 根据标点国标 4.13 中的规则，数字、时间或地域连接符应使用（视觉上更长的）“—”或“～”。</explain>
      <paraID>537B9D27</paraID>
      <start>7</start>
      <end>14</end>
      <status>modified</status>
      <modifiedWord>30%—50%</modifiedWord>
      <trackRevisions>false</trackRevisions>
    </reviewItem>
    <reviewItem>
      <errorID>36c37a5a-8783-441c-aa8f-ddc6cbf895f7</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74541651</paraID>
      <start>7</start>
      <end>13</end>
      <status>modified</status>
      <modifiedWord>5%—10%</modifiedWord>
      <trackRevisions>false</trackRevisions>
    </reviewItem>
    <reviewItem>
      <errorID>d08b388b-25fb-4f79-abd4-c304b0e46aaa</errorID>
      <errorWord>50%-70%</errorWord>
      <group>L1_Knowledge</group>
      <groupName>知识性问题</groupName>
      <ability>L2_Knowledge</ability>
      <abilityName>其他知识</abilityName>
      <candidateList>
        <item>50%—70%</item>
      </candidateList>
      <explain>1. “50%-70%”中的单位“%”仅出现在后一个数字上，容易引起歧义；根据《现代汉语标点符号数字用法规范手册》，数字表示范围两边需要使用统一的格式。2. 根据标点国标 4.13 中的规则，数字、时间或地域连接符应使用（视觉上更长的）“—”或“～”。</explain>
      <paraID>478F8019</paraID>
      <start>41</start>
      <end>48</end>
      <status>modified</status>
      <modifiedWord>50%—70%</modifiedWord>
      <trackRevisions>false</trackRevisions>
    </reviewItem>
    <reviewItem>
      <errorID>3c53acec-6609-4d83-a966-75c22555861e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41EE29A3</paraID>
      <start>13</start>
      <end>14</end>
      <status>modified</status>
      <modifiedWord>—</modifiedWord>
      <trackRevisions>false</trackRevisions>
    </reviewItem>
    <reviewItem>
      <errorID>d4ec78dd-f975-4837-b42d-12eea11afe25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2438C068</paraID>
      <start>0</start>
      <end>2</end>
      <status>modified</status>
      <modifiedWord>6.</modifiedWord>
      <trackRevisions>false</trackRevisions>
    </reviewItem>
    <reviewItem>
      <errorID>590c455d-25cc-45e1-a98b-d1a0f1866d56</errorID>
      <errorWord>交有</errorWord>
      <group>L1_Word</group>
      <groupName>字词问题</groupName>
      <ability>L2_Typo</ability>
      <abilityName>字词错误</abilityName>
      <candidateList>
        <item>交由</item>
      </candidateList>
      <explain>存在发音相同字词的误用。</explain>
      <paraID>1772726A</paraID>
      <start>208</start>
      <end>210</end>
      <status>modified</status>
      <modifiedWord>交由</modifiedWord>
      <trackRevisions>false</trackRevisions>
    </reviewItem>
    <reviewItem>
      <errorID>5a068626-cd32-433b-b308-4fce5b546783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33FBA04F</paraID>
      <start>0</start>
      <end>2</end>
      <status>modified</status>
      <modifiedWord>6.</modifiedWord>
      <trackRevisions>false</trackRevisions>
    </reviewItem>
    <reviewItem>
      <errorID>bd35fb5a-595c-4b47-ab13-e122f68f5282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2083F52E</paraID>
      <start>0</start>
      <end>2</end>
      <status>modified</status>
      <modifiedWord>7.</modifiedWord>
      <trackRevisions>false</trackRevisions>
    </reviewItem>
    <reviewItem>
      <errorID>1b764d82-9032-4942-ba5b-22a7543491ad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7E6E1C91</paraID>
      <start>0</start>
      <end>2</end>
      <status>modified</status>
      <modifiedWord>1.</modifiedWord>
      <trackRevisions>false</trackRevisions>
    </reviewItem>
    <reviewItem>
      <errorID>6a835107-b12d-478f-b286-ffd900f625a2</errorID>
      <errorWord>全称</errorWord>
      <group>L1_Word</group>
      <groupName>字词问题</groupName>
      <ability>L2_Typo</ability>
      <abilityName>字词错误</abilityName>
      <candidateList>
        <item>全程</item>
      </candidateList>
      <explain>存在发音相同字词的误用。</explain>
      <paraID>68E44BDE</paraID>
      <start>70</start>
      <end>72</end>
      <status>modified</status>
      <modifiedWord>全程</modifiedWord>
      <trackRevisions>false</trackRevisions>
    </reviewItem>
    <reviewItem>
      <errorID>cb34081e-2283-4076-9bba-c464c970dd0e</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7ED0B946</paraID>
      <start>128</start>
      <end>129</end>
      <status>modified</status>
      <modifiedWord>在</modifiedWord>
      <trackRevisions>false</trackRevisions>
    </reviewItem>
    <reviewItem>
      <errorID>0011a4ec-840f-4062-83ad-8a1571275a43</errorID>
      <errorWord>胶粘剂</errorWord>
      <group>L1_Word</group>
      <groupName>字词问题</groupName>
      <ability>L2_Typo</ability>
      <abilityName>字词错误</abilityName>
      <candidateList>
        <item>胶黏剂</item>
      </candidateList>
      <explain/>
      <paraID>7ED0B946</paraID>
      <start>229</start>
      <end>232</end>
      <status>modified</status>
      <modifiedWord>胶黏剂</modifiedWord>
      <trackRevisions>false</trackRevisions>
    </reviewItem>
    <reviewItem>
      <errorID>0eba7561-d5a0-407d-b6a7-dcad5161c11e</errorID>
      <errorWord>全称</errorWord>
      <group>L1_Word</group>
      <groupName>字词问题</groupName>
      <ability>L2_Typo</ability>
      <abilityName>字词错误</abilityName>
      <candidateList>
        <item>全程</item>
      </candidateList>
      <explain>存在发音相同字词的误用。</explain>
      <paraID>303173A8</paraID>
      <start>52</start>
      <end>54</end>
      <status>modified</status>
      <modifiedWord>全程</modifiedWord>
      <trackRevisions>false</trackRevisions>
    </reviewItem>
    <reviewItem>
      <errorID>a1d99f33-8ab0-4132-b264-3155bdf21132</errorID>
      <errorWord>做</errorWord>
      <group>L1_Word</group>
      <groupName>字词问题</groupName>
      <ability>L2_Typo</ability>
      <abilityName>字词错误</abilityName>
      <candidateList>
        <item>作</item>
      </candidateList>
      <explain>存在发音相同字词的误用。</explain>
      <paraID>479AB01F</paraID>
      <start>140</start>
      <end>141</end>
      <status>modified</status>
      <modifiedWord>作</modifiedWord>
      <trackRevisions>false</trackRevisions>
    </reviewItem>
    <reviewItem>
      <errorID>4a8339c6-034e-4283-8167-06b70d855fdc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2E76EA92</paraID>
      <start>0</start>
      <end>2</end>
      <status>modified</status>
      <modifiedWord>1.</modifiedWord>
      <trackRevisions>false</trackRevisions>
    </reviewItem>
    <reviewItem>
      <errorID>f340c2ae-110c-4f1c-a36a-e5d65e450620</errorID>
      <errorWord>,</errorWord>
      <group>L1_Format</group>
      <groupName>格式问题</groupName>
      <ability>L2_HalfPunc</ability>
      <abilityName>全半角检查</abilityName>
      <candidateList>
        <item>，</item>
      </candidateList>
      <explain>文本全半角错误。</explain>
      <paraID> 2F7222C</paraID>
      <start>103</start>
      <end>104</end>
      <status>modified</status>
      <modifiedWord>，</modifiedWord>
      <trackRevisions>false</trackRevisions>
    </reviewItem>
    <reviewItem>
      <errorID>5fa9df66-4c55-446c-9f5f-bd69027b7a7d</errorID>
      <errorWord>【2015】10号</errorWord>
      <group>L1_Knowledge</group>
      <groupName>知识性问题</groupName>
      <ability>L2_Knowledge</ability>
      <abilityName>其他知识</abilityName>
      <candidateList>
        <item>〔2015〕10号</item>
      </candidateList>
      <explain>发文字号格式错误。</explain>
      <paraID>6943FC3D</paraID>
      <start>24</start>
      <end>33</end>
      <status>ignored</status>
      <modifiedWord/>
      <trackRevisions>false</trackRevisions>
    </reviewItem>
    <reviewItem>
      <errorID>497dfa47-ec34-4aa4-a323-97f4704a441b</errorID>
      <errorWord>【2017】11号</errorWord>
      <group>L1_Knowledge</group>
      <groupName>知识性问题</groupName>
      <ability>L2_Knowledge</ability>
      <abilityName>其他知识</abilityName>
      <candidateList>
        <item>〔2017〕11号</item>
      </candidateList>
      <explain>发文字号格式错误。</explain>
      <paraID>406FBB69</paraID>
      <start>22</start>
      <end>31</end>
      <status>ignored</status>
      <modifiedWord/>
      <trackRevisions>false</trackRevisions>
    </reviewItem>
    <reviewItem>
      <errorID>a3d7d1d6-6277-44c6-8f0a-7d45280edc6b</errorID>
      <errorWord>【2023】57号</errorWord>
      <group>L1_Knowledge</group>
      <groupName>知识性问题</groupName>
      <ability>L2_Knowledge</ability>
      <abilityName>其他知识</abilityName>
      <candidateList>
        <item>〔2023〕57号</item>
      </candidateList>
      <explain>发文字号格式错误。</explain>
      <paraID>563637AF</paraID>
      <start>30</start>
      <end>39</end>
      <status>ignored</status>
      <modifiedWord/>
      <trackRevisions>false</trackRevisions>
    </reviewItem>
    <reviewItem>
      <errorID>a8fddbea-fe97-45ba-8934-ee9735a925f2</errorID>
      <errorWord>(</errorWord>
      <group>L1_Format</group>
      <groupName>格式问题</groupName>
      <ability>L2_HalfPunc</ability>
      <abilityName>全半角检查</abilityName>
      <candidateList>
        <item>（</item>
      </candidateList>
      <explain>文本全半角错误。</explain>
      <paraID>5BD41BB0</paraID>
      <start>32</start>
      <end>33</end>
      <status>modified</status>
      <modifiedWord>（</modifiedWord>
      <trackRevisions>false</trackRevisions>
    </reviewItem>
    <reviewItem>
      <errorID>d794fdcc-3702-4025-b9d9-e44bcc60ebd6</errorID>
      <errorWord>)</errorWord>
      <group>L1_Format</group>
      <groupName>格式问题</groupName>
      <ability>L2_HalfPunc</ability>
      <abilityName>全半角检查</abilityName>
      <candidateList>
        <item>）</item>
      </candidateList>
      <explain>文本全半角错误。</explain>
      <paraID>5BD41BB0</paraID>
      <start>36</start>
      <end>37</end>
      <status>modified</status>
      <modifiedWord>）</modifiedWord>
      <trackRevisions>false</trackRevisions>
    </reviewItem>
    <reviewItem>
      <errorID>3cb4033b-b843-4f40-81a6-d89b841e6de4</errorID>
      <errorWord>(</errorWord>
      <group>L1_Format</group>
      <groupName>格式问题</groupName>
      <ability>L2_HalfPunc</ability>
      <abilityName>全半角检查</abilityName>
      <candidateList>
        <item>（</item>
      </candidateList>
      <explain>文本全半角错误。</explain>
      <paraID>78B1E69D</paraID>
      <start>44</start>
      <end>45</end>
      <status>modified</status>
      <modifiedWord>（</modifiedWord>
      <trackRevisions>false</trackRevisions>
    </reviewItem>
    <reviewItem>
      <errorID>dfaf043b-c909-4cfb-b7c8-6eda04e22b93</errorID>
      <errorWord>)</errorWord>
      <group>L1_Format</group>
      <groupName>格式问题</groupName>
      <ability>L2_HalfPunc</ability>
      <abilityName>全半角检查</abilityName>
      <candidateList>
        <item>）</item>
      </candidateList>
      <explain>文本全半角错误。</explain>
      <paraID>78B1E69D</paraID>
      <start>48</start>
      <end>49</end>
      <status>modified</status>
      <modifiedWord>）</modifiedWord>
      <trackRevisions>false</trackRevisions>
    </reviewItem>
    <reviewItem>
      <errorID>bca2ae05-1be0-45b4-add3-ce02041649e7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D3002A5</paraID>
      <start>0</start>
      <end>2</end>
      <status>modified</status>
      <modifiedWord>2.</modifiedWord>
      <trackRevisions>false</trackRevisions>
    </reviewItem>
    <reviewItem>
      <errorID>c4eaee16-7253-4990-87bc-3fe35d283f7e</errorID>
      <errorWord>(</errorWord>
      <group>L1_Format</group>
      <groupName>格式问题</groupName>
      <ability>L2_HalfPunc</ability>
      <abilityName>全半角检查</abilityName>
      <candidateList>
        <item>（</item>
      </candidateList>
      <explain>文本全半角错误。</explain>
      <paraID>5E1F296A</paraID>
      <start>49</start>
      <end>50</end>
      <status>modified</status>
      <modifiedWord>（</modifiedWord>
      <trackRevisions>false</trackRevisions>
    </reviewItem>
    <reviewItem>
      <errorID>4cd6b46a-dcf6-4d43-9d28-8ada5347abbb</errorID>
      <errorWord>)</errorWord>
      <group>L1_Format</group>
      <groupName>格式问题</groupName>
      <ability>L2_HalfPunc</ability>
      <abilityName>全半角检查</abilityName>
      <candidateList>
        <item>）</item>
      </candidateList>
      <explain>文本全半角错误。</explain>
      <paraID>5E1F296A</paraID>
      <start>53</start>
      <end>54</end>
      <status>modified</status>
      <modifiedWord>）</modifiedWord>
      <trackRevisions>false</trackRevisions>
    </reviewItem>
    <reviewItem>
      <errorID>46cae78b-74e1-436e-a258-220458af87c1</errorID>
      <errorWord>(</errorWord>
      <group>L1_Format</group>
      <groupName>格式问题</groupName>
      <ability>L2_HalfPunc</ability>
      <abilityName>全半角检查</abilityName>
      <candidateList>
        <item>（</item>
      </candidateList>
      <explain>文本全半角错误。</explain>
      <paraID>1D5649E6</paraID>
      <start>2</start>
      <end>3</end>
      <status>modified</status>
      <modifiedWord>（</modifiedWord>
      <trackRevisions>false</trackRevisions>
    </reviewItem>
    <reviewItem>
      <errorID>b797d9ef-ea3b-423f-8db5-7b33fd4512fa</errorID>
      <errorWord>)</errorWord>
      <group>L1_Format</group>
      <groupName>格式问题</groupName>
      <ability>L2_HalfPunc</ability>
      <abilityName>全半角检查</abilityName>
      <candidateList>
        <item>）</item>
      </candidateList>
      <explain>文本全半角错误。</explain>
      <paraID>1D5649E6</paraID>
      <start>4</start>
      <end>5</end>
      <status>modified</status>
      <modifiedWord>）</modifiedWord>
      <trackRevisions>false</trackRevisions>
    </reviewItem>
    <reviewItem>
      <errorID>2bcb7162-00ed-4720-9463-7d65e3d20a7e</errorID>
      <errorWord>(</errorWord>
      <group>L1_Format</group>
      <groupName>格式问题</groupName>
      <ability>L2_HalfPunc</ability>
      <abilityName>全半角检查</abilityName>
      <candidateList>
        <item>（</item>
      </candidateList>
      <explain>文本全半角错误。</explain>
      <paraID>536C6A08</paraID>
      <start>2</start>
      <end>3</end>
      <status>modified</status>
      <modifiedWord>（</modifiedWord>
      <trackRevisions>false</trackRevisions>
    </reviewItem>
    <reviewItem>
      <errorID>ceaca6dd-4a28-4e66-8d63-086f77c7d508</errorID>
      <errorWord>)</errorWord>
      <group>L1_Format</group>
      <groupName>格式问题</groupName>
      <ability>L2_HalfPunc</ability>
      <abilityName>全半角检查</abilityName>
      <candidateList>
        <item>）</item>
      </candidateList>
      <explain>文本全半角错误。</explain>
      <paraID>536C6A08</paraID>
      <start>4</start>
      <end>5</end>
      <status>modified</status>
      <modifiedWord>）</modifiedWord>
      <trackRevisions>false</trackRevisions>
    </reviewItem>
    <reviewItem>
      <errorID>640fadb9-3c5b-4a0a-92e4-10c3bab78a35</errorID>
      <errorWord>(</errorWord>
      <group>L1_Format</group>
      <groupName>格式问题</groupName>
      <ability>L2_HalfPunc</ability>
      <abilityName>全半角检查</abilityName>
      <candidateList>
        <item>（</item>
      </candidateList>
      <explain>文本全半角错误。</explain>
      <paraID>45E1C1E6</paraID>
      <start>2</start>
      <end>3</end>
      <status>modified</status>
      <modifiedWord>（</modifiedWord>
      <trackRevisions>false</trackRevisions>
    </reviewItem>
    <reviewItem>
      <errorID>39ba2964-aa96-493d-8123-f35ed2681ba7</errorID>
      <errorWord>)</errorWord>
      <group>L1_Format</group>
      <groupName>格式问题</groupName>
      <ability>L2_HalfPunc</ability>
      <abilityName>全半角检查</abilityName>
      <candidateList>
        <item>）</item>
      </candidateList>
      <explain>文本全半角错误。</explain>
      <paraID>45E1C1E6</paraID>
      <start>4</start>
      <end>5</end>
      <status>modified</status>
      <modifiedWord>）</modifiedWord>
      <trackRevisions>false</trackRevisions>
    </reviewItem>
    <reviewItem>
      <errorID>26e5bbb3-bf7a-42b2-9db1-460d2b254daf</errorID>
      <errorWord>(</errorWord>
      <group>L1_Format</group>
      <groupName>格式问题</groupName>
      <ability>L2_HalfPunc</ability>
      <abilityName>全半角检查</abilityName>
      <candidateList>
        <item>（</item>
      </candidateList>
      <explain>文本全半角错误。</explain>
      <paraID>5354BA86</paraID>
      <start>2</start>
      <end>3</end>
      <status>modified</status>
      <modifiedWord>（</modifiedWord>
      <trackRevisions>false</trackRevisions>
    </reviewItem>
    <reviewItem>
      <errorID>43b865fe-ba81-42f7-8ea0-aee2ef0ef5e6</errorID>
      <errorWord>)</errorWord>
      <group>L1_Format</group>
      <groupName>格式问题</groupName>
      <ability>L2_HalfPunc</ability>
      <abilityName>全半角检查</abilityName>
      <candidateList>
        <item>）</item>
      </candidateList>
      <explain>文本全半角错误。</explain>
      <paraID>5354BA86</paraID>
      <start>4</start>
      <end>5</end>
      <status>modified</status>
      <modifiedWord>）</modifiedWord>
      <trackRevisions>false</trackRevisions>
    </reviewItem>
    <reviewItem>
      <errorID>7a8cf744-edb8-41dc-b4aa-a30c5fdcabeb</errorID>
      <errorWord>(</errorWord>
      <group>L1_Format</group>
      <groupName>格式问题</groupName>
      <ability>L2_HalfPunc</ability>
      <abilityName>全半角检查</abilityName>
      <candidateList>
        <item>（</item>
      </candidateList>
      <explain>文本全半角错误。</explain>
      <paraID> 2F37EA1</paraID>
      <start>269</start>
      <end>270</end>
      <status>modified</status>
      <modifiedWord>（</modifiedWord>
      <trackRevisions>false</trackRevisions>
    </reviewItem>
    <reviewItem>
      <errorID>e27b72d3-92e2-4093-b8aa-c1207073455b</errorID>
      <errorWord>)</errorWord>
      <group>L1_Format</group>
      <groupName>格式问题</groupName>
      <ability>L2_HalfPunc</ability>
      <abilityName>全半角检查</abilityName>
      <candidateList>
        <item>）</item>
      </candidateList>
      <explain>文本全半角错误。</explain>
      <paraID> 2F37EA1</paraID>
      <start>282</start>
      <end>283</end>
      <status>modified</status>
      <modifiedWord>）</modifiedWord>
      <trackRevisions>false</trackRevisions>
    </reviewItem>
    <reviewItem>
      <errorID>75719db7-c383-45cb-af62-8c55337277e0</errorID>
      <errorWord>(</errorWord>
      <group>L1_Format</group>
      <groupName>格式问题</groupName>
      <ability>L2_HalfPunc</ability>
      <abilityName>全半角检查</abilityName>
      <candidateList>
        <item>（</item>
      </candidateList>
      <explain>文本全半角错误。</explain>
      <paraID>789215AE</paraID>
      <start>40</start>
      <end>41</end>
      <status>modified</status>
      <modifiedWord>（</modifiedWord>
      <trackRevisions>false</trackRevisions>
    </reviewItem>
    <reviewItem>
      <errorID>7202cee9-45cb-4c34-ae06-3d6bfc32c8a2</errorID>
      <errorWord>)</errorWord>
      <group>L1_Format</group>
      <groupName>格式问题</groupName>
      <ability>L2_HalfPunc</ability>
      <abilityName>全半角检查</abilityName>
      <candidateList>
        <item>）</item>
      </candidateList>
      <explain>文本全半角错误。</explain>
      <paraID>789215AE</paraID>
      <start>53</start>
      <end>54</end>
      <status>modified</status>
      <modifiedWord>）</modifiedWord>
      <trackRevisions>false</trackRevisions>
    </reviewItem>
    <reviewItem>
      <errorID>b7d18567-a71b-484a-8427-f0ff6d26cb08</errorID>
      <errorWord>)</errorWord>
      <group>L1_Format</group>
      <groupName>格式问题</groupName>
      <ability>L2_HalfPunc</ability>
      <abilityName>全半角检查</abilityName>
      <candidateList>
        <item>）</item>
      </candidateList>
      <explain>文本全半角错误。</explain>
      <paraID>75A94A28</paraID>
      <start>11</start>
      <end>12</end>
      <status>modified</status>
      <modifiedWord>）</modifiedWord>
      <trackRevisions>false</trackRevisions>
    </reviewItem>
    <reviewItem>
      <errorID>5b90355a-4b3b-485b-af37-fdca8d2ec2d5</errorID>
      <errorWord>)</errorWord>
      <group>L1_Format</group>
      <groupName>格式问题</groupName>
      <ability>L2_HalfPunc</ability>
      <abilityName>全半角检查</abilityName>
      <candidateList>
        <item>）</item>
      </candidateList>
      <explain>文本全半角错误。</explain>
      <paraID>56D7DE93</paraID>
      <start>11</start>
      <end>12</end>
      <status>modified</status>
      <modifiedWord>）</modifiedWord>
      <trackRevisions>false</trackRevisions>
    </reviewItem>
    <reviewItem>
      <errorID>90fe181f-56cf-49d1-b8d1-795c780f5360</errorID>
      <errorWord>)</errorWord>
      <group>L1_Format</group>
      <groupName>格式问题</groupName>
      <ability>L2_HalfPunc</ability>
      <abilityName>全半角检查</abilityName>
      <candidateList>
        <item>）</item>
      </candidateList>
      <explain>文本全半角错误。</explain>
      <paraID>213B031C</paraID>
      <start>11</start>
      <end>12</end>
      <status>modified</status>
      <modifiedWord>）</modifiedWord>
      <trackRevisions>false</trackRevisions>
    </reviewItem>
    <reviewItem>
      <errorID>c59eb3eb-0442-43c0-b62c-d984a42d3575</errorID>
      <errorWord>)</errorWord>
      <group>L1_Format</group>
      <groupName>格式问题</groupName>
      <ability>L2_HalfPunc</ability>
      <abilityName>全半角检查</abilityName>
      <candidateList>
        <item>）</item>
      </candidateList>
      <explain>文本全半角错误。</explain>
      <paraID>24DCF194</paraID>
      <start>6</start>
      <end>7</end>
      <status>modified</status>
      <modifiedWord>）</modifiedWord>
      <trackRevisions>false</trackRevisions>
    </reviewItem>
    <reviewItem>
      <errorID>1380e51f-8e58-40aa-b1ba-72b5889a0951</errorID>
      <errorWord>(</errorWord>
      <group>L1_Format</group>
      <groupName>格式问题</groupName>
      <ability>L2_HalfPunc</ability>
      <abilityName>全半角检查</abilityName>
      <candidateList>
        <item>（</item>
      </candidateList>
      <explain>文本全半角错误。</explain>
      <paraID> 641B89A</paraID>
      <start>141</start>
      <end>142</end>
      <status>modified</status>
      <modifiedWord>（</modifiedWord>
      <trackRevisions>false</trackRevisions>
    </reviewItem>
    <reviewItem>
      <errorID>7797676a-566e-4f43-9618-5d315ebce1fe</errorID>
      <errorWord>)</errorWord>
      <group>L1_Format</group>
      <groupName>格式问题</groupName>
      <ability>L2_HalfPunc</ability>
      <abilityName>全半角检查</abilityName>
      <candidateList>
        <item>）</item>
      </candidateList>
      <explain>文本全半角错误。</explain>
      <paraID> 641B89A</paraID>
      <start>164</start>
      <end>165</end>
      <status>modified</status>
      <modifiedWord>）</modifiedWord>
      <trackRevisions>false</trackRevisions>
    </reviewItem>
    <reviewItem>
      <errorID>51b65da0-7715-4c97-b17e-5f797a02006f</errorID>
      <errorWord>(</errorWord>
      <group>L1_Format</group>
      <groupName>格式问题</groupName>
      <ability>L2_HalfPunc</ability>
      <abilityName>全半角检查</abilityName>
      <candidateList>
        <item>（</item>
      </candidateList>
      <explain>文本全半角错误。</explain>
      <paraID>5E572EA0</paraID>
      <start>11</start>
      <end>12</end>
      <status>modified</status>
      <modifiedWord>（</modifiedWord>
      <trackRevisions>false</trackRevisions>
    </reviewItem>
    <reviewItem>
      <errorID>8e665027-3816-470a-ba06-ba83827fa299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479325B5</paraID>
      <start>0</start>
      <end>2</end>
      <status>modified</status>
      <modifiedWord>3.</modifiedWord>
      <trackRevisions>false</trackRevisions>
    </reviewItem>
    <reviewItem>
      <errorID>45f4ca8d-f5b6-4a95-951c-f73db0792544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74800854</paraID>
      <start>0</start>
      <end>2</end>
      <status>modified</status>
      <modifiedWord>1.</modifiedWord>
      <trackRevisions>false</trackRevisions>
    </reviewItem>
    <reviewItem>
      <errorID>385ec3d6-da87-4c39-a5d0-b12e97cc8556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14781662</paraID>
      <start>0</start>
      <end>2</end>
      <status>modified</status>
      <modifiedWord>2.</modifiedWord>
      <trackRevisions>false</trackRevisions>
    </reviewItem>
    <reviewItem>
      <errorID>86ab58e1-078f-46e3-acd9-8b7d453d6665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36BE7408</paraID>
      <start>0</start>
      <end>2</end>
      <status>modified</status>
      <modifiedWord>2.</modifiedWord>
      <trackRevisions>false</trackRevisions>
    </reviewItem>
    <reviewItem>
      <errorID>b81e8971-f5ee-4b36-93c8-1ff445b108cd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4B1CBC3B</paraID>
      <start>0</start>
      <end>2</end>
      <status>modified</status>
      <modifiedWord>3.</modifiedWord>
      <trackRevisions>false</trackRevisions>
    </reviewItem>
    <reviewItem>
      <errorID>b718dc59-4aa7-4458-8ccf-05282004b24b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67CA1C7C</paraID>
      <start>0</start>
      <end>2</end>
      <status>modified</status>
      <modifiedWord>4.</modifiedWord>
      <trackRevisions>false</trackRevisions>
    </reviewItem>
    <reviewItem>
      <errorID>964aa36e-03e6-4037-a1a5-f25345411f5f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181BC413</paraID>
      <start>0</start>
      <end>2</end>
      <status>modified</status>
      <modifiedWord>5.</modifiedWord>
      <trackRevisions>false</trackRevisions>
    </reviewItem>
    <reviewItem>
      <errorID>d39bc9d2-2a84-47e0-9364-c83a37275090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2800216B</paraID>
      <start>0</start>
      <end>2</end>
      <status>modified</status>
      <modifiedWord>6.</modifiedWord>
      <trackRevisions>false</trackRevisions>
    </reviewItem>
    <reviewItem>
      <errorID>ee68df18-0d4c-444a-aeb1-4379dc079ff6</errorID>
      <errorWord>(</errorWord>
      <group>L1_Format</group>
      <groupName>格式问题</groupName>
      <ability>L2_HalfPunc</ability>
      <abilityName>全半角检查</abilityName>
      <candidateList>
        <item>（</item>
      </candidateList>
      <explain>文本全半角错误。</explain>
      <paraID>77BCDBDC</paraID>
      <start>22</start>
      <end>23</end>
      <status>modified</status>
      <modifiedWord>（</modifiedWord>
      <trackRevisions>false</trackRevisions>
    </reviewItem>
    <reviewItem>
      <errorID>f72ae8b2-7808-4ffc-adc1-b82a55c854df</errorID>
      <errorWord>)</errorWord>
      <group>L1_Format</group>
      <groupName>格式问题</groupName>
      <ability>L2_HalfPunc</ability>
      <abilityName>全半角检查</abilityName>
      <candidateList>
        <item>）</item>
      </candidateList>
      <explain>文本全半角错误。</explain>
      <paraID>77BCDBDC</paraID>
      <start>28</start>
      <end>29</end>
      <status>modified</status>
      <modifiedWord>）</modifiedWord>
      <trackRevisions>false</trackRevisions>
    </reviewItem>
    <reviewItem>
      <errorID>da4ed530-1b0f-469b-a839-ba705559ce56</errorID>
      <errorWord>(</errorWord>
      <group>L1_Format</group>
      <groupName>格式问题</groupName>
      <ability>L2_HalfPunc</ability>
      <abilityName>全半角检查</abilityName>
      <candidateList>
        <item>（</item>
      </candidateList>
      <explain>文本全半角错误。</explain>
      <paraID>77BCDBDC</paraID>
      <start>31</start>
      <end>32</end>
      <status>modified</status>
      <modifiedWord>（</modifiedWord>
      <trackRevisions>false</trackRevisions>
    </reviewItem>
    <reviewItem>
      <errorID>fd235856-ddc1-4784-b6ff-68a476553bf6</errorID>
      <errorWord>)</errorWord>
      <group>L1_Format</group>
      <groupName>格式问题</groupName>
      <ability>L2_HalfPunc</ability>
      <abilityName>全半角检查</abilityName>
      <candidateList>
        <item>）</item>
      </candidateList>
      <explain>文本全半角错误。</explain>
      <paraID>77BCDBDC</paraID>
      <start>34</start>
      <end>35</end>
      <status>modified</status>
      <modifiedWord>）</modifiedWord>
      <trackRevisions>false</trackRevisions>
    </reviewItem>
    <reviewItem>
      <errorID>91197c81-117f-4685-b072-12ac2d5a9271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4BD69579</paraID>
      <start>0</start>
      <end>2</end>
      <status>modified</status>
      <modifiedWord>1.</modifiedWord>
      <trackRevisions>false</trackRevisions>
    </reviewItem>
    <reviewItem>
      <errorID>e569344d-aaf2-4d74-bf13-ec3045d4c0d2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339D218D</paraID>
      <start>0</start>
      <end>2</end>
      <status>modified</status>
      <modifiedWord>2.</modifiedWord>
      <trackRevisions>false</trackRevisions>
    </reviewItem>
    <reviewItem>
      <errorID>c821ed81-6113-4023-8201-e191486ce07b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1C7047D8</paraID>
      <start>0</start>
      <end>2</end>
      <status>modified</status>
      <modifiedWord>3.</modifiedWord>
      <trackRevisions>false</trackRevisions>
    </reviewItem>
    <reviewItem>
      <errorID>bc20138e-24e9-44bc-b59b-ad41a226e7a0</errorID>
      <errorWord>引用水</errorWord>
      <group>L1_Word</group>
      <groupName>字词问题</groupName>
      <ability>L2_Typo</ability>
      <abilityName>字词错误</abilityName>
      <candidateList>
        <item>饮用水</item>
      </candidateList>
      <explain>〈名〉喝的和做饭用的水。</explain>
      <paraID>3BD0A931</paraID>
      <start>17</start>
      <end>20</end>
      <status>modified</status>
      <modifiedWord>饮用水</modifiedWord>
      <trackRevisions>false</trackRevisions>
    </reviewItem>
    <reviewItem>
      <errorID>1248bb95-2851-4152-bc8b-2030c24d7ff5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4D04BA6B</paraID>
      <start>0</start>
      <end>2</end>
      <status>modified</status>
      <modifiedWord>4.</modifiedWord>
      <trackRevisions>false</trackRevisions>
    </reviewItem>
    <reviewItem>
      <errorID>35df1246-2fb5-4bbd-a95e-07e2d7ace081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3317933B</paraID>
      <start>0</start>
      <end>2</end>
      <status>modified</status>
      <modifiedWord>1.</modifiedWord>
      <trackRevisions>false</trackRevisions>
    </reviewItem>
    <reviewItem>
      <errorID>2a0f479f-fe46-419c-a841-75a6a5bdd6bf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E1A3145</paraID>
      <start>0</start>
      <end>2</end>
      <status>modified</status>
      <modifiedWord>2.</modifiedWord>
      <trackRevisions>false</trackRevisions>
    </reviewItem>
    <reviewItem>
      <errorID>6cdfd25c-6d12-4193-9f4e-626be281db06</errorID>
      <errorWord>融熔</errorWord>
      <group>L1_Word</group>
      <groupName>字词问题</groupName>
      <ability>L2_Typo</ability>
      <abilityName>字词错误</abilityName>
      <candidateList>
        <item>熔融</item>
      </candidateList>
      <explain/>
      <paraID>7A73D98D</paraID>
      <start>32</start>
      <end>34</end>
      <status>modified</status>
      <modifiedWord>熔融</modifiedWord>
      <trackRevisions>false</trackRevisions>
    </reviewItem>
    <reviewItem>
      <errorID>869260d1-6896-4f91-8bac-26a1f5fbc481</errorID>
      <errorWord>融熔</errorWord>
      <group>L1_Word</group>
      <groupName>字词问题</groupName>
      <ability>L2_Typo</ability>
      <abilityName>字词错误</abilityName>
      <candidateList>
        <item>熔融</item>
      </candidateList>
      <explain/>
      <paraID> 3C50B46</paraID>
      <start>0</start>
      <end>2</end>
      <status>modified</status>
      <modifiedWord>熔融</modifiedWord>
      <trackRevisions>false</trackRevisions>
    </reviewItem>
    <reviewItem>
      <errorID>edb27fe0-5686-41a2-8f42-9a08aa6d9efc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73125E64</paraID>
      <start>0</start>
      <end>2</end>
      <status>modified</status>
      <modifiedWord>3.</modifiedWord>
      <trackRevisions>false</trackRevisions>
    </reviewItem>
    <reviewItem>
      <errorID>0cc88749-0a3d-40e1-9a84-401e47f9b735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4A9081F9</paraID>
      <start>0</start>
      <end>2</end>
      <status>modified</status>
      <modifiedWord>4.</modifiedWord>
      <trackRevisions>false</trackRevisions>
    </reviewItem>
    <reviewItem>
      <errorID>a0576b68-0271-4722-870a-487acd5f1590</errorID>
      <errorWord>（</errorWord>
      <group>L1_Punc</group>
      <groupName>标点问题</groupName>
      <ability>L2_Punc</ability>
      <abilityName>标点符号检查</abilityName>
      <candidateList/>
      <explain>同一形式括号套用。</explain>
      <paraID>3C9F0458</paraID>
      <start>61</start>
      <end>62</end>
      <status>ignored</status>
      <modifiedWord/>
      <trackRevisions>false</trackRevisions>
    </reviewItem>
    <reviewItem>
      <errorID>94c27b57-e239-44e9-84f0-69e5b0ccebf4</errorID>
      <errorWord>）</errorWord>
      <group>L1_Punc</group>
      <groupName>标点问题</groupName>
      <ability>L2_Punc</ability>
      <abilityName>标点符号检查</abilityName>
      <candidateList/>
      <explain>同一形式括号套用。</explain>
      <paraID>3C9F0458</paraID>
      <start>74</start>
      <end>75</end>
      <status>ignored</status>
      <modifiedWord/>
      <trackRevisions>false</trackRevisions>
    </reviewItem>
    <reviewItem>
      <errorID>f8d72da5-ad17-4a9b-a739-db96524a13cb</errorID>
      <errorWord>、</errorWord>
      <group>L1_Word</group>
      <groupName>字词问题</groupName>
      <ability>L2_Typo</ability>
      <abilityName>字词错误</abilityName>
      <candidateList>
        <item>、以</item>
      </candidateList>
      <explain/>
      <paraID> 848ADB6</paraID>
      <start>16</start>
      <end>18</end>
      <status>modified</status>
      <modifiedWord>、以</modifiedWord>
      <trackRevisions>false</trackRevisions>
    </reviewItem>
    <reviewItem>
      <errorID>d57ed28c-a4da-49f0-993c-a7c025462e0b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6BF23B44</paraID>
      <start>0</start>
      <end>2</end>
      <status>modified</status>
      <modifiedWord>1.</modifiedWord>
      <trackRevisions>false</trackRevisions>
    </reviewItem>
    <reviewItem>
      <errorID>a581bca2-f33c-4a45-b7b8-6c9df4f99112</errorID>
      <errorWord>围档</errorWord>
      <group>L1_Word</group>
      <groupName>字词问题</groupName>
      <ability>L2_Typo</ability>
      <abilityName>字词错误</abilityName>
      <candidateList>
        <item>围挡</item>
      </candidateList>
      <explain>存在发音相同字词的误用。</explain>
      <paraID>  FC9FD8</paraID>
      <start>102</start>
      <end>104</end>
      <status>modified</status>
      <modifiedWord>围挡</modifiedWord>
      <trackRevisions>false</trackRevisions>
    </reviewItem>
    <reviewItem>
      <errorID>d168272a-50a8-4a25-a17e-cb3cb4923926</errorID>
      <errorWord>超过3个月以上</errorWord>
      <group>L1_Grammar</group>
      <groupName>语法问题</groupName>
      <ability>L2_Grammar</ability>
      <abilityName>语法错误</abilityName>
      <candidateList>
        <item>超过3个月</item>
      </candidateList>
      <explain/>
      <paraID>63AE511F</paraID>
      <start>60</start>
      <end>65</end>
      <status>modified</status>
      <modifiedWord>超过3个月</modifiedWord>
      <trackRevisions>false</trackRevisions>
    </reviewItem>
    <reviewItem>
      <errorID>3bc16576-1a7d-40fe-a9d3-76017f79d2a9</errorID>
      <errorWord>抛洒</errorWord>
      <group>L1_Word</group>
      <groupName>字词问题</groupName>
      <ability>L2_Typo</ability>
      <abilityName>字词错误</abilityName>
      <candidateList>
        <item>抛撒</item>
      </candidateList>
      <explain/>
      <paraID> 54F62B3</paraID>
      <start>40</start>
      <end>42</end>
      <status>modified</status>
      <modifiedWord>抛撒</modifiedWord>
      <trackRevisions>false</trackRevisions>
    </reviewItem>
    <reviewItem>
      <errorID>74264da9-7eea-4ca1-b37e-25c9bf01d138</errorID>
      <errorWord>胶粘剂</errorWord>
      <group>L1_Word</group>
      <groupName>字词问题</groupName>
      <ability>L2_Typo</ability>
      <abilityName>字词错误</abilityName>
      <candidateList>
        <item>胶黏剂</item>
      </candidateList>
      <explain/>
      <paraID> DD21AFD</paraID>
      <start>50</start>
      <end>53</end>
      <status>modified</status>
      <modifiedWord>胶黏剂</modifiedWord>
      <trackRevisions>false</trackRevisions>
    </reviewItem>
    <reviewItem>
      <errorID>f4ea0981-234e-46c8-b02f-cf68a166e96a</errorID>
      <errorWord>阶段约</errorWord>
      <group>L1_Word</group>
      <groupName>字词问题</groupName>
      <ability>L2_Typo</ability>
      <abilityName>字词错误</abilityName>
      <candidateList>
        <item>阶段</item>
      </candidateList>
      <explain/>
      <paraID>409C1DC1</paraID>
      <start>12</start>
      <end>14</end>
      <status>modified</status>
      <modifiedWord>阶段</modifiedWord>
      <trackRevisions>false</trackRevisions>
    </reviewItem>
    <reviewItem>
      <errorID>cb07373d-77a8-43a9-8fd1-725273f3536f</errorID>
      <errorWord>二个</errorWord>
      <group>L1_Word</group>
      <groupName>字词问题</groupName>
      <ability>L2_Typo</ability>
      <abilityName>字词错误</abilityName>
      <candidateList>
        <item>两个</item>
      </candidateList>
      <explain/>
      <paraID>409C1DC1</paraID>
      <start>91</start>
      <end>93</end>
      <status>modified</status>
      <modifiedWord>两个</modifiedWord>
      <trackRevisions>false</trackRevisions>
    </reviewItem>
    <reviewItem>
      <errorID>338382db-4213-42dd-96c1-298037de735a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50D34F26</paraID>
      <start>0</start>
      <end>2</end>
      <status>modified</status>
      <modifiedWord>2.</modifiedWord>
      <trackRevisions>false</trackRevisions>
    </reviewItem>
    <reviewItem>
      <errorID>45ce2977-2c26-4385-95b3-ee8965efd288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5D847461</paraID>
      <start>0</start>
      <end>2</end>
      <status>modified</status>
      <modifiedWord>3.</modifiedWord>
      <trackRevisions>false</trackRevisions>
    </reviewItem>
    <reviewItem>
      <errorID>5fbe794e-59c4-4b19-8107-ed302373d2a6</errorID>
      <errorWord>)</errorWord>
      <group>L1_Format</group>
      <groupName>格式问题</groupName>
      <ability>L2_HalfPunc</ability>
      <abilityName>全半角检查</abilityName>
      <candidateList>
        <item>）</item>
      </candidateList>
      <explain>文本全半角错误。</explain>
      <paraID>7EF7CD0E</paraID>
      <start>211</start>
      <end>212</end>
      <status>modified</status>
      <modifiedWord>）</modifiedWord>
      <trackRevisions>false</trackRevisions>
    </reviewItem>
    <reviewItem>
      <errorID>68c7ee3b-ad23-4298-bd0f-c07a0198c72b</errorID>
      <errorWord>(</errorWord>
      <group>L1_Format</group>
      <groupName>格式问题</groupName>
      <ability>L2_HalfPunc</ability>
      <abilityName>全半角检查</abilityName>
      <candidateList>
        <item>（</item>
      </candidateList>
      <explain>文本全半角错误。</explain>
      <paraID>3183E4F1</paraID>
      <start>21</start>
      <end>22</end>
      <status>modified</status>
      <modifiedWord>（</modifiedWord>
      <trackRevisions>false</trackRevisions>
    </reviewItem>
    <reviewItem>
      <errorID>45302b01-286d-489a-b439-3ec931d01e19</errorID>
      <errorWord>：</errorWord>
      <group>L1_Format</group>
      <groupName>格式问题</groupName>
      <ability>L2_HalfPunc</ability>
      <abilityName>全半角检查</abilityName>
      <candidateList>
        <item>:</item>
      </candidateList>
      <explain>文本全半角错误。</explain>
      <paraID>3183E4F1</paraID>
      <start>24</start>
      <end>25</end>
      <status>modified</status>
      <modifiedWord>:</modifiedWord>
      <trackRevisions>false</trackRevisions>
    </reviewItem>
    <reviewItem>
      <errorID>0638ad18-ac49-436b-b2b5-1b5b0d7c11f0</errorID>
      <errorWord>：</errorWord>
      <group>L1_Format</group>
      <groupName>格式问题</groupName>
      <ability>L2_HalfPunc</ability>
      <abilityName>全半角检查</abilityName>
      <candidateList>
        <item>:</item>
      </candidateList>
      <explain>文本全半角错误。</explain>
      <paraID>3183E4F1</paraID>
      <start>29</start>
      <end>30</end>
      <status>modified</status>
      <modifiedWord>:</modifiedWord>
      <trackRevisions>false</trackRevisions>
    </reviewItem>
    <reviewItem>
      <errorID>fe2aceac-e6a9-4897-b9b3-2967e314f4cc</errorID>
      <errorWord>)</errorWord>
      <group>L1_Format</group>
      <groupName>格式问题</groupName>
      <ability>L2_HalfPunc</ability>
      <abilityName>全半角检查</abilityName>
      <candidateList>
        <item>）</item>
      </candidateList>
      <explain>文本全半角错误。</explain>
      <paraID>3183E4F1</paraID>
      <start>32</start>
      <end>33</end>
      <status>modified</status>
      <modifiedWord>）</modifiedWord>
      <trackRevisions>false</trackRevisions>
    </reviewItem>
    <reviewItem>
      <errorID>30a77de7-42ae-483d-9ba2-df31fa6b8617</errorID>
      <errorWord>)</errorWord>
      <group>L1_Format</group>
      <groupName>格式问题</groupName>
      <ability>L2_HalfPunc</ability>
      <abilityName>全半角检查</abilityName>
      <candidateList>
        <item>）</item>
      </candidateList>
      <explain>文本全半角错误。</explain>
      <paraID>3183E4F1</paraID>
      <start>62</start>
      <end>63</end>
      <status>modified</status>
      <modifiedWord>）</modifiedWord>
      <trackRevisions>false</trackRevisions>
    </reviewItem>
    <reviewItem>
      <errorID>92ffab0a-4b2a-4ca9-a1be-da13b9937f43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9D503B9</paraID>
      <start>0</start>
      <end>2</end>
      <status>modified</status>
      <modifiedWord>4.</modifiedWord>
      <trackRevisions>false</trackRevisions>
    </reviewItem>
    <reviewItem>
      <errorID>c7db9965-435b-4792-9523-7f72f4e8afb5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61C5DB32</paraID>
      <start>0</start>
      <end>2</end>
      <status>modified</status>
      <modifiedWord>1.</modifiedWord>
      <trackRevisions>false</trackRevisions>
    </reviewItem>
    <reviewItem>
      <errorID>c6962767-d581-429f-a306-ac017d22608a</errorID>
      <errorWord>融熔</errorWord>
      <group>L1_Word</group>
      <groupName>字词问题</groupName>
      <ability>L2_Typo</ability>
      <abilityName>字词错误</abilityName>
      <candidateList>
        <item>熔融</item>
      </candidateList>
      <explain/>
      <paraID>49F760BC</paraID>
      <start>30</start>
      <end>32</end>
      <status>modified</status>
      <modifiedWord>熔融</modifiedWord>
      <trackRevisions>false</trackRevisions>
    </reviewItem>
    <reviewItem>
      <errorID>fc381e6d-d161-4506-8952-1965030ba47e</errorID>
      <errorWord>-</errorWord>
      <group>L1_Format</group>
      <groupName>格式问题</groupName>
      <ability>L2_HalfPunc</ability>
      <abilityName>全半角检查</abilityName>
      <candidateList>
        <item>－</item>
      </candidateList>
      <explain>文本全半角错误。</explain>
      <paraID>68C4E4CB</paraID>
      <start>71</start>
      <end>72</end>
      <status>modified</status>
      <modifiedWord>－</modifiedWord>
      <trackRevisions>false</trackRevisions>
    </reviewItem>
    <reviewItem>
      <errorID>90d90264-f825-4cb3-9952-bd62c780c189</errorID>
      <errorWord>-</errorWord>
      <group>L1_Format</group>
      <groupName>格式问题</groupName>
      <ability>L2_HalfPunc</ability>
      <abilityName>全半角检查</abilityName>
      <candidateList>
        <item>－</item>
      </candidateList>
      <explain>文本全半角错误。</explain>
      <paraID>68C4E4CB</paraID>
      <start>96</start>
      <end>97</end>
      <status>modified</status>
      <modifiedWord>－</modifiedWord>
      <trackRevisions>false</trackRevisions>
    </reviewItem>
    <reviewItem>
      <errorID>7fa6265e-0fdf-463a-8e66-c1a5d3f1682d</errorID>
      <errorWord>-</errorWord>
      <group>L1_Format</group>
      <groupName>格式问题</groupName>
      <ability>L2_HalfPunc</ability>
      <abilityName>全半角检查</abilityName>
      <candidateList>
        <item>－</item>
      </candidateList>
      <explain>文本全半角错误。</explain>
      <paraID>10895927</paraID>
      <start>77</start>
      <end>78</end>
      <status>modified</status>
      <modifiedWord>－</modifiedWord>
      <trackRevisions>false</trackRevisions>
    </reviewItem>
    <reviewItem>
      <errorID>ece5dfb3-d7d1-48ae-bc65-c2580ff5c474</errorID>
      <errorWord>-</errorWord>
      <group>L1_Format</group>
      <groupName>格式问题</groupName>
      <ability>L2_HalfPunc</ability>
      <abilityName>全半角检查</abilityName>
      <candidateList>
        <item>－</item>
      </candidateList>
      <explain>文本全半角错误。</explain>
      <paraID>10895927</paraID>
      <start>108</start>
      <end>109</end>
      <status>modified</status>
      <modifiedWord>－</modifiedWord>
      <trackRevisions>false</trackRevisions>
    </reviewItem>
    <reviewItem>
      <errorID>2dab3e9e-1451-4776-905a-840b4ae058a5</errorID>
      <errorWord>-</errorWord>
      <group>L1_Format</group>
      <groupName>格式问题</groupName>
      <ability>L2_HalfPunc</ability>
      <abilityName>全半角检查</abilityName>
      <candidateList>
        <item>－</item>
      </candidateList>
      <explain>文本全半角错误。</explain>
      <paraID>72175842</paraID>
      <start>82</start>
      <end>83</end>
      <status>modified</status>
      <modifiedWord>－</modifiedWord>
      <trackRevisions>false</trackRevisions>
    </reviewItem>
    <reviewItem>
      <errorID>64d632e7-90ad-4268-97ad-91bff48eff7d</errorID>
      <errorWord>-</errorWord>
      <group>L1_Format</group>
      <groupName>格式问题</groupName>
      <ability>L2_HalfPunc</ability>
      <abilityName>全半角检查</abilityName>
      <candidateList>
        <item>－</item>
      </candidateList>
      <explain>文本全半角错误。</explain>
      <paraID>72175842</paraID>
      <start>111</start>
      <end>112</end>
      <status>modified</status>
      <modifiedWord>－</modifiedWord>
      <trackRevisions>false</trackRevisions>
    </reviewItem>
    <reviewItem>
      <errorID>f8f57942-16c2-48ba-a57c-592ef543ba5b</errorID>
      <errorWord>融熔</errorWord>
      <group>L1_Word</group>
      <groupName>字词问题</groupName>
      <ability>L2_Typo</ability>
      <abilityName>字词错误</abilityName>
      <candidateList>
        <item>熔融</item>
      </candidateList>
      <explain/>
      <paraID>44EDB7E4</paraID>
      <start>3</start>
      <end>5</end>
      <status>modified</status>
      <modifiedWord>熔融</modifiedWord>
      <trackRevisions>false</trackRevisions>
    </reviewItem>
    <reviewItem>
      <errorID>d83d1515-8fae-4f01-b6ca-da8437f45f07</errorID>
      <errorWord>融熔</errorWord>
      <group>L1_Word</group>
      <groupName>字词问题</groupName>
      <ability>L2_Typo</ability>
      <abilityName>字词错误</abilityName>
      <candidateList>
        <item>熔融</item>
      </candidateList>
      <explain/>
      <paraID>2D737DA7</paraID>
      <start>20</start>
      <end>22</end>
      <status>modified</status>
      <modifiedWord>熔融</modifiedWord>
      <trackRevisions>false</trackRevisions>
    </reviewItem>
    <reviewItem>
      <errorID>06cbf380-b316-424d-a605-db994762b597</errorID>
      <errorWord>(</errorWord>
      <group>L1_Format</group>
      <groupName>格式问题</groupName>
      <ability>L2_HalfPunc</ability>
      <abilityName>全半角检查</abilityName>
      <candidateList>
        <item>（</item>
      </candidateList>
      <explain>文本全半角错误。</explain>
      <paraID>2D737DA7</paraID>
      <start>58</start>
      <end>59</end>
      <status>modified</status>
      <modifiedWord>（</modifiedWord>
      <trackRevisions>false</trackRevisions>
    </reviewItem>
    <reviewItem>
      <errorID>6b4bd2fd-d8ac-4f84-b5a9-e9ec17cff710</errorID>
      <errorWord>)</errorWord>
      <group>L1_Format</group>
      <groupName>格式问题</groupName>
      <ability>L2_HalfPunc</ability>
      <abilityName>全半角检查</abilityName>
      <candidateList>
        <item>）</item>
      </candidateList>
      <explain>文本全半角错误。</explain>
      <paraID>2D737DA7</paraID>
      <start>63</start>
      <end>64</end>
      <status>modified</status>
      <modifiedWord>）</modifiedWord>
      <trackRevisions>false</trackRevisions>
    </reviewItem>
    <reviewItem>
      <errorID>915453df-9cad-404c-8bd8-79c76d4c942b</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2D737DA7</paraID>
      <start>124</start>
      <end>125</end>
      <status>modified</status>
      <modifiedWord>在</modifiedWord>
      <trackRevisions>false</trackRevisions>
    </reviewItem>
    <reviewItem>
      <errorID>6ecefc51-3cb9-45cc-8aa8-05abe00ef55e</errorID>
      <errorWord>胶粘剂</errorWord>
      <group>L1_Word</group>
      <groupName>字词问题</groupName>
      <ability>L2_Typo</ability>
      <abilityName>字词错误</abilityName>
      <candidateList>
        <item>胶黏剂</item>
      </candidateList>
      <explain/>
      <paraID>2D737DA7</paraID>
      <start>225</start>
      <end>228</end>
      <status>modified</status>
      <modifiedWord>胶黏剂</modifiedWord>
      <trackRevisions>false</trackRevisions>
    </reviewItem>
    <reviewItem>
      <errorID>a973ce58-58e8-4f36-a1a5-9f4dff88ff37</errorID>
      <errorWord>融熔</errorWord>
      <group>L1_Word</group>
      <groupName>字词问题</groupName>
      <ability>L2_Typo</ability>
      <abilityName>字词错误</abilityName>
      <candidateList>
        <item>熔融</item>
      </candidateList>
      <explain/>
      <paraID>7C58B417</paraID>
      <start>52</start>
      <end>54</end>
      <status>modified</status>
      <modifiedWord>熔融</modifiedWord>
      <trackRevisions>false</trackRevisions>
    </reviewItem>
    <reviewItem>
      <errorID>fd87a6f1-ab94-48b4-a0ab-389cd44317fd</errorID>
      <errorWord>(</errorWord>
      <group>L1_Format</group>
      <groupName>格式问题</groupName>
      <ability>L2_HalfPunc</ability>
      <abilityName>全半角检查</abilityName>
      <candidateList>
        <item>（</item>
      </candidateList>
      <explain>文本全半角错误。</explain>
      <paraID> 63F529E</paraID>
      <start>68</start>
      <end>69</end>
      <status>modified</status>
      <modifiedWord>（</modifiedWord>
      <trackRevisions>false</trackRevisions>
    </reviewItem>
    <reviewItem>
      <errorID>3848fe21-07a5-42e8-bf93-6852ddf84760</errorID>
      <errorWord>)</errorWord>
      <group>L1_Format</group>
      <groupName>格式问题</groupName>
      <ability>L2_HalfPunc</ability>
      <abilityName>全半角检查</abilityName>
      <candidateList>
        <item>）</item>
      </candidateList>
      <explain>文本全半角错误。</explain>
      <paraID> 63F529E</paraID>
      <start>73</start>
      <end>74</end>
      <status>modified</status>
      <modifiedWord>）</modifiedWord>
      <trackRevisions>false</trackRevisions>
    </reviewItem>
    <reviewItem>
      <errorID>fd534fc1-669e-4dc6-a577-fd8e988665f0</errorID>
      <errorWord>时时</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 63F529E</paraID>
      <start>79</start>
      <end>80</end>
      <status>modified</status>
      <modifiedWord>时</modifiedWord>
      <trackRevisions>false</trackRevisions>
    </reviewItem>
    <reviewItem>
      <errorID>e4026671-cbd7-4d1b-99ed-4a0d808c5063</errorID>
      <errorWord>-</errorWord>
      <group>L1_Format</group>
      <groupName>格式问题</groupName>
      <ability>L2_HalfPunc</ability>
      <abilityName>全半角检查</abilityName>
      <candidateList>
        <item>－</item>
      </candidateList>
      <explain>文本全半角错误。</explain>
      <paraID>2FD2F99D</paraID>
      <start>38</start>
      <end>39</end>
      <status>modified</status>
      <modifiedWord>－</modifiedWord>
      <trackRevisions>false</trackRevisions>
    </reviewItem>
    <reviewItem>
      <errorID>fd814af1-2be8-4149-8cfd-aa7805bf2688</errorID>
      <errorWord>-</errorWord>
      <group>L1_Format</group>
      <groupName>格式问题</groupName>
      <ability>L2_HalfPunc</ability>
      <abilityName>全半角检查</abilityName>
      <candidateList>
        <item>－</item>
      </candidateList>
      <explain>文本全半角错误。</explain>
      <paraID>2FD2F99D</paraID>
      <start>68</start>
      <end>69</end>
      <status>modified</status>
      <modifiedWord>－</modifiedWord>
      <trackRevisions>false</trackRevisions>
    </reviewItem>
    <reviewItem>
      <errorID>c1f42e70-ec0f-42a6-8e6a-759e7d69faa1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3FDF814C</paraID>
      <start>62</start>
      <end>63</end>
      <status>ignored</status>
      <modifiedWord/>
      <trackRevisions>false</trackRevisions>
    </reviewItem>
    <reviewItem>
      <errorID>171ccd51-3301-4f89-b558-fe7a5d0cc852</errorID>
      <errorWord>56%~58%</errorWord>
      <group>L1_Knowledge</group>
      <groupName>知识性问题</groupName>
      <ability>L2_Knowledge</ability>
      <abilityName>其他知识</abilityName>
      <candidateList>
        <item>56%～58%</item>
      </candidateList>
      <explain>1. “56%~58%”中的单位“%”仅出现在后一个数字上，容易引起歧义；根据《现代汉语标点符号数字用法规范手册》，数字表示范围两边需要使用统一的格式。2.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3FDF814C</paraID>
      <start>108</start>
      <end>115</end>
      <status>modified</status>
      <modifiedWord>56%～58%</modifiedWord>
      <trackRevisions>false</trackRevisions>
    </reviewItem>
    <reviewItem>
      <errorID>ca1c24cc-4582-4a41-841a-7ae0071ba389</errorID>
      <errorWord>~</errorWord>
      <group>L1_Format</group>
      <groupName>格式问题</groupName>
      <ability>L2_HalfPunc</ability>
      <abilityName>全半角检查</abilityName>
      <candidateList>
        <item>～</item>
      </candidateList>
      <explain>文本全半角错误。</explain>
      <paraID>3FDF814C</paraID>
      <start>267</start>
      <end>268</end>
      <status>modified</status>
      <modifiedWord>～</modifiedWord>
      <trackRevisions>false</trackRevisions>
    </reviewItem>
    <reviewItem>
      <errorID>238ee20d-a469-4669-ba50-faf6c2eb71ac</errorID>
      <errorWord>0.001~0.002%</errorWord>
      <group>L1_Knowledge</group>
      <groupName>知识性问题</groupName>
      <ability>L2_Knowledge</ability>
      <abilityName>其他知识</abilityName>
      <candidateList>
        <item>0.001%～0.002%</item>
      </candidateList>
      <explain>1. “0.001~0.002%”中的单位“%”仅出现在后一个数字上，容易引起歧义；根据《现代汉语标点符号数字用法规范手册》，数字表示范围两边需要使用统一的格式。2. 根据标点国标 4.13 中的规则，数字、时间或地域连接符应使用（视觉上更长的）“—”或“～”。</explain>
      <paraID>3FDF814C</paraID>
      <start>285</start>
      <end>298</end>
      <status>modified</status>
      <modifiedWord>0.001%～0.002%</modifiedWord>
      <trackRevisions>false</trackRevisions>
    </reviewItem>
    <reviewItem>
      <errorID>e27f75c5-8698-491f-bad2-bd8f8f24f6ac</errorID>
      <errorWord>）</errorWord>
      <group>L1_Word</group>
      <groupName>字词问题</groupName>
      <ability>L2_Typo</ability>
      <abilityName>字词错误</abilityName>
      <candidateList>
        <item>）相</item>
      </candidateList>
      <explain/>
      <paraID>31530A22</paraID>
      <start>120</start>
      <end>122</end>
      <status>modified</status>
      <modifiedWord>）相</modifiedWord>
      <trackRevisions>false</trackRevisions>
    </reviewItem>
    <reviewItem>
      <errorID>74226802-1c5f-42a8-acfa-c16a7409aeda</errorID>
      <errorWord>辩认</errorWord>
      <group>L1_Word</group>
      <groupName>字词问题</groupName>
      <ability>L2_Typo</ability>
      <abilityName>字词错误</abilityName>
      <candidateList>
        <item>辨认</item>
      </candidateList>
      <explain/>
      <paraID>5444B7AA</paraID>
      <start>12</start>
      <end>14</end>
      <status>modified</status>
      <modifiedWord>辨认</modifiedWord>
      <trackRevisions>false</trackRevisions>
    </reviewItem>
    <reviewItem>
      <errorID>a15c1f15-0778-4702-8b81-2ae7f6adb040</errorID>
      <errorWord>（</errorWord>
      <group>L1_Punc</group>
      <groupName>标点问题</groupName>
      <ability>L2_Punc</ability>
      <abilityName>标点符号检查</abilityName>
      <candidateList/>
      <explain>同一形式括号套用。</explain>
      <paraID> A793156</paraID>
      <start>69</start>
      <end>70</end>
      <status>ignored</status>
      <modifiedWord/>
      <trackRevisions>false</trackRevisions>
    </reviewItem>
    <reviewItem>
      <errorID>097f536f-6304-4250-95a1-a792deedd094</errorID>
      <errorWord>）</errorWord>
      <group>L1_Punc</group>
      <groupName>标点问题</groupName>
      <ability>L2_Punc</ability>
      <abilityName>标点符号检查</abilityName>
      <candidateList/>
      <explain>同一形式括号套用。</explain>
      <paraID> A793156</paraID>
      <start>83</start>
      <end>84</end>
      <status>ignored</status>
      <modifiedWord/>
      <trackRevisions>false</trackRevisions>
    </reviewItem>
    <reviewItem>
      <errorID>f68a79c4-7adc-4784-8d75-517d17a04d55</errorID>
      <errorWord>，</errorWord>
      <group>L1_Format</group>
      <groupName>格式问题</groupName>
      <ability>L2_HalfPunc</ability>
      <abilityName>全半角检查</abilityName>
      <candidateList>
        <item>,</item>
      </candidateList>
      <explain>文本全半角错误。</explain>
      <paraID>53AA0BD7</paraID>
      <start>13</start>
      <end>14</end>
      <status>modified</status>
      <modifiedWord>,</modifiedWord>
      <trackRevisions>false</trackRevisions>
    </reviewItem>
    <reviewItem>
      <errorID>618b7224-1d8b-408a-ab46-5ad89fe51173</errorID>
      <errorWord>，</errorWord>
      <group>L1_Format</group>
      <groupName>格式问题</groupName>
      <ability>L2_HalfPunc</ability>
      <abilityName>全半角检查</abilityName>
      <candidateList>
        <item>,</item>
      </candidateList>
      <explain>文本全半角错误。</explain>
      <paraID>7A03304E</paraID>
      <start>13</start>
      <end>14</end>
      <status>modified</status>
      <modifiedWord>,</modifiedWord>
      <trackRevisions>false</trackRevisions>
    </reviewItem>
    <reviewItem>
      <errorID>5eb67875-3f24-4861-a1b0-c3df1070ffca</errorID>
      <errorWord>融熔</errorWord>
      <group>L1_Word</group>
      <groupName>字词问题</groupName>
      <ability>L2_Typo</ability>
      <abilityName>字词错误</abilityName>
      <candidateList>
        <item>熔融</item>
      </candidateList>
      <explain/>
      <paraID> D3637D2</paraID>
      <start>27</start>
      <end>29</end>
      <status>modified</status>
      <modifiedWord>熔融</modifiedWord>
      <trackRevisions>false</trackRevisions>
    </reviewItem>
    <reviewItem>
      <errorID>a3547529-7aa2-4941-9290-1668442a2453</errorID>
      <errorWord>;</errorWord>
      <group>L1_Format</group>
      <groupName>格式问题</groupName>
      <ability>L2_HalfPunc</ability>
      <abilityName>全半角检查</abilityName>
      <candidateList>
        <item>；</item>
      </candidateList>
      <explain>文本全半角错误。</explain>
      <paraID> D3637D2</paraID>
      <start>286</start>
      <end>287</end>
      <status>modified</status>
      <modifiedWord>；</modifiedWord>
      <trackRevisions>false</trackRevisions>
    </reviewItem>
    <reviewItem>
      <errorID>592b50a4-a59a-4964-97c9-f7c0e8d9778a</errorID>
      <errorWord>;</errorWord>
      <group>L1_Format</group>
      <groupName>格式问题</groupName>
      <ability>L2_HalfPunc</ability>
      <abilityName>全半角检查</abilityName>
      <candidateList>
        <item>；</item>
      </candidateList>
      <explain>文本全半角错误。</explain>
      <paraID>5552C403</paraID>
      <start>7</start>
      <end>8</end>
      <status>modified</status>
      <modifiedWord>；</modifiedWord>
      <trackRevisions>false</trackRevisions>
    </reviewItem>
    <reviewItem>
      <errorID>e18ccd2d-8cac-4c55-b8ae-20713cef4c02</errorID>
      <errorWord>，。</errorWord>
      <group>L1_Punc</group>
      <groupName>标点问题</groupName>
      <ability>L2_Punc</ability>
      <abilityName>标点符号检查</abilityName>
      <candidateList>
        <item>，</item>
      </candidateList>
      <explain/>
      <paraID>1B0E7A22</paraID>
      <start>172</start>
      <end>173</end>
      <status>modified</status>
      <modifiedWord>，</modifiedWord>
      <trackRevisions>false</trackRevisions>
    </reviewItem>
    <reviewItem>
      <errorID>e25403e3-acff-4075-9f3c-0b80b981675f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77DCAA</paraID>
      <start>0</start>
      <end>2</end>
      <status>modified</status>
      <modifiedWord>2.</modifiedWord>
      <trackRevisions>false</trackRevisions>
    </reviewItem>
    <reviewItem>
      <errorID>339fd32d-a043-4132-8fb5-1b2219fef48e</errorID>
      <errorWord>（</errorWord>
      <group>L1_Format</group>
      <groupName>格式问题</groupName>
      <ability>L2_HalfPunc</ability>
      <abilityName>全半角检查</abilityName>
      <candidateList>
        <item>(</item>
      </candidateList>
      <explain>文本全半角错误。</explain>
      <paraID>14DCB929</paraID>
      <start>0</start>
      <end>1</end>
      <status>modified</status>
      <modifiedWord>(</modifiedWord>
      <trackRevisions>false</trackRevisions>
    </reviewItem>
    <reviewItem>
      <errorID>a2aa0b11-d8fd-4612-aded-950539c9eefc</errorID>
      <errorWord>）</errorWord>
      <group>L1_Format</group>
      <groupName>格式问题</groupName>
      <ability>L2_HalfPunc</ability>
      <abilityName>全半角检查</abilityName>
      <candidateList>
        <item>)</item>
      </candidateList>
      <explain>文本全半角错误。</explain>
      <paraID>14DCB929</paraID>
      <start>4</start>
      <end>5</end>
      <status>modified</status>
      <modifiedWord>)</modifiedWord>
      <trackRevisions>false</trackRevisions>
    </reviewItem>
    <reviewItem>
      <errorID>f958a6b1-65b3-4621-8163-d828d856d6c7</errorID>
      <errorWord>收</errorWord>
      <group>L1_Word</group>
      <groupName>字词问题</groupName>
      <ability>L2_Typo</ability>
      <abilityName>字词错误</abilityName>
      <candidateList>
        <item>受</item>
      </candidateList>
      <explain>存在发音相同字词的误用。</explain>
      <paraID> 2329C80</paraID>
      <start>61</start>
      <end>62</end>
      <status>modified</status>
      <modifiedWord>受</modifiedWord>
      <trackRevisions>false</trackRevisions>
    </reviewItem>
    <reviewItem>
      <errorID>1e61053b-6892-478e-ba39-556ccd3ef413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4019BC20</paraID>
      <start>0</start>
      <end>2</end>
      <status>modified</status>
      <modifiedWord>3.</modifiedWord>
      <trackRevisions>false</trackRevisions>
    </reviewItem>
    <reviewItem>
      <errorID>f6127196-782a-4148-b2a5-09dbced3bf88</errorID>
      <errorWord>（</errorWord>
      <group>L1_Punc</group>
      <groupName>标点问题</groupName>
      <ability>L2_Punc</ability>
      <abilityName>标点符号检查</abilityName>
      <candidateList/>
      <explain>同一形式括号套用。</explain>
      <paraID>269CE4B4</paraID>
      <start>70</start>
      <end>71</end>
      <status>ignored</status>
      <modifiedWord/>
      <trackRevisions>false</trackRevisions>
    </reviewItem>
    <reviewItem>
      <errorID>0b62afbc-e1ca-4d9c-b097-f641978dad03</errorID>
      <errorWord>）</errorWord>
      <group>L1_Punc</group>
      <groupName>标点问题</groupName>
      <ability>L2_Punc</ability>
      <abilityName>标点符号检查</abilityName>
      <candidateList/>
      <explain>同一形式括号套用。</explain>
      <paraID>269CE4B4</paraID>
      <start>72</start>
      <end>73</end>
      <status>ignored</status>
      <modifiedWord/>
      <trackRevisions>false</trackRevisions>
    </reviewItem>
    <reviewItem>
      <errorID>076663c3-b254-490e-afd0-6e300f59fd1f</errorID>
      <errorWord>（</errorWord>
      <group>L1_Punc</group>
      <groupName>标点问题</groupName>
      <ability>L2_Punc</ability>
      <abilityName>标点符号检查</abilityName>
      <candidateList/>
      <explain>同一形式括号套用。</explain>
      <paraID>269CE4B4</paraID>
      <start>80</start>
      <end>81</end>
      <status>ignored</status>
      <modifiedWord/>
      <trackRevisions>false</trackRevisions>
    </reviewItem>
    <reviewItem>
      <errorID>89da6043-5a5f-4eab-9efd-29448ffed8c5</errorID>
      <errorWord>）</errorWord>
      <group>L1_Punc</group>
      <groupName>标点问题</groupName>
      <ability>L2_Punc</ability>
      <abilityName>标点符号检查</abilityName>
      <candidateList/>
      <explain>同一形式括号套用。</explain>
      <paraID>269CE4B4</paraID>
      <start>82</start>
      <end>83</end>
      <status>ignored</status>
      <modifiedWord/>
      <trackRevisions>false</trackRevisions>
    </reviewItem>
    <reviewItem>
      <errorID>64a0e8e2-e7e4-4b83-8b0c-2751da39e5cf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69AE583</paraID>
      <start>0</start>
      <end>2</end>
      <status>modified</status>
      <modifiedWord>4.</modifiedWord>
      <trackRevisions>false</trackRevisions>
    </reviewItem>
    <reviewItem>
      <errorID>f3543f6b-fb40-4383-b593-86ae3761cc8a</errorID>
      <errorWord>手机</errorWord>
      <group>L1_Word</group>
      <groupName>字词问题</groupName>
      <ability>L2_Typo</ability>
      <abilityName>字词错误</abilityName>
      <candidateList>
        <item>收集</item>
      </candidateList>
      <explain/>
      <paraID> 1A886D2</paraID>
      <start>46</start>
      <end>48</end>
      <status>modified</status>
      <modifiedWord>收集</modifiedWord>
      <trackRevisions>false</trackRevisions>
    </reviewItem>
    <reviewItem>
      <errorID>5436b75c-ba15-458b-b18c-4a0e8518b9bc</errorID>
      <errorWord>~</errorWord>
      <group>L1_Format</group>
      <groupName>格式问题</groupName>
      <ability>L2_HalfPunc</ability>
      <abilityName>全半角检查</abilityName>
      <candidateList>
        <item>～</item>
      </candidateList>
      <explain>文本全半角错误。</explain>
      <paraID>7DB33AA7</paraID>
      <start>49</start>
      <end>50</end>
      <status>modified</status>
      <modifiedWord>～</modifiedWord>
      <trackRevisions>false</trackRevisions>
    </reviewItem>
    <reviewItem>
      <errorID>5c98b9d5-d356-44a0-90ca-8c91692a29da</errorID>
      <errorWord>，</errorWord>
      <group>L1_Format</group>
      <groupName>格式问题</groupName>
      <ability>L2_HalfPunc</ability>
      <abilityName>全半角检查</abilityName>
      <candidateList>
        <item>, </item>
      </candidateList>
      <explain>文本全半角错误。</explain>
      <paraID>783F6C14</paraID>
      <start>1</start>
      <end>3</end>
      <status>modified</status>
      <modifiedWord>, </modifiedWord>
      <trackRevisions>false</trackRevisions>
    </reviewItem>
    <reviewItem>
      <errorID>65c5fdf5-c3d9-4bd9-8258-ef43b6ba5fac</errorID>
      <errorWord>，</errorWord>
      <group>L1_Format</group>
      <groupName>格式问题</groupName>
      <ability>L2_HalfPunc</ability>
      <abilityName>全半角检查</abilityName>
      <candidateList>
        <item>, </item>
      </candidateList>
      <explain>文本全半角错误。</explain>
      <paraID>3FA19F3E</paraID>
      <start>1</start>
      <end>3</end>
      <status>modified</status>
      <modifiedWord>, </modifiedWord>
      <trackRevisions>false</trackRevisions>
    </reviewItem>
    <reviewItem>
      <errorID>99e733a1-af18-4432-95c6-b1f7b474e3fe</errorID>
      <errorWord>，</errorWord>
      <group>L1_Format</group>
      <groupName>格式问题</groupName>
      <ability>L2_HalfPunc</ability>
      <abilityName>全半角检查</abilityName>
      <candidateList>
        <item>, </item>
      </candidateList>
      <explain>文本全半角错误。</explain>
      <paraID>5FAB2ABF</paraID>
      <start>1</start>
      <end>3</end>
      <status>modified</status>
      <modifiedWord>, </modifiedWord>
      <trackRevisions>false</trackRevisions>
    </reviewItem>
    <reviewItem>
      <errorID>96531c0f-bfb0-44a9-90aa-2f488de797d7</errorID>
      <errorWord>，</errorWord>
      <group>L1_Format</group>
      <groupName>格式问题</groupName>
      <ability>L2_HalfPunc</ability>
      <abilityName>全半角检查</abilityName>
      <candidateList>
        <item>, </item>
      </candidateList>
      <explain>文本全半角错误。</explain>
      <paraID>541C5EC0</paraID>
      <start>1</start>
      <end>3</end>
      <status>modified</status>
      <modifiedWord>, </modifiedWord>
      <trackRevisions>false</trackRevisions>
    </reviewItem>
    <reviewItem>
      <errorID>73b8a41f-b05d-4573-b484-1ff678575978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25850992</paraID>
      <start>0</start>
      <end>2</end>
      <status>modified</status>
      <modifiedWord>5.</modifiedWord>
      <trackRevisions>false</trackRevisions>
    </reviewItem>
    <reviewItem>
      <errorID>23916719-d68c-4851-8969-4a1e401c35f6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276C9CC1</paraID>
      <start>62</start>
      <end>63</end>
      <status>modified</status>
      <modifiedWord>—</modifiedWord>
      <trackRevisions>false</trackRevisions>
    </reviewItem>
    <reviewItem>
      <errorID>fc6be5f4-54db-4dc7-a408-2ec95641583b</errorID>
      <errorWord>本本项目</errorWord>
      <group>L1_Word</group>
      <groupName>字词问题</groupName>
      <ability>L2_Typo</ability>
      <abilityName>字词错误</abilityName>
      <candidateList>
        <item>本项目</item>
      </candidateList>
      <explain/>
      <paraID>318CF027</paraID>
      <start>0</start>
      <end>3</end>
      <status>modified</status>
      <modifiedWord>本项目</modifiedWord>
      <trackRevisions>false</trackRevisions>
    </reviewItem>
    <reviewItem>
      <errorID>d3b9d5dd-8a39-46c6-8478-1d1f54e2b4d1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318CF027</paraID>
      <start>62</start>
      <end>63</end>
      <status>modified</status>
      <modifiedWord>—</modifiedWord>
      <trackRevisions>false</trackRevisions>
    </reviewItem>
    <reviewItem>
      <errorID>fdd5e450-f81e-449b-a280-487720034054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631F62AF</paraID>
      <start>59</start>
      <end>60</end>
      <status>modified</status>
      <modifiedWord>—</modifiedWord>
      <trackRevisions>false</trackRevisions>
    </reviewItem>
    <reviewItem>
      <errorID>b69079ec-f9ea-4c48-aaec-629e03e4c197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595E8413</paraID>
      <start>59</start>
      <end>60</end>
      <status>modified</status>
      <modifiedWord>—</modifiedWord>
      <trackRevisions>false</trackRevisions>
    </reviewItem>
    <reviewItem>
      <errorID>c70f6a89-eebd-4b49-b4f3-376f9351a9b1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1C574728</paraID>
      <start>0</start>
      <end>2</end>
      <status>modified</status>
      <modifiedWord>6.</modifiedWord>
      <trackRevisions>false</trackRevisions>
    </reviewItem>
    <reviewItem>
      <errorID>ff94f4f2-bdfa-46b5-8954-fb5aad7636d7</errorID>
      <errorWord>（/</errorWord>
      <group>L1_Punc</group>
      <groupName>标点问题</groupName>
      <ability>L2_Punc</ability>
      <abilityName>标点符号检查</abilityName>
      <candidateList>
        <item>（</item>
      </candidateList>
      <explain/>
      <paraID>2935BCFB</paraID>
      <start>0</start>
      <end>1</end>
      <status>modified</status>
      <modifiedWord>（</modifiedWord>
      <trackRevisions>false</trackRevisions>
    </reviewItem>
    <reviewItem>
      <errorID>ab808fc5-de2b-487e-891a-655ffbeb44f9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42F2DC4B</paraID>
      <start>0</start>
      <end>2</end>
      <status>modified</status>
      <modifiedWord>7.</modifiedWord>
      <trackRevisions>false</trackRevisions>
    </reviewItem>
    <reviewItem>
      <errorID>4b81b01d-372e-4b96-b728-6635fd0f8706</errorID>
      <errorWord>(</errorWord>
      <group>L1_Format</group>
      <groupName>格式问题</groupName>
      <ability>L2_HalfPunc</ability>
      <abilityName>全半角检查</abilityName>
      <candidateList>
        <item>（</item>
      </candidateList>
      <explain>文本全半角错误。</explain>
      <paraID>2454E3B2</paraID>
      <start>3</start>
      <end>4</end>
      <status>modified</status>
      <modifiedWord>（</modifiedWord>
      <trackRevisions>false</trackRevisions>
    </reviewItem>
    <reviewItem>
      <errorID>5fd3fe57-7d0b-483c-9f73-637dc7ad9609</errorID>
      <errorWord>)</errorWord>
      <group>L1_Format</group>
      <groupName>格式问题</groupName>
      <ability>L2_HalfPunc</ability>
      <abilityName>全半角检查</abilityName>
      <candidateList>
        <item>）</item>
      </candidateList>
      <explain>文本全半角错误。</explain>
      <paraID>3BFC0372</paraID>
      <start>2</start>
      <end>3</end>
      <status>modified</status>
      <modifiedWord>）</modifiedWord>
      <trackRevisions>false</trackRevisions>
    </reviewItem>
    <reviewItem>
      <errorID>d7e436ea-fba1-4ab5-8287-eea1c8aa4f72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6D5B4022</paraID>
      <start>102</start>
      <end>103</end>
      <status>ignored</status>
      <modifiedWord/>
      <trackRevisions>false</trackRevisions>
    </reviewItem>
    <reviewItem>
      <errorID>9edb08c2-8ed6-4146-b1d3-b52ba3db3f6f</errorID>
      <errorWord>重、特大</errorWord>
      <group>L1_Punc</group>
      <groupName>标点问题</groupName>
      <ability>L2_Punc</ability>
      <abilityName>标点符号检查</abilityName>
      <candidateList>
        <item>重特大</item>
      </candidateList>
      <explain/>
      <paraID>3CECB9AE</paraID>
      <start>22</start>
      <end>26</end>
      <status>ignored</status>
      <modifiedWord/>
      <trackRevisions>false</trackRevisions>
    </reviewItem>
    <reviewItem>
      <errorID>025765a7-a02d-4321-885b-892b686e1e79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3CECB9AE</paraID>
      <start>44</start>
      <end>45</end>
      <status>modified</status>
      <modifiedWord>地</modifiedWord>
      <trackRevisions>false</trackRevisions>
    </reviewItem>
    <reviewItem>
      <errorID>1b8246f0-0100-4d9b-a64a-70fd57c674ee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553D32C6</paraID>
      <start>0</start>
      <end>2</end>
      <status>modified</status>
      <modifiedWord>1.</modifiedWord>
      <trackRevisions>false</trackRevisions>
    </reviewItem>
    <reviewItem>
      <errorID>a48b60d7-1062-4906-97c7-0ddedda5ff5d</errorID>
      <errorWord>[1999]24号</errorWord>
      <group>L1_Knowledge</group>
      <groupName>知识性问题</groupName>
      <ability>L2_Knowledge</ability>
      <abilityName>其他知识</abilityName>
      <candidateList>
        <item>〔1999〕24号</item>
      </candidateList>
      <explain>发文字号格式错误。</explain>
      <paraID>7ACE62A6</paraID>
      <start>24</start>
      <end>33</end>
      <status>ignored</status>
      <modifiedWord/>
      <trackRevisions>false</trackRevisions>
    </reviewItem>
    <reviewItem>
      <errorID>2f26df94-0845-49b8-b9db-72eb363693a4</errorID>
      <errorWord>[1996]470号</errorWord>
      <group>L1_Knowledge</group>
      <groupName>知识性问题</groupName>
      <ability>L2_Knowledge</ability>
      <abilityName>其他知识</abilityName>
      <candidateList>
        <item>〔1996〕470号</item>
      </candidateList>
      <explain>发文字号格式错误。</explain>
      <paraID>7ACE62A6</paraID>
      <start>52</start>
      <end>62</end>
      <status>ignored</status>
      <modifiedWord/>
      <trackRevisions>false</trackRevisions>
    </reviewItem>
    <reviewItem>
      <errorID>20dbbe2e-be7f-4de3-9cc7-a872618fe386</errorID>
      <errorWord>排放口</errorWord>
      <group>L1_Word</group>
      <groupName>字词问题</groupName>
      <ability>L2_Typo</ability>
      <abilityName>字词错误</abilityName>
      <candidateList>
        <item>排放</item>
      </candidateList>
      <explain/>
      <paraID>7ACE62A6</paraID>
      <start>174</start>
      <end>177</end>
      <status>ignored</status>
      <modifiedWord/>
      <trackRevisions>false</trackRevisions>
    </reviewItem>
    <reviewItem>
      <errorID>624939c4-820a-4cab-a87b-6bbc23e8f638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3DAB80E0</paraID>
      <start>0</start>
      <end>2</end>
      <status>modified</status>
      <modifiedWord>2.</modifiedWord>
      <trackRevisions>false</trackRevisions>
    </reviewItem>
    <reviewItem>
      <errorID>f863d2ba-5e36-4052-9a23-1c7a02cab590</errorID>
      <errorWord>[2017]84号</errorWord>
      <group>L1_Knowledge</group>
      <groupName>知识性问题</groupName>
      <ability>L2_Knowledge</ability>
      <abilityName>其他知识</abilityName>
      <candidateList>
        <item>〔2017〕84号</item>
      </candidateList>
      <explain>发文字号格式错误。</explain>
      <paraID>71EB6C94</paraID>
      <start>36</start>
      <end>45</end>
      <status>ignored</status>
      <modifiedWord/>
      <trackRevisions>false</trackRevisions>
    </reviewItem>
    <reviewItem>
      <errorID>fd7d3c3e-9bde-436e-9469-4f7ea8b21ac7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A088FF</paraID>
      <start>0</start>
      <end>2</end>
      <status>modified</status>
      <modifiedWord>3.</modifiedWord>
      <trackRevisions>false</trackRevisions>
    </reviewItem>
    <reviewItem>
      <errorID>be6a0014-fee1-44a9-bacf-55edd5be8384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C1E61D7</paraID>
      <start>0</start>
      <end>2</end>
      <status>modified</status>
      <modifiedWord>4.</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6123a5-c8ac-4210-89b6-917fc77ed07c}">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27615</Words>
  <Characters>28583</Characters>
  <Lines>0</Lines>
  <Paragraphs>0</Paragraphs>
  <TotalTime>17</TotalTime>
  <ScaleCrop>false</ScaleCrop>
  <LinksUpToDate>false</LinksUpToDate>
  <CharactersWithSpaces>28741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2021-12-25T07:06:00Z</dcterms:created>
  <dc:creator>Administrator</dc:creator>
  <cp:lastModifiedBy>段梦梦</cp:lastModifiedBy>
  <cp:lastPrinted>2024-04-25T06:55:00Z</cp:lastPrinted>
  <dcterms:modified xsi:type="dcterms:W3CDTF">2026-04-08T01:35:03Z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B3B17B5798FA4019B1680211B89E64E0_13</vt:lpwstr>
  </property>
  <property fmtid="{D5CDD505-2E9C-101B-9397-08002B2CF9AE}" pid="4" name="KSOTemplateDocerSaveRecord">
    <vt:lpwstr>eyJoZGlkIjoiYjk1MjlkOGJiYzlmYjcwMDNmOWU4YTZjMGRhODZiZmMiLCJ1c2VySWQiOiI0MjM3NjA2MjEifQ==</vt:lpwstr>
  </property>
</Properties>
</file>