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21753">
      <w:pPr>
        <w:adjustRightInd w:val="0"/>
        <w:snapToGrid w:val="0"/>
        <w:jc w:val="center"/>
        <w:outlineLvl w:val="0"/>
        <w:rPr>
          <w:rFonts w:ascii="Times New Roman" w:hAnsi="Times New Roman" w:eastAsia="宋体" w:cs="Times New Roman"/>
          <w:bCs/>
          <w:color w:val="auto"/>
          <w:sz w:val="72"/>
          <w:szCs w:val="72"/>
        </w:rPr>
      </w:pPr>
    </w:p>
    <w:p w14:paraId="5A68882D">
      <w:pPr>
        <w:adjustRightInd w:val="0"/>
        <w:snapToGrid w:val="0"/>
        <w:jc w:val="center"/>
        <w:outlineLvl w:val="0"/>
        <w:rPr>
          <w:rFonts w:ascii="Times New Roman" w:hAnsi="Times New Roman" w:eastAsia="宋体" w:cs="Times New Roman"/>
          <w:bCs/>
          <w:color w:val="auto"/>
          <w:sz w:val="72"/>
          <w:szCs w:val="72"/>
        </w:rPr>
      </w:pPr>
    </w:p>
    <w:p w14:paraId="1B17EC43">
      <w:pPr>
        <w:adjustRightInd w:val="0"/>
        <w:snapToGrid w:val="0"/>
        <w:jc w:val="center"/>
        <w:outlineLvl w:val="0"/>
        <w:rPr>
          <w:rFonts w:ascii="Times New Roman" w:hAnsi="Times New Roman" w:eastAsia="宋体" w:cs="Times New Roman"/>
          <w:bCs/>
          <w:color w:val="auto"/>
          <w:sz w:val="72"/>
          <w:szCs w:val="72"/>
        </w:rPr>
      </w:pPr>
      <w:r>
        <w:rPr>
          <w:rFonts w:ascii="Times New Roman" w:hAnsi="Times New Roman" w:eastAsia="宋体" w:cs="Times New Roman"/>
          <w:bCs/>
          <w:color w:val="auto"/>
          <w:sz w:val="72"/>
          <w:szCs w:val="72"/>
        </w:rPr>
        <w:t>建设项目环境影响报告表</w:t>
      </w:r>
    </w:p>
    <w:p w14:paraId="7FCF82F4">
      <w:pPr>
        <w:adjustRightInd w:val="0"/>
        <w:snapToGrid w:val="0"/>
        <w:spacing w:before="192" w:beforeLines="80"/>
        <w:jc w:val="center"/>
        <w:rPr>
          <w:rFonts w:ascii="Times New Roman" w:hAnsi="Times New Roman" w:eastAsia="宋体" w:cs="Times New Roman"/>
          <w:bCs/>
          <w:color w:val="auto"/>
          <w:sz w:val="48"/>
          <w:szCs w:val="48"/>
        </w:rPr>
      </w:pPr>
      <w:r>
        <w:rPr>
          <w:rFonts w:ascii="Times New Roman" w:hAnsi="Times New Roman" w:eastAsia="宋体" w:cs="Times New Roman"/>
          <w:bCs/>
          <w:color w:val="auto"/>
          <w:sz w:val="48"/>
          <w:szCs w:val="48"/>
        </w:rPr>
        <w:t>（污染影响类）</w:t>
      </w:r>
    </w:p>
    <w:p w14:paraId="56DFC8D2">
      <w:pPr>
        <w:adjustRightInd w:val="0"/>
        <w:snapToGrid w:val="0"/>
        <w:spacing w:line="288" w:lineRule="auto"/>
        <w:jc w:val="center"/>
        <w:rPr>
          <w:rFonts w:ascii="Times New Roman" w:hAnsi="Times New Roman" w:eastAsia="宋体" w:cs="Times New Roman"/>
          <w:color w:val="auto"/>
          <w:kern w:val="44"/>
          <w:sz w:val="44"/>
          <w:szCs w:val="44"/>
        </w:rPr>
      </w:pPr>
    </w:p>
    <w:p w14:paraId="6227F5A1">
      <w:pPr>
        <w:jc w:val="center"/>
        <w:rPr>
          <w:rFonts w:ascii="Times New Roman" w:hAnsi="Times New Roman" w:eastAsia="宋体" w:cs="Times New Roman"/>
          <w:color w:val="auto"/>
          <w:sz w:val="52"/>
          <w:szCs w:val="52"/>
        </w:rPr>
      </w:pPr>
    </w:p>
    <w:p w14:paraId="32071D6C">
      <w:pPr>
        <w:ind w:firstLine="1040"/>
        <w:rPr>
          <w:rFonts w:ascii="Times New Roman" w:hAnsi="Times New Roman" w:eastAsia="宋体" w:cs="Times New Roman"/>
          <w:color w:val="auto"/>
          <w:sz w:val="44"/>
          <w:szCs w:val="44"/>
        </w:rPr>
      </w:pPr>
    </w:p>
    <w:p w14:paraId="56007C58">
      <w:pPr>
        <w:ind w:firstLine="1040"/>
        <w:rPr>
          <w:rFonts w:ascii="Times New Roman" w:hAnsi="Times New Roman" w:eastAsia="宋体" w:cs="Times New Roman"/>
          <w:color w:val="auto"/>
          <w:sz w:val="44"/>
          <w:szCs w:val="44"/>
        </w:rPr>
      </w:pPr>
    </w:p>
    <w:p w14:paraId="6BAF1A14">
      <w:pPr>
        <w:ind w:firstLine="1040"/>
        <w:rPr>
          <w:rFonts w:ascii="Times New Roman" w:hAnsi="Times New Roman" w:eastAsia="宋体" w:cs="Times New Roman"/>
          <w:color w:val="auto"/>
          <w:sz w:val="44"/>
          <w:szCs w:val="44"/>
        </w:rPr>
      </w:pPr>
    </w:p>
    <w:p w14:paraId="37885080">
      <w:pPr>
        <w:ind w:firstLine="1040"/>
        <w:rPr>
          <w:rFonts w:ascii="Times New Roman" w:hAnsi="Times New Roman" w:eastAsia="宋体" w:cs="Times New Roman"/>
          <w:color w:val="auto"/>
          <w:sz w:val="44"/>
          <w:szCs w:val="44"/>
        </w:rPr>
      </w:pPr>
    </w:p>
    <w:p w14:paraId="5E24987D">
      <w:pPr>
        <w:ind w:firstLine="1040"/>
        <w:rPr>
          <w:rFonts w:ascii="Times New Roman" w:hAnsi="Times New Roman" w:eastAsia="宋体" w:cs="Times New Roman"/>
          <w:color w:val="auto"/>
          <w:sz w:val="44"/>
          <w:szCs w:val="44"/>
        </w:rPr>
      </w:pPr>
    </w:p>
    <w:p w14:paraId="0428EAB2">
      <w:pPr>
        <w:rPr>
          <w:rFonts w:ascii="Times New Roman" w:hAnsi="Times New Roman" w:eastAsia="宋体" w:cs="Times New Roman"/>
          <w:color w:val="auto"/>
          <w:sz w:val="44"/>
          <w:szCs w:val="44"/>
        </w:rPr>
      </w:pPr>
    </w:p>
    <w:p w14:paraId="066F364B">
      <w:pPr>
        <w:keepNext w:val="0"/>
        <w:keepLines w:val="0"/>
        <w:pageBreakBefore w:val="0"/>
        <w:widowControl w:val="0"/>
        <w:kinsoku/>
        <w:wordWrap/>
        <w:overflowPunct/>
        <w:topLinePunct w:val="0"/>
        <w:autoSpaceDE/>
        <w:autoSpaceDN/>
        <w:bidi w:val="0"/>
        <w:adjustRightInd/>
        <w:snapToGrid/>
        <w:spacing w:line="288" w:lineRule="auto"/>
        <w:ind w:left="0" w:firstLine="0" w:firstLineChars="0"/>
        <w:textAlignment w:val="auto"/>
        <w:rPr>
          <w:rFonts w:hint="default" w:ascii="Times New Roman" w:hAnsi="Times New Roman" w:eastAsia="宋体" w:cs="Times New Roman"/>
          <w:color w:val="auto"/>
          <w:sz w:val="36"/>
          <w:szCs w:val="36"/>
          <w:u w:val="single"/>
        </w:rPr>
      </w:pPr>
      <w:bookmarkStart w:id="0" w:name="_Hlk57884087"/>
      <w:r>
        <w:rPr>
          <w:rFonts w:hint="default" w:ascii="Times New Roman" w:hAnsi="Times New Roman" w:eastAsia="宋体" w:cs="Times New Roman"/>
          <w:color w:val="auto"/>
          <w:sz w:val="36"/>
          <w:szCs w:val="36"/>
        </w:rPr>
        <w:t>项目名称</w:t>
      </w:r>
      <w:r>
        <w:rPr>
          <w:rFonts w:hint="default" w:ascii="Times New Roman" w:hAnsi="Times New Roman" w:eastAsia="宋体" w:cs="Times New Roman"/>
          <w:color w:val="auto"/>
          <w:sz w:val="36"/>
          <w:szCs w:val="36"/>
          <w:lang w:eastAsia="zh-CN"/>
        </w:rPr>
        <w:t>：</w:t>
      </w:r>
      <w:r>
        <w:rPr>
          <w:rFonts w:hint="default" w:ascii="Times New Roman" w:hAnsi="Times New Roman" w:eastAsia="宋体" w:cs="Times New Roman"/>
          <w:color w:val="auto"/>
          <w:sz w:val="36"/>
          <w:szCs w:val="36"/>
          <w:u w:val="single"/>
          <w:lang w:eastAsia="zh-CN"/>
        </w:rPr>
        <w:t>安徽博钧机械设备有限公司年加工制造8000套工程机械金属构件迁建项目</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val="en-US" w:eastAsia="zh-CN"/>
        </w:rPr>
        <w:t xml:space="preserve">   </w:t>
      </w:r>
    </w:p>
    <w:p w14:paraId="73828E7F">
      <w:pPr>
        <w:spacing w:line="288" w:lineRule="auto"/>
        <w:ind w:firstLine="0" w:firstLineChars="0"/>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建设单位：</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eastAsia="zh-CN"/>
        </w:rPr>
        <w:t>安徽博钧机械设备有限公司</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72A18144">
      <w:pPr>
        <w:spacing w:line="288" w:lineRule="auto"/>
        <w:ind w:firstLine="0" w:firstLineChars="0"/>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20</w:t>
      </w:r>
      <w:r>
        <w:rPr>
          <w:rFonts w:hint="default" w:ascii="Times New Roman" w:hAnsi="Times New Roman" w:eastAsia="宋体" w:cs="Times New Roman"/>
          <w:color w:val="auto"/>
          <w:sz w:val="36"/>
          <w:szCs w:val="36"/>
          <w:u w:val="single"/>
          <w:lang w:val="en-US" w:eastAsia="zh-CN"/>
        </w:rPr>
        <w:t>26</w:t>
      </w:r>
      <w:r>
        <w:rPr>
          <w:rFonts w:hint="default" w:ascii="Times New Roman" w:hAnsi="Times New Roman" w:eastAsia="宋体" w:cs="Times New Roman"/>
          <w:color w:val="auto"/>
          <w:sz w:val="36"/>
          <w:szCs w:val="36"/>
          <w:u w:val="single"/>
        </w:rPr>
        <w:t>年</w:t>
      </w:r>
      <w:r>
        <w:rPr>
          <w:rFonts w:hint="eastAsia" w:ascii="Times New Roman" w:hAnsi="Times New Roman" w:eastAsia="宋体" w:cs="Times New Roman"/>
          <w:color w:val="auto"/>
          <w:sz w:val="36"/>
          <w:szCs w:val="36"/>
          <w:u w:val="single"/>
          <w:lang w:val="en-US" w:eastAsia="zh-CN"/>
        </w:rPr>
        <w:t>5</w:t>
      </w:r>
      <w:r>
        <w:rPr>
          <w:rFonts w:hint="default" w:ascii="Times New Roman" w:hAnsi="Times New Roman" w:eastAsia="宋体" w:cs="Times New Roman"/>
          <w:color w:val="auto"/>
          <w:sz w:val="36"/>
          <w:szCs w:val="36"/>
          <w:u w:val="single"/>
        </w:rPr>
        <w:t xml:space="preserve">月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446B9BE9">
      <w:pPr>
        <w:adjustRightInd w:val="0"/>
        <w:snapToGrid w:val="0"/>
        <w:spacing w:line="288" w:lineRule="auto"/>
        <w:rPr>
          <w:rFonts w:ascii="Times New Roman" w:hAnsi="Times New Roman" w:eastAsia="宋体" w:cs="Times New Roman"/>
          <w:color w:val="auto"/>
          <w:sz w:val="36"/>
          <w:szCs w:val="36"/>
        </w:rPr>
      </w:pPr>
    </w:p>
    <w:p w14:paraId="6F490E3C">
      <w:pPr>
        <w:adjustRightInd w:val="0"/>
        <w:snapToGrid w:val="0"/>
        <w:spacing w:line="288" w:lineRule="auto"/>
        <w:ind w:firstLine="1040"/>
        <w:rPr>
          <w:rFonts w:ascii="Times New Roman" w:hAnsi="Times New Roman" w:eastAsia="宋体" w:cs="Times New Roman"/>
          <w:color w:val="auto"/>
          <w:sz w:val="36"/>
          <w:szCs w:val="36"/>
        </w:rPr>
      </w:pPr>
    </w:p>
    <w:bookmarkEnd w:id="0"/>
    <w:p w14:paraId="02D9C53F">
      <w:pPr>
        <w:jc w:val="center"/>
        <w:rPr>
          <w:rFonts w:ascii="Times New Roman" w:hAnsi="Times New Roman" w:eastAsia="宋体" w:cs="Times New Roman"/>
          <w:color w:val="auto"/>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color w:val="auto"/>
          <w:sz w:val="32"/>
          <w:szCs w:val="32"/>
        </w:rPr>
        <w:t>中华人民共和国生态环境部制</w:t>
      </w:r>
    </w:p>
    <w:p w14:paraId="758FAD06">
      <w:pPr>
        <w:pStyle w:val="1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7E6DCD2">
      <w:pPr>
        <w:pStyle w:val="20"/>
        <w:keepNext w:val="0"/>
        <w:keepLines w:val="0"/>
        <w:pageBreakBefore w:val="0"/>
        <w:widowControl/>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eastAsia" w:eastAsia="宋体" w:cs="宋体"/>
          <w:b/>
          <w:bCs/>
          <w:sz w:val="30"/>
          <w:szCs w:val="30"/>
        </w:rPr>
      </w:pPr>
      <w:r>
        <w:rPr>
          <w:rFonts w:hint="eastAsia" w:eastAsia="宋体" w:cs="宋体"/>
          <w:b/>
          <w:bCs/>
          <w:sz w:val="30"/>
          <w:szCs w:val="30"/>
        </w:rPr>
        <w:t>一、建设项目基本情况</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96"/>
        <w:gridCol w:w="256"/>
        <w:gridCol w:w="2309"/>
        <w:gridCol w:w="2634"/>
        <w:gridCol w:w="3777"/>
      </w:tblGrid>
      <w:tr w14:paraId="34637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0BFFEC3F">
            <w:pPr>
              <w:tabs>
                <w:tab w:val="left" w:pos="2520"/>
                <w:tab w:val="left" w:pos="4030"/>
                <w:tab w:val="center" w:pos="4872"/>
                <w:tab w:val="left" w:pos="7666"/>
              </w:tabs>
              <w:bidi w:val="0"/>
              <w:jc w:val="left"/>
              <w:rPr>
                <w:rFonts w:ascii="Times New Roman" w:hAnsi="Times New Roman" w:eastAsia="宋体" w:cs="Times New Roman"/>
                <w:sz w:val="24"/>
                <w:szCs w:val="24"/>
              </w:rPr>
            </w:pPr>
            <w:r>
              <w:rPr>
                <w:rFonts w:hint="eastAsia" w:eastAsia="宋体" w:cs="宋体"/>
                <w:b/>
                <w:bCs/>
                <w:sz w:val="30"/>
                <w:szCs w:val="30"/>
              </w:rPr>
              <w:br w:type="column"/>
            </w:r>
            <w:r>
              <w:rPr>
                <w:rFonts w:ascii="Times New Roman" w:hAnsi="Times New Roman" w:eastAsia="宋体" w:cs="Times New Roman"/>
                <w:sz w:val="24"/>
                <w:szCs w:val="24"/>
              </w:rPr>
              <w:t>建设项目名称</w:t>
            </w:r>
          </w:p>
        </w:tc>
        <w:tc>
          <w:tcPr>
            <w:tcW w:w="8720" w:type="dxa"/>
            <w:gridSpan w:val="3"/>
            <w:vAlign w:val="center"/>
          </w:tcPr>
          <w:p w14:paraId="57DB2F2D">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eastAsia="zh-CN"/>
              </w:rPr>
              <w:t>安徽博钧机械设备有限公司年加工制造8000套工程机械金属构件迁建项目</w:t>
            </w:r>
          </w:p>
        </w:tc>
      </w:tr>
      <w:tr w14:paraId="405F4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39295513">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项目代码</w:t>
            </w:r>
          </w:p>
        </w:tc>
        <w:tc>
          <w:tcPr>
            <w:tcW w:w="8720" w:type="dxa"/>
            <w:gridSpan w:val="3"/>
            <w:vAlign w:val="center"/>
          </w:tcPr>
          <w:p w14:paraId="42C393FF">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hint="eastAsia" w:ascii="Times New Roman" w:hAnsi="Times New Roman" w:eastAsia="宋体" w:cs="Times New Roman"/>
                <w:color w:val="auto"/>
                <w:sz w:val="24"/>
                <w:szCs w:val="24"/>
                <w:lang w:eastAsia="zh-CN"/>
              </w:rPr>
              <w:t>2511-341302-07-02-638102</w:t>
            </w:r>
          </w:p>
        </w:tc>
      </w:tr>
      <w:tr w14:paraId="15526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3F00C215">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建设单位联系人</w:t>
            </w:r>
          </w:p>
        </w:tc>
        <w:tc>
          <w:tcPr>
            <w:tcW w:w="2309" w:type="dxa"/>
            <w:vAlign w:val="center"/>
          </w:tcPr>
          <w:p w14:paraId="4E85F14C">
            <w:pPr>
              <w:keepNext w:val="0"/>
              <w:keepLines w:val="0"/>
              <w:pageBreakBefore w:val="0"/>
              <w:widowControl/>
              <w:kinsoku/>
              <w:wordWrap/>
              <w:overflowPunct/>
              <w:bidi w:val="0"/>
              <w:spacing w:line="276" w:lineRule="auto"/>
              <w:jc w:val="center"/>
              <w:rPr>
                <w:rFonts w:hint="default" w:ascii="Times New Roman" w:hAnsi="Times New Roman" w:eastAsia="宋体" w:cs="Times New Roman"/>
                <w:sz w:val="24"/>
                <w:szCs w:val="24"/>
                <w:lang w:val="en-US" w:eastAsia="zh-CN"/>
              </w:rPr>
            </w:pPr>
          </w:p>
        </w:tc>
        <w:tc>
          <w:tcPr>
            <w:tcW w:w="2634" w:type="dxa"/>
            <w:vAlign w:val="center"/>
          </w:tcPr>
          <w:p w14:paraId="060F8AD9">
            <w:pPr>
              <w:keepNext w:val="0"/>
              <w:keepLines w:val="0"/>
              <w:pageBreakBefore w:val="0"/>
              <w:widowControl/>
              <w:kinsoku/>
              <w:wordWrap/>
              <w:overflowPunct/>
              <w:bidi w:val="0"/>
              <w:spacing w:line="276" w:lineRule="auto"/>
              <w:jc w:val="center"/>
              <w:rPr>
                <w:rFonts w:ascii="Times New Roman" w:hAnsi="Times New Roman" w:eastAsia="宋体" w:cs="Times New Roman"/>
                <w:sz w:val="24"/>
                <w:szCs w:val="24"/>
              </w:rPr>
            </w:pPr>
            <w:r>
              <w:rPr>
                <w:rFonts w:hint="default" w:ascii="Times New Roman" w:hAnsi="Times New Roman" w:eastAsia="宋体" w:cs="Times New Roman"/>
                <w:color w:val="auto"/>
                <w:sz w:val="24"/>
                <w:szCs w:val="24"/>
              </w:rPr>
              <w:t>联系方式</w:t>
            </w:r>
          </w:p>
        </w:tc>
        <w:tc>
          <w:tcPr>
            <w:tcW w:w="3777" w:type="dxa"/>
            <w:vAlign w:val="center"/>
          </w:tcPr>
          <w:p w14:paraId="39CD2538">
            <w:pPr>
              <w:keepNext w:val="0"/>
              <w:keepLines w:val="0"/>
              <w:pageBreakBefore w:val="0"/>
              <w:widowControl/>
              <w:kinsoku/>
              <w:wordWrap/>
              <w:overflowPunct/>
              <w:bidi w:val="0"/>
              <w:spacing w:line="276" w:lineRule="auto"/>
              <w:jc w:val="center"/>
              <w:rPr>
                <w:rFonts w:ascii="Times New Roman" w:hAnsi="Times New Roman" w:eastAsia="宋体" w:cs="Times New Roman"/>
                <w:sz w:val="24"/>
                <w:szCs w:val="24"/>
                <w:lang w:eastAsia="zh-CN"/>
              </w:rPr>
            </w:pPr>
            <w:bookmarkStart w:id="28" w:name="_GoBack"/>
            <w:bookmarkEnd w:id="28"/>
          </w:p>
        </w:tc>
      </w:tr>
      <w:tr w14:paraId="6F60C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24C4AEAB">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建设地点</w:t>
            </w:r>
          </w:p>
        </w:tc>
        <w:tc>
          <w:tcPr>
            <w:tcW w:w="8720" w:type="dxa"/>
            <w:gridSpan w:val="3"/>
            <w:vAlign w:val="center"/>
          </w:tcPr>
          <w:p w14:paraId="5D5DCF0F">
            <w:pPr>
              <w:keepNext w:val="0"/>
              <w:keepLines w:val="0"/>
              <w:pageBreakBefore w:val="0"/>
              <w:widowControl/>
              <w:kinsoku/>
              <w:wordWrap/>
              <w:overflowPunct/>
              <w:bidi w:val="0"/>
              <w:spacing w:line="276" w:lineRule="auto"/>
              <w:jc w:val="center"/>
              <w:rPr>
                <w:rFonts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eastAsia="zh-CN"/>
              </w:rPr>
              <w:t>安徽省宿州市宿州徐州现代产业园区埇桥园G206国道与雁山路交叉口（金鸽面粉厂院内）</w:t>
            </w:r>
          </w:p>
        </w:tc>
      </w:tr>
      <w:tr w14:paraId="66298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17A8AB38">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地理坐标</w:t>
            </w:r>
          </w:p>
        </w:tc>
        <w:tc>
          <w:tcPr>
            <w:tcW w:w="8720" w:type="dxa"/>
            <w:gridSpan w:val="3"/>
            <w:vAlign w:val="center"/>
          </w:tcPr>
          <w:p w14:paraId="4E8A32DD">
            <w:pPr>
              <w:keepNext w:val="0"/>
              <w:keepLines w:val="0"/>
              <w:pageBreakBefore w:val="0"/>
              <w:widowControl/>
              <w:kinsoku/>
              <w:wordWrap/>
              <w:overflowPunct/>
              <w:bidi w:val="0"/>
              <w:spacing w:line="276" w:lineRule="auto"/>
              <w:jc w:val="center"/>
              <w:rPr>
                <w:rFonts w:ascii="Times New Roman" w:hAnsi="Times New Roman" w:eastAsia="宋体" w:cs="Times New Roman"/>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none"/>
              </w:rPr>
              <w:t>东经</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117度9分</w:t>
            </w:r>
            <w:r>
              <w:rPr>
                <w:rFonts w:hint="default" w:ascii="Times New Roman" w:hAnsi="Times New Roman" w:eastAsia="宋体" w:cs="Times New Roman"/>
                <w:color w:val="auto"/>
                <w:sz w:val="24"/>
                <w:szCs w:val="24"/>
                <w:u w:val="none"/>
                <w:lang w:val="en-US" w:eastAsia="zh-CN"/>
              </w:rPr>
              <w:t>11.611</w:t>
            </w:r>
            <w:r>
              <w:rPr>
                <w:rFonts w:hint="default" w:ascii="Times New Roman" w:hAnsi="Times New Roman" w:eastAsia="宋体" w:cs="Times New Roman"/>
                <w:color w:val="auto"/>
                <w:sz w:val="24"/>
                <w:szCs w:val="24"/>
                <w:u w:val="none"/>
              </w:rPr>
              <w:t>秒，北纬</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34度4分</w:t>
            </w:r>
            <w:r>
              <w:rPr>
                <w:rFonts w:hint="default" w:ascii="Times New Roman" w:hAnsi="Times New Roman" w:eastAsia="宋体" w:cs="Times New Roman"/>
                <w:color w:val="auto"/>
                <w:sz w:val="24"/>
                <w:szCs w:val="24"/>
                <w:u w:val="none"/>
                <w:lang w:val="en-US" w:eastAsia="zh-CN"/>
              </w:rPr>
              <w:t>29.65</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秒</w:t>
            </w:r>
            <w:r>
              <w:rPr>
                <w:rFonts w:hint="default" w:ascii="Times New Roman" w:hAnsi="Times New Roman" w:eastAsia="宋体" w:cs="Times New Roman"/>
                <w:color w:val="auto"/>
                <w:sz w:val="24"/>
                <w:szCs w:val="24"/>
              </w:rPr>
              <w:t>）</w:t>
            </w:r>
          </w:p>
        </w:tc>
      </w:tr>
      <w:tr w14:paraId="1C3D7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252D8190">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国民经济</w:t>
            </w:r>
          </w:p>
          <w:p w14:paraId="488D3DEA">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行业类别</w:t>
            </w:r>
          </w:p>
        </w:tc>
        <w:tc>
          <w:tcPr>
            <w:tcW w:w="2309" w:type="dxa"/>
            <w:vAlign w:val="center"/>
          </w:tcPr>
          <w:p w14:paraId="7DA5172A">
            <w:pPr>
              <w:keepNext w:val="0"/>
              <w:keepLines w:val="0"/>
              <w:pageBreakBefore w:val="0"/>
              <w:widowControl/>
              <w:kinsoku/>
              <w:wordWrap/>
              <w:overflowPunct/>
              <w:bidi w:val="0"/>
              <w:spacing w:line="276"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rPr>
              <w:t>C3311金属结构制造</w:t>
            </w:r>
          </w:p>
        </w:tc>
        <w:tc>
          <w:tcPr>
            <w:tcW w:w="2634" w:type="dxa"/>
            <w:vAlign w:val="center"/>
          </w:tcPr>
          <w:p w14:paraId="580D48D1">
            <w:pPr>
              <w:keepNext w:val="0"/>
              <w:keepLines w:val="0"/>
              <w:pageBreakBefore w:val="0"/>
              <w:widowControl/>
              <w:kinsoku/>
              <w:wordWrap/>
              <w:overflowPunct/>
              <w:bidi w:val="0"/>
              <w:spacing w:line="276"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3406E12A">
            <w:pPr>
              <w:keepNext w:val="0"/>
              <w:keepLines w:val="0"/>
              <w:pageBreakBefore w:val="0"/>
              <w:widowControl/>
              <w:kinsoku/>
              <w:wordWrap/>
              <w:overflowPunct/>
              <w:bidi w:val="0"/>
              <w:spacing w:line="276" w:lineRule="auto"/>
              <w:jc w:val="center"/>
              <w:rPr>
                <w:rFonts w:ascii="Times New Roman" w:hAnsi="Times New Roman" w:eastAsia="宋体" w:cs="Times New Roman"/>
                <w:sz w:val="24"/>
                <w:szCs w:val="24"/>
              </w:rPr>
            </w:pPr>
            <w:r>
              <w:rPr>
                <w:rFonts w:hint="default" w:ascii="Times New Roman" w:hAnsi="Times New Roman" w:eastAsia="宋体" w:cs="Times New Roman"/>
                <w:color w:val="auto"/>
                <w:sz w:val="24"/>
                <w:szCs w:val="24"/>
              </w:rPr>
              <w:t>行业类别</w:t>
            </w:r>
          </w:p>
        </w:tc>
        <w:tc>
          <w:tcPr>
            <w:tcW w:w="3777" w:type="dxa"/>
            <w:vAlign w:val="center"/>
          </w:tcPr>
          <w:p w14:paraId="74189689">
            <w:pPr>
              <w:keepNext w:val="0"/>
              <w:keepLines w:val="0"/>
              <w:pageBreakBefore w:val="0"/>
              <w:widowControl/>
              <w:kinsoku/>
              <w:wordWrap/>
              <w:overflowPunct/>
              <w:bidi w:val="0"/>
              <w:spacing w:line="276"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rPr>
              <w:t>三十、金属制品业 33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66、结构性金属制品制造 331其他</w:t>
            </w:r>
          </w:p>
        </w:tc>
      </w:tr>
      <w:tr w14:paraId="159A2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0AF4A8F1">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建设性质</w:t>
            </w:r>
          </w:p>
        </w:tc>
        <w:tc>
          <w:tcPr>
            <w:tcW w:w="2309" w:type="dxa"/>
            <w:vAlign w:val="center"/>
          </w:tcPr>
          <w:p w14:paraId="5B2C28F2">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lang w:eastAsia="zh-CN"/>
              </w:rPr>
              <w:t>新建（迁建）</w:t>
            </w:r>
          </w:p>
          <w:p w14:paraId="4FF78B95">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改建</w:t>
            </w:r>
          </w:p>
          <w:p w14:paraId="406DC7F3">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扩建</w:t>
            </w:r>
          </w:p>
          <w:p w14:paraId="3BDEFE8E">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技术改造</w:t>
            </w:r>
          </w:p>
        </w:tc>
        <w:tc>
          <w:tcPr>
            <w:tcW w:w="2634" w:type="dxa"/>
            <w:vAlign w:val="center"/>
          </w:tcPr>
          <w:p w14:paraId="1B6EA06C">
            <w:pPr>
              <w:keepNext w:val="0"/>
              <w:keepLines w:val="0"/>
              <w:pageBreakBefore w:val="0"/>
              <w:widowControl/>
              <w:tabs>
                <w:tab w:val="center" w:pos="1161"/>
                <w:tab w:val="right" w:pos="2202"/>
              </w:tabs>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w:t>
            </w:r>
          </w:p>
          <w:p w14:paraId="29DB7A09">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申报情形</w:t>
            </w:r>
          </w:p>
        </w:tc>
        <w:tc>
          <w:tcPr>
            <w:tcW w:w="3777" w:type="dxa"/>
            <w:vAlign w:val="center"/>
          </w:tcPr>
          <w:p w14:paraId="63BBF4BC">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lang w:eastAsia="zh-CN"/>
              </w:rPr>
              <w:t xml:space="preserve">首次申报项目             </w:t>
            </w:r>
          </w:p>
          <w:p w14:paraId="5FE45CFA">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不予批准后再次申报项目</w:t>
            </w:r>
          </w:p>
          <w:p w14:paraId="1E9D4711">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 xml:space="preserve">超五年重新审核项目     </w:t>
            </w:r>
          </w:p>
          <w:p w14:paraId="688E7548">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重大变动重新报批项目</w:t>
            </w:r>
          </w:p>
        </w:tc>
      </w:tr>
      <w:tr w14:paraId="5C6E9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2511687C">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项目审批（核准/</w:t>
            </w:r>
          </w:p>
          <w:p w14:paraId="041C1D8E">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备案）部门（选填）</w:t>
            </w:r>
          </w:p>
        </w:tc>
        <w:tc>
          <w:tcPr>
            <w:tcW w:w="2309" w:type="dxa"/>
            <w:vAlign w:val="center"/>
          </w:tcPr>
          <w:p w14:paraId="7E8DF75A">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hint="eastAsia" w:ascii="Times New Roman" w:hAnsi="Times New Roman" w:eastAsia="宋体" w:cs="Times New Roman"/>
                <w:color w:val="auto"/>
                <w:sz w:val="24"/>
                <w:szCs w:val="24"/>
                <w:lang w:eastAsia="zh-CN"/>
              </w:rPr>
              <w:t>宿州市埇桥区工业和信息化局</w:t>
            </w:r>
          </w:p>
        </w:tc>
        <w:tc>
          <w:tcPr>
            <w:tcW w:w="2634" w:type="dxa"/>
            <w:vAlign w:val="center"/>
          </w:tcPr>
          <w:p w14:paraId="3B7B2B11">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项目审批（核准/</w:t>
            </w:r>
          </w:p>
          <w:p w14:paraId="526F99AE">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备案）文号（选填）</w:t>
            </w:r>
          </w:p>
        </w:tc>
        <w:tc>
          <w:tcPr>
            <w:tcW w:w="3777" w:type="dxa"/>
            <w:vAlign w:val="center"/>
          </w:tcPr>
          <w:p w14:paraId="3B743C6D">
            <w:pPr>
              <w:keepNext w:val="0"/>
              <w:keepLines w:val="0"/>
              <w:pageBreakBefore w:val="0"/>
              <w:widowControl/>
              <w:kinsoku/>
              <w:wordWrap/>
              <w:overflowPunct/>
              <w:topLinePunct w:val="0"/>
              <w:bidi w:val="0"/>
              <w:adjustRightInd/>
              <w:snapToGrid/>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14:paraId="49B1F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1B8286F4">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总投资（万元）</w:t>
            </w:r>
          </w:p>
        </w:tc>
        <w:tc>
          <w:tcPr>
            <w:tcW w:w="2309" w:type="dxa"/>
            <w:vAlign w:val="center"/>
          </w:tcPr>
          <w:p w14:paraId="25A1FC15">
            <w:pPr>
              <w:keepNext w:val="0"/>
              <w:keepLines w:val="0"/>
              <w:pageBreakBefore w:val="0"/>
              <w:widowControl/>
              <w:kinsoku/>
              <w:wordWrap/>
              <w:overflowPunct/>
              <w:bidi w:val="0"/>
              <w:adjustRightInd w:val="0"/>
              <w:snapToGrid w:val="0"/>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5700</w:t>
            </w:r>
          </w:p>
        </w:tc>
        <w:tc>
          <w:tcPr>
            <w:tcW w:w="2634" w:type="dxa"/>
            <w:tcMar>
              <w:top w:w="16" w:type="dxa"/>
              <w:left w:w="16" w:type="dxa"/>
              <w:right w:w="16" w:type="dxa"/>
            </w:tcMar>
            <w:vAlign w:val="center"/>
          </w:tcPr>
          <w:p w14:paraId="1DE6C572">
            <w:pPr>
              <w:keepNext w:val="0"/>
              <w:keepLines w:val="0"/>
              <w:pageBreakBefore w:val="0"/>
              <w:widowControl/>
              <w:kinsoku/>
              <w:wordWrap/>
              <w:overflowPunct/>
              <w:bidi w:val="0"/>
              <w:adjustRightInd w:val="0"/>
              <w:snapToGrid w:val="0"/>
              <w:spacing w:line="276"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14:paraId="5802F40D">
            <w:pPr>
              <w:keepNext w:val="0"/>
              <w:keepLines w:val="0"/>
              <w:pageBreakBefore w:val="0"/>
              <w:widowControl/>
              <w:kinsoku/>
              <w:wordWrap/>
              <w:overflowPunct/>
              <w:bidi w:val="0"/>
              <w:adjustRightInd w:val="0"/>
              <w:snapToGrid w:val="0"/>
              <w:spacing w:line="276" w:lineRule="auto"/>
              <w:jc w:val="center"/>
              <w:rPr>
                <w:rFonts w:ascii="Times New Roman" w:hAnsi="Times New Roman" w:eastAsia="宋体" w:cs="Times New Roman"/>
                <w:sz w:val="24"/>
                <w:szCs w:val="24"/>
              </w:rPr>
            </w:pPr>
            <w:r>
              <w:rPr>
                <w:rFonts w:hint="default" w:ascii="Times New Roman" w:hAnsi="Times New Roman" w:eastAsia="宋体" w:cs="Times New Roman"/>
                <w:color w:val="auto"/>
                <w:sz w:val="24"/>
                <w:szCs w:val="24"/>
              </w:rPr>
              <w:t>（万元）</w:t>
            </w:r>
          </w:p>
        </w:tc>
        <w:tc>
          <w:tcPr>
            <w:tcW w:w="3777" w:type="dxa"/>
            <w:vAlign w:val="center"/>
          </w:tcPr>
          <w:p w14:paraId="6B108F3E">
            <w:pPr>
              <w:keepNext w:val="0"/>
              <w:keepLines w:val="0"/>
              <w:pageBreakBefore w:val="0"/>
              <w:widowControl/>
              <w:kinsoku/>
              <w:wordWrap/>
              <w:overflowPunct/>
              <w:bidi w:val="0"/>
              <w:adjustRightInd w:val="0"/>
              <w:snapToGrid w:val="0"/>
              <w:spacing w:line="276"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lang w:val="en-US" w:eastAsia="zh-CN"/>
              </w:rPr>
              <w:t>160</w:t>
            </w:r>
          </w:p>
        </w:tc>
      </w:tr>
      <w:tr w14:paraId="57227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2B803265">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环保投资占比（%）</w:t>
            </w:r>
          </w:p>
        </w:tc>
        <w:tc>
          <w:tcPr>
            <w:tcW w:w="2309" w:type="dxa"/>
            <w:vAlign w:val="center"/>
          </w:tcPr>
          <w:p w14:paraId="3AF3B8F1">
            <w:pPr>
              <w:keepNext w:val="0"/>
              <w:keepLines w:val="0"/>
              <w:pageBreakBefore w:val="0"/>
              <w:widowControl/>
              <w:kinsoku/>
              <w:wordWrap/>
              <w:overflowPunct/>
              <w:bidi w:val="0"/>
              <w:adjustRightInd w:val="0"/>
              <w:snapToGrid w:val="0"/>
              <w:spacing w:line="276"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2.8</w:t>
            </w:r>
          </w:p>
        </w:tc>
        <w:tc>
          <w:tcPr>
            <w:tcW w:w="2634" w:type="dxa"/>
            <w:tcMar>
              <w:top w:w="16" w:type="dxa"/>
              <w:left w:w="16" w:type="dxa"/>
              <w:right w:w="16" w:type="dxa"/>
            </w:tcMar>
            <w:vAlign w:val="center"/>
          </w:tcPr>
          <w:p w14:paraId="33E6333A">
            <w:pPr>
              <w:keepNext w:val="0"/>
              <w:keepLines w:val="0"/>
              <w:pageBreakBefore w:val="0"/>
              <w:widowControl/>
              <w:kinsoku/>
              <w:wordWrap/>
              <w:overflowPunct/>
              <w:bidi w:val="0"/>
              <w:adjustRightInd w:val="0"/>
              <w:snapToGrid w:val="0"/>
              <w:spacing w:line="276" w:lineRule="auto"/>
              <w:jc w:val="center"/>
              <w:rPr>
                <w:rFonts w:ascii="Times New Roman" w:hAnsi="Times New Roman" w:eastAsia="宋体" w:cs="Times New Roman"/>
                <w:sz w:val="24"/>
                <w:szCs w:val="24"/>
              </w:rPr>
            </w:pPr>
            <w:r>
              <w:rPr>
                <w:rFonts w:hint="default" w:ascii="Times New Roman" w:hAnsi="Times New Roman" w:eastAsia="宋体" w:cs="Times New Roman"/>
                <w:color w:val="auto"/>
                <w:sz w:val="24"/>
                <w:szCs w:val="24"/>
              </w:rPr>
              <w:t>施工工期</w:t>
            </w:r>
          </w:p>
        </w:tc>
        <w:tc>
          <w:tcPr>
            <w:tcW w:w="3777" w:type="dxa"/>
            <w:vAlign w:val="center"/>
          </w:tcPr>
          <w:p w14:paraId="4E3FB149">
            <w:pPr>
              <w:keepNext w:val="0"/>
              <w:keepLines w:val="0"/>
              <w:pageBreakBefore w:val="0"/>
              <w:widowControl/>
              <w:kinsoku/>
              <w:wordWrap/>
              <w:overflowPunct/>
              <w:bidi w:val="0"/>
              <w:adjustRightInd w:val="0"/>
              <w:snapToGrid w:val="0"/>
              <w:spacing w:line="276" w:lineRule="auto"/>
              <w:jc w:val="center"/>
              <w:rPr>
                <w:rFonts w:ascii="Times New Roman" w:hAnsi="Times New Roman" w:eastAsia="宋体" w:cs="Times New Roman"/>
                <w:sz w:val="24"/>
                <w:szCs w:val="24"/>
              </w:rPr>
            </w:pPr>
            <w:r>
              <w:rPr>
                <w:rFonts w:hint="default" w:ascii="Times New Roman" w:hAnsi="Times New Roman" w:eastAsia="宋体" w:cs="Times New Roman"/>
                <w:color w:val="auto"/>
                <w:sz w:val="24"/>
                <w:szCs w:val="24"/>
              </w:rPr>
              <w:t>3个月</w:t>
            </w:r>
          </w:p>
        </w:tc>
      </w:tr>
      <w:tr w14:paraId="19549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52" w:type="dxa"/>
            <w:gridSpan w:val="2"/>
            <w:tcMar>
              <w:top w:w="16" w:type="dxa"/>
              <w:left w:w="16" w:type="dxa"/>
              <w:right w:w="16" w:type="dxa"/>
            </w:tcMar>
            <w:vAlign w:val="center"/>
          </w:tcPr>
          <w:p w14:paraId="3BC543B2">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是否开工建设</w:t>
            </w:r>
          </w:p>
        </w:tc>
        <w:tc>
          <w:tcPr>
            <w:tcW w:w="2309" w:type="dxa"/>
            <w:vAlign w:val="center"/>
          </w:tcPr>
          <w:p w14:paraId="307823D7">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否</w:t>
            </w:r>
          </w:p>
          <w:p w14:paraId="1A75809F">
            <w:pPr>
              <w:keepNext w:val="0"/>
              <w:keepLines w:val="0"/>
              <w:pageBreakBefore w:val="0"/>
              <w:widowControl/>
              <w:kinsoku/>
              <w:wordWrap/>
              <w:overflowPunct/>
              <w:topLinePunct w:val="0"/>
              <w:bidi w:val="0"/>
              <w:adjustRightInd/>
              <w:snapToGrid/>
              <w:rPr>
                <w:rFonts w:ascii="Times New Roman" w:hAnsi="Times New Roman" w:eastAsia="宋体" w:cs="Times New Roman"/>
                <w:sz w:val="24"/>
                <w:szCs w:val="24"/>
                <w:lang w:eastAsia="zh-CN"/>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是：</w:t>
            </w:r>
            <w:r>
              <w:rPr>
                <w:rFonts w:ascii="Times New Roman" w:hAnsi="Times New Roman" w:eastAsia="宋体" w:cs="Times New Roman"/>
                <w:sz w:val="24"/>
                <w:szCs w:val="24"/>
                <w:u w:val="single"/>
              </w:rPr>
              <w:t xml:space="preserve">             </w:t>
            </w:r>
          </w:p>
        </w:tc>
        <w:tc>
          <w:tcPr>
            <w:tcW w:w="2634" w:type="dxa"/>
            <w:tcMar>
              <w:top w:w="16" w:type="dxa"/>
              <w:left w:w="16" w:type="dxa"/>
              <w:right w:w="16" w:type="dxa"/>
            </w:tcMar>
            <w:vAlign w:val="center"/>
          </w:tcPr>
          <w:p w14:paraId="0F0F8D0D">
            <w:pPr>
              <w:keepNext w:val="0"/>
              <w:keepLines w:val="0"/>
              <w:pageBreakBefore w:val="0"/>
              <w:widowControl/>
              <w:kinsoku/>
              <w:wordWrap/>
              <w:overflowPunct/>
              <w:topLinePunct w:val="0"/>
              <w:bidi w:val="0"/>
              <w:adjustRightInd/>
              <w:snapToGrid/>
              <w:jc w:val="center"/>
              <w:rPr>
                <w:rFonts w:ascii="Times New Roman" w:hAnsi="Times New Roman" w:eastAsia="宋体" w:cs="Times New Roman"/>
                <w:spacing w:val="-6"/>
                <w:sz w:val="24"/>
                <w:szCs w:val="24"/>
                <w:lang w:eastAsia="zh-CN"/>
              </w:rPr>
            </w:pPr>
            <w:r>
              <w:rPr>
                <w:rFonts w:ascii="Times New Roman" w:hAnsi="Times New Roman" w:eastAsia="宋体" w:cs="Times New Roman"/>
                <w:spacing w:val="-6"/>
                <w:sz w:val="24"/>
                <w:szCs w:val="24"/>
                <w:lang w:eastAsia="zh-CN"/>
              </w:rPr>
              <w:t>用地（用海）</w:t>
            </w:r>
          </w:p>
          <w:p w14:paraId="3C9768F2">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lang w:eastAsia="zh-CN"/>
              </w:rPr>
            </w:pPr>
            <w:r>
              <w:rPr>
                <w:rFonts w:ascii="Times New Roman" w:hAnsi="Times New Roman" w:eastAsia="宋体" w:cs="Times New Roman"/>
                <w:spacing w:val="-6"/>
                <w:sz w:val="24"/>
                <w:szCs w:val="24"/>
                <w:lang w:eastAsia="zh-CN"/>
              </w:rPr>
              <w:t>面积（m</w:t>
            </w:r>
            <w:r>
              <w:rPr>
                <w:rFonts w:ascii="Times New Roman" w:hAnsi="Times New Roman" w:eastAsia="宋体" w:cs="Times New Roman"/>
                <w:spacing w:val="-6"/>
                <w:sz w:val="24"/>
                <w:szCs w:val="24"/>
                <w:vertAlign w:val="superscript"/>
                <w:lang w:eastAsia="zh-CN"/>
              </w:rPr>
              <w:t>2</w:t>
            </w:r>
            <w:r>
              <w:rPr>
                <w:rFonts w:ascii="Times New Roman" w:hAnsi="Times New Roman" w:eastAsia="宋体" w:cs="Times New Roman"/>
                <w:spacing w:val="-6"/>
                <w:sz w:val="24"/>
                <w:szCs w:val="24"/>
                <w:lang w:eastAsia="zh-CN"/>
              </w:rPr>
              <w:t>）</w:t>
            </w:r>
          </w:p>
        </w:tc>
        <w:tc>
          <w:tcPr>
            <w:tcW w:w="3777" w:type="dxa"/>
            <w:vAlign w:val="center"/>
          </w:tcPr>
          <w:p w14:paraId="511FDCC7">
            <w:pPr>
              <w:keepNext w:val="0"/>
              <w:keepLines w:val="0"/>
              <w:pageBreakBefore w:val="0"/>
              <w:widowControl/>
              <w:kinsoku/>
              <w:wordWrap/>
              <w:overflowPunct/>
              <w:topLinePunct w:val="0"/>
              <w:bidi w:val="0"/>
              <w:adjustRightInd/>
              <w:snapToGrid/>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 w:val="24"/>
                <w:szCs w:val="24"/>
                <w:lang w:val="en-US" w:eastAsia="zh-CN"/>
              </w:rPr>
              <w:t>2200</w:t>
            </w:r>
          </w:p>
        </w:tc>
      </w:tr>
      <w:tr w14:paraId="4A22C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6" w:type="dxa"/>
            <w:vAlign w:val="center"/>
          </w:tcPr>
          <w:p w14:paraId="2AF607FB">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专项评价设置情况</w:t>
            </w:r>
          </w:p>
        </w:tc>
        <w:tc>
          <w:tcPr>
            <w:tcW w:w="8976" w:type="dxa"/>
            <w:gridSpan w:val="4"/>
            <w:vAlign w:val="center"/>
          </w:tcPr>
          <w:p w14:paraId="1E3D2634">
            <w:pPr>
              <w:keepNext w:val="0"/>
              <w:keepLines w:val="0"/>
              <w:pageBreakBefore w:val="0"/>
              <w:widowControl/>
              <w:kinsoku/>
              <w:wordWrap/>
              <w:overflowPunct/>
              <w:topLinePunct w:val="0"/>
              <w:bidi w:val="0"/>
              <w:adjustRightInd/>
              <w:snapToGrid/>
              <w:jc w:val="center"/>
              <w:rPr>
                <w:rFonts w:ascii="Times New Roman" w:hAnsi="Times New Roman" w:eastAsia="宋体" w:cs="Times New Roman"/>
                <w:sz w:val="24"/>
                <w:szCs w:val="24"/>
              </w:rPr>
            </w:pPr>
            <w:r>
              <w:rPr>
                <w:rFonts w:ascii="Times New Roman" w:hAnsi="Times New Roman" w:eastAsia="宋体" w:cs="Times New Roman"/>
                <w:sz w:val="24"/>
                <w:szCs w:val="24"/>
              </w:rPr>
              <w:t>无</w:t>
            </w:r>
          </w:p>
        </w:tc>
      </w:tr>
      <w:tr w14:paraId="4AEE5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6" w:type="dxa"/>
            <w:vAlign w:val="center"/>
          </w:tcPr>
          <w:p w14:paraId="620A16AE">
            <w:pPr>
              <w:keepNext w:val="0"/>
              <w:keepLines w:val="0"/>
              <w:pageBreakBefore w:val="0"/>
              <w:widowControl/>
              <w:kinsoku/>
              <w:wordWrap/>
              <w:overflowPunct/>
              <w:topLinePunct w:val="0"/>
              <w:bidi w:val="0"/>
              <w:adjustRightInd/>
              <w:snapToGrid/>
              <w:spacing w:line="360" w:lineRule="auto"/>
              <w:jc w:val="center"/>
              <w:rPr>
                <w:rFonts w:ascii="Times New Roman" w:hAnsi="Times New Roman" w:eastAsia="宋体" w:cs="Times New Roman"/>
              </w:rPr>
            </w:pPr>
            <w:r>
              <w:rPr>
                <w:rFonts w:ascii="Times New Roman" w:hAnsi="Times New Roman" w:eastAsia="宋体" w:cs="Times New Roman"/>
                <w:sz w:val="24"/>
                <w:szCs w:val="24"/>
              </w:rPr>
              <w:t>规划情况</w:t>
            </w:r>
          </w:p>
        </w:tc>
        <w:tc>
          <w:tcPr>
            <w:tcW w:w="8976" w:type="dxa"/>
            <w:gridSpan w:val="4"/>
            <w:vAlign w:val="center"/>
          </w:tcPr>
          <w:p w14:paraId="6E1F4A4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rPr>
              <w:t>规划名称：《</w:t>
            </w:r>
            <w:r>
              <w:rPr>
                <w:rFonts w:hint="default" w:ascii="Times New Roman" w:hAnsi="Times New Roman" w:eastAsia="宋体" w:cs="Times New Roman"/>
                <w:b w:val="0"/>
                <w:bCs w:val="0"/>
                <w:color w:val="auto"/>
                <w:sz w:val="24"/>
                <w:szCs w:val="24"/>
              </w:rPr>
              <w:t>安徽宿州高新技术产业开发区总体发展规划（2023-2035年）</w:t>
            </w:r>
            <w:r>
              <w:rPr>
                <w:rFonts w:hint="default" w:ascii="Times New Roman" w:hAnsi="Times New Roman" w:eastAsia="宋体" w:cs="Times New Roman"/>
                <w:color w:val="auto"/>
                <w:sz w:val="24"/>
                <w:szCs w:val="24"/>
              </w:rPr>
              <w:t>》</w:t>
            </w:r>
          </w:p>
        </w:tc>
      </w:tr>
      <w:tr w14:paraId="01586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6" w:type="dxa"/>
            <w:vAlign w:val="center"/>
          </w:tcPr>
          <w:p w14:paraId="3345F90A">
            <w:pPr>
              <w:keepNext w:val="0"/>
              <w:keepLines w:val="0"/>
              <w:pageBreakBefore w:val="0"/>
              <w:widowControl/>
              <w:kinsoku/>
              <w:wordWrap/>
              <w:overflowPunct/>
              <w:topLinePunct w:val="0"/>
              <w:bidi w:val="0"/>
              <w:adjustRightInd/>
              <w:snapToGrid/>
              <w:spacing w:line="360" w:lineRule="auto"/>
              <w:jc w:val="center"/>
              <w:rPr>
                <w:rFonts w:ascii="Times New Roman" w:hAnsi="Times New Roman" w:eastAsia="宋体" w:cs="Times New Roman"/>
                <w:lang w:eastAsia="zh-CN"/>
              </w:rPr>
            </w:pPr>
            <w:r>
              <w:rPr>
                <w:rFonts w:ascii="Times New Roman" w:hAnsi="Times New Roman" w:eastAsia="宋体" w:cs="Times New Roman"/>
                <w:sz w:val="24"/>
                <w:szCs w:val="24"/>
                <w:lang w:eastAsia="zh-CN"/>
              </w:rPr>
              <w:t>规划环境影响评价情况</w:t>
            </w:r>
          </w:p>
        </w:tc>
        <w:tc>
          <w:tcPr>
            <w:tcW w:w="8976" w:type="dxa"/>
            <w:gridSpan w:val="4"/>
            <w:vAlign w:val="center"/>
          </w:tcPr>
          <w:p w14:paraId="59A202F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规划环境影响评价文件名称：《安徽宿州高新技术产业开发区总体发展规划环境影响报告书》（2023-2035年）</w:t>
            </w:r>
          </w:p>
          <w:p w14:paraId="0540D62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召集审查机关：宿州市生态环境局</w:t>
            </w:r>
          </w:p>
          <w:p w14:paraId="0A78F2D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rPr>
              <w:t>审批文件名称及文号：《安徽宿州高新技术产业开发区总体发展规划（2023-2035年）环境影响报告书审查意见的函》，宿环函[2024]57号</w:t>
            </w:r>
          </w:p>
        </w:tc>
      </w:tr>
      <w:tr w14:paraId="33721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6" w:type="dxa"/>
            <w:vAlign w:val="center"/>
          </w:tcPr>
          <w:p w14:paraId="2DBA02B0">
            <w:pPr>
              <w:keepNext w:val="0"/>
              <w:keepLines w:val="0"/>
              <w:pageBreakBefore w:val="0"/>
              <w:widowControl/>
              <w:kinsoku/>
              <w:wordWrap/>
              <w:overflowPunct/>
              <w:topLinePunct w:val="0"/>
              <w:bidi w:val="0"/>
              <w:adjustRightInd/>
              <w:snapToGrid/>
              <w:spacing w:line="360" w:lineRule="auto"/>
              <w:jc w:val="center"/>
              <w:rPr>
                <w:sz w:val="24"/>
                <w:lang w:eastAsia="zh-CN"/>
              </w:rPr>
            </w:pPr>
            <w:r>
              <w:rPr>
                <w:rFonts w:hint="eastAsia" w:ascii="宋体" w:hAnsi="宋体" w:eastAsia="宋体" w:cs="宋体"/>
                <w:sz w:val="24"/>
                <w:szCs w:val="24"/>
                <w:lang w:eastAsia="zh-CN"/>
              </w:rPr>
              <w:t>规划及规划环境影响评价符合性分析</w:t>
            </w:r>
          </w:p>
        </w:tc>
        <w:tc>
          <w:tcPr>
            <w:tcW w:w="8976" w:type="dxa"/>
            <w:gridSpan w:val="4"/>
            <w:vAlign w:val="top"/>
          </w:tcPr>
          <w:p w14:paraId="4D723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rPr>
            </w:pPr>
            <w:r>
              <w:rPr>
                <w:rFonts w:hint="default" w:ascii="Times New Roman" w:hAnsi="Times New Roman" w:cs="Times New Roman"/>
                <w:b/>
                <w:bCs/>
                <w:sz w:val="24"/>
              </w:rPr>
              <w:t>1、规划符合性分析</w:t>
            </w:r>
          </w:p>
          <w:p w14:paraId="04758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w:t>
            </w:r>
            <w:r>
              <w:rPr>
                <w:rFonts w:hint="default" w:ascii="Times New Roman" w:hAnsi="Times New Roman" w:eastAsia="宋体" w:cs="Times New Roman"/>
                <w:color w:val="auto"/>
                <w:sz w:val="24"/>
              </w:rPr>
              <w:t>《安徽宿州高新技术产业开发区总体发展规划环境影响报告书》（2023-2035 年）</w:t>
            </w:r>
            <w:r>
              <w:rPr>
                <w:rFonts w:hint="eastAsia" w:ascii="Times New Roman" w:hAnsi="Times New Roman" w:eastAsia="宋体" w:cs="Times New Roman"/>
                <w:color w:val="auto"/>
                <w:sz w:val="24"/>
                <w:lang w:val="en-US" w:eastAsia="zh-CN"/>
              </w:rPr>
              <w:t>安徽宿州高新技术产业开发区总面积1762.6982公顷，按照一区两园布置，包括新园区片区和埇桥经开区片区。</w:t>
            </w:r>
          </w:p>
          <w:p w14:paraId="78B2C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高新园区片区位于宿州市西北方向的汴北新区，规划面积为 668.2637公顷，四至范围为：东至汇源大道，南至唐河路，西至京台高速，北至泗许高速。 </w:t>
            </w:r>
          </w:p>
          <w:p w14:paraId="7F5A7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埇桥经开区片区位于埇桥区曹村镇，毗邻徐州市，以吸引徐州企业投资为主，规划面积1094.4345公顷，四至范围为：北至市界，南至望洲河，西至S407省道，东至迎宾大道。</w:t>
            </w:r>
          </w:p>
          <w:p w14:paraId="5B4FA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本项目位于安徽省宿州市宿州徐州现代产业园区埇桥园G206国道与雁山路交叉口（金鸽面粉厂院内）</w:t>
            </w:r>
            <w:r>
              <w:rPr>
                <w:rFonts w:hint="eastAsia" w:ascii="Times New Roman" w:hAnsi="Times New Roman" w:eastAsia="宋体" w:cs="Times New Roman"/>
                <w:color w:val="auto"/>
                <w:sz w:val="24"/>
                <w:lang w:val="en-US" w:eastAsia="zh-CN"/>
              </w:rPr>
              <w:t>位于</w:t>
            </w:r>
            <w:r>
              <w:rPr>
                <w:rFonts w:hint="default" w:ascii="Times New Roman" w:hAnsi="Times New Roman" w:eastAsia="宋体" w:cs="Times New Roman"/>
                <w:color w:val="auto"/>
                <w:sz w:val="24"/>
                <w:lang w:val="en-US" w:eastAsia="zh-CN"/>
              </w:rPr>
              <w:t>埇桥经开区片区</w:t>
            </w:r>
            <w:r>
              <w:rPr>
                <w:rFonts w:hint="eastAsia" w:ascii="Times New Roman" w:hAnsi="Times New Roman" w:eastAsia="宋体" w:cs="Times New Roman"/>
                <w:color w:val="auto"/>
                <w:sz w:val="24"/>
                <w:lang w:val="en-US" w:eastAsia="zh-CN"/>
              </w:rPr>
              <w:t>。</w:t>
            </w:r>
          </w:p>
          <w:p w14:paraId="212E4819">
            <w:pPr>
              <w:keepNext w:val="0"/>
              <w:keepLines w:val="0"/>
              <w:pageBreakBefore w:val="0"/>
              <w:widowControl/>
              <w:kinsoku/>
              <w:wordWrap/>
              <w:overflow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根据《安徽宿州高新技术产业开发区总体发展规划环境影响报告书》（2023-2035 年），埇桥经开区片区主导产业发展方向为：专用设备制造业。埇桥经开区片区发挥毗邻徐州的区位优势，以徐州为重点对接服务方向，加强与徐州经开区和上海临港产业区、张家港经开区、国家火炬昆山高端装备制造产业基地等重点载体的战略合作，重点承接以起重机械，大吨位装载机、挖掘机械、混凝土机械、路面机械、桩工机械、环卫机械等工程机械，以及矿山机械、电气设备、环保设备项目。依托陆盾机械、运杰机械、鼎晴机械等骨干企业，进一步做大做强挖掘、起重、压实、混凝土、装载机等工程机械高端装备配套件。加快机械制造业转型升级，重点发展大型机械设备、矿山机械、环保处理设备，打造与徐州协调发展的工程机械装备制造产业基地。</w:t>
            </w:r>
          </w:p>
          <w:p w14:paraId="68406F34">
            <w:pPr>
              <w:keepNext w:val="0"/>
              <w:keepLines w:val="0"/>
              <w:pageBreakBefore w:val="0"/>
              <w:widowControl/>
              <w:kinsoku/>
              <w:wordWrap/>
              <w:overflow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rPr>
            </w:pPr>
            <w:bookmarkStart w:id="1" w:name="OLE_LINK33"/>
            <w:r>
              <w:rPr>
                <w:rFonts w:hint="default" w:ascii="Times New Roman" w:hAnsi="Times New Roman" w:eastAsia="宋体" w:cs="Times New Roman"/>
                <w:color w:val="auto"/>
                <w:sz w:val="24"/>
              </w:rPr>
              <w:t>本项目属于C3311 金属结构制造，主要为工程机械做配套结构件，可以为园区的矿山机械产业产业提供配套服务，则可视为允许入区项目</w:t>
            </w:r>
            <w:bookmarkEnd w:id="1"/>
            <w:r>
              <w:rPr>
                <w:rFonts w:hint="default" w:ascii="Times New Roman" w:hAnsi="Times New Roman" w:eastAsia="宋体" w:cs="Times New Roman"/>
                <w:color w:val="auto"/>
                <w:sz w:val="24"/>
              </w:rPr>
              <w:t>。</w:t>
            </w:r>
          </w:p>
          <w:p w14:paraId="33E52E26">
            <w:pPr>
              <w:keepNext w:val="0"/>
              <w:keepLines w:val="0"/>
              <w:pageBreakBefore w:val="0"/>
              <w:widowControl/>
              <w:kinsoku/>
              <w:wordWrap/>
              <w:overflowPunct/>
              <w:autoSpaceDE w:val="0"/>
              <w:autoSpaceDN w:val="0"/>
              <w:bidi w:val="0"/>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32"/>
              </w:rPr>
              <w:t>2、</w:t>
            </w:r>
            <w:r>
              <w:rPr>
                <w:rFonts w:hint="default" w:ascii="Times New Roman" w:hAnsi="Times New Roman" w:eastAsia="宋体" w:cs="Times New Roman"/>
                <w:b/>
                <w:bCs/>
                <w:color w:val="auto"/>
                <w:sz w:val="24"/>
              </w:rPr>
              <w:t>与《安徽宿州高新技术产业开发区总体发展规划（2023-2035 年）环境影响报告书审查意见的函》，宿环函[2024]57号的相符性分析</w:t>
            </w:r>
          </w:p>
          <w:p w14:paraId="7986C5FE">
            <w:pPr>
              <w:keepNext w:val="0"/>
              <w:keepLines w:val="0"/>
              <w:pageBreakBefore w:val="0"/>
              <w:widowControl/>
              <w:tabs>
                <w:tab w:val="left" w:pos="0"/>
              </w:tabs>
              <w:kinsoku/>
              <w:wordWrap/>
              <w:overflowPunct/>
              <w:bidi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与规划环评审查意见的相符性分析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4"/>
              <w:gridCol w:w="2813"/>
              <w:gridCol w:w="780"/>
            </w:tblGrid>
            <w:tr w14:paraId="75F1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19AD586E">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相关要求</w:t>
                  </w:r>
                </w:p>
              </w:tc>
              <w:tc>
                <w:tcPr>
                  <w:tcW w:w="1608" w:type="pct"/>
                  <w:vAlign w:val="center"/>
                </w:tcPr>
                <w:p w14:paraId="3D8A6611">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本项目情况</w:t>
                  </w:r>
                </w:p>
              </w:tc>
              <w:tc>
                <w:tcPr>
                  <w:tcW w:w="446" w:type="pct"/>
                  <w:vAlign w:val="center"/>
                </w:tcPr>
                <w:p w14:paraId="271B8499">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符合性</w:t>
                  </w:r>
                </w:p>
              </w:tc>
            </w:tr>
            <w:tr w14:paraId="2EA2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654CCDEA">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加强《规划》引领，坚持绿色协调发展：开发区位于淮河流域、已入驻了部分化工企业，部分地块在城镇开发边界外，集中供热专项规划未实施，区域现状大气环境质量不达标，应坚持生态保护优先、高效集约发展，以生态环境质量改善、防范环境风险为核心，明确开发区存在的环境制约因素。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1608" w:type="pct"/>
                  <w:vAlign w:val="center"/>
                </w:tcPr>
                <w:p w14:paraId="5629679A">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本项目</w:t>
                  </w:r>
                  <w:r>
                    <w:rPr>
                      <w:rFonts w:hint="eastAsia" w:ascii="Times New Roman" w:hAnsi="Times New Roman" w:eastAsia="宋体" w:cs="Times New Roman"/>
                      <w:bCs/>
                      <w:color w:val="auto"/>
                      <w:kern w:val="0"/>
                      <w:lang w:val="en-US" w:eastAsia="zh-CN"/>
                    </w:rPr>
                    <w:t>原厂址位于雁山路与滨河路交叉口西150m宿州鑫隆机电设备有限公司院内，由于厂房租赁合同到期，房东不再续租，项目迁建</w:t>
                  </w:r>
                  <w:r>
                    <w:rPr>
                      <w:rFonts w:hint="default" w:ascii="Times New Roman" w:hAnsi="Times New Roman" w:eastAsia="宋体" w:cs="Times New Roman"/>
                      <w:bCs/>
                      <w:color w:val="auto"/>
                      <w:kern w:val="0"/>
                    </w:rPr>
                    <w:t>于安徽省宿州徐州现代产业园区埇桥园G206国道与雁山路交叉口金鸽面粉厂院内，本项目为搬迁项目，项目用地为工业用地；项目与周边企业相容。</w:t>
                  </w:r>
                </w:p>
              </w:tc>
              <w:tc>
                <w:tcPr>
                  <w:tcW w:w="446" w:type="pct"/>
                  <w:vAlign w:val="center"/>
                </w:tcPr>
                <w:p w14:paraId="54E17770">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符合</w:t>
                  </w:r>
                </w:p>
              </w:tc>
            </w:tr>
            <w:tr w14:paraId="1358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0779A1D4">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持续改善，区域生态环境问题得到妥善解决。</w:t>
                  </w:r>
                </w:p>
              </w:tc>
              <w:tc>
                <w:tcPr>
                  <w:tcW w:w="1608" w:type="pct"/>
                  <w:vAlign w:val="center"/>
                </w:tcPr>
                <w:p w14:paraId="48410F49">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color w:val="auto"/>
                    </w:rPr>
                    <w:t>本项目废气、废水经相应的污染治理设施处理后能够稳定达标排放</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废气废水均不会突破总量指标</w:t>
                  </w:r>
                  <w:r>
                    <w:rPr>
                      <w:rFonts w:hint="default" w:ascii="Times New Roman" w:hAnsi="Times New Roman" w:eastAsia="宋体" w:cs="Times New Roman"/>
                      <w:color w:val="auto"/>
                    </w:rPr>
                    <w:t>。</w:t>
                  </w:r>
                </w:p>
              </w:tc>
              <w:tc>
                <w:tcPr>
                  <w:tcW w:w="446" w:type="pct"/>
                  <w:vAlign w:val="center"/>
                </w:tcPr>
                <w:p w14:paraId="319BB69D">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符合</w:t>
                  </w:r>
                </w:p>
              </w:tc>
            </w:tr>
            <w:tr w14:paraId="1361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53EA55EF">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1608" w:type="pct"/>
                  <w:vAlign w:val="center"/>
                </w:tcPr>
                <w:p w14:paraId="5AF336D3">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eastAsia="zh-CN"/>
                    </w:rPr>
                    <w:t>安徽省宿州市宿州徐州现代产业园区埇桥园G206国道与雁山路交叉口（金鸽面粉厂院内）</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行业类别为C3311金属结构制造，</w:t>
                  </w:r>
                  <w:r>
                    <w:rPr>
                      <w:rFonts w:hint="default" w:ascii="Times New Roman" w:hAnsi="Times New Roman" w:eastAsia="宋体" w:cs="Times New Roman"/>
                      <w:color w:val="auto"/>
                    </w:rPr>
                    <w:t>项目用地为工业用地，</w:t>
                  </w:r>
                  <w:r>
                    <w:rPr>
                      <w:rFonts w:hint="eastAsia" w:ascii="Times New Roman" w:hAnsi="Times New Roman" w:eastAsia="宋体" w:cs="Times New Roman"/>
                      <w:color w:val="auto"/>
                      <w:lang w:val="en-US" w:eastAsia="zh-CN"/>
                    </w:rPr>
                    <w:t>行业准入及用地均</w:t>
                  </w:r>
                  <w:r>
                    <w:rPr>
                      <w:rFonts w:hint="default" w:ascii="Times New Roman" w:hAnsi="Times New Roman" w:eastAsia="宋体" w:cs="Times New Roman"/>
                      <w:color w:val="auto"/>
                    </w:rPr>
                    <w:t>符合《安徽宿州高新技术产业开发区总体发展规划（埇桥经开片区）（20</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3-2030年）》</w:t>
                  </w:r>
                </w:p>
              </w:tc>
              <w:tc>
                <w:tcPr>
                  <w:tcW w:w="446" w:type="pct"/>
                  <w:vAlign w:val="center"/>
                </w:tcPr>
                <w:p w14:paraId="0E066B9A">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color w:val="auto"/>
                    </w:rPr>
                    <w:t>符合</w:t>
                  </w:r>
                </w:p>
              </w:tc>
            </w:tr>
            <w:tr w14:paraId="3D9B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789DDA23">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完善环保基础设施建设，强化环境污染防控：根据主导产业、开发时序和开发强度，进一步优化区域供水、排水及中水回用等专项规划，明确开发区工业废水集中处理及配套管网和中水回用工程的建设规模和时序；优化供水结构，加快地表水厂建设；建议推进开发区集中供热相关工作；结合区域环境质量现状，细化污染防治基础设施建设和区域大气环境防护要求。</w:t>
                  </w:r>
                </w:p>
              </w:tc>
              <w:tc>
                <w:tcPr>
                  <w:tcW w:w="1608" w:type="pct"/>
                  <w:vAlign w:val="center"/>
                </w:tcPr>
                <w:p w14:paraId="5632EA86">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lang w:eastAsia="zh-CN"/>
                    </w:rPr>
                  </w:pPr>
                  <w:r>
                    <w:rPr>
                      <w:rFonts w:hint="default" w:ascii="Times New Roman" w:hAnsi="Times New Roman" w:eastAsia="宋体" w:cs="Times New Roman"/>
                      <w:bCs/>
                      <w:color w:val="auto"/>
                      <w:kern w:val="0"/>
                    </w:rPr>
                    <w:t>本项目生活污水经</w:t>
                  </w:r>
                  <w:r>
                    <w:rPr>
                      <w:rFonts w:hint="default" w:ascii="Times New Roman" w:hAnsi="Times New Roman" w:eastAsia="宋体" w:cs="Times New Roman"/>
                      <w:bCs/>
                      <w:color w:val="auto"/>
                      <w:kern w:val="0"/>
                      <w:lang w:eastAsia="zh-CN"/>
                    </w:rPr>
                    <w:t>化粪池</w:t>
                  </w:r>
                  <w:r>
                    <w:rPr>
                      <w:rFonts w:hint="default" w:ascii="Times New Roman" w:hAnsi="Times New Roman" w:eastAsia="宋体" w:cs="Times New Roman"/>
                      <w:bCs/>
                      <w:color w:val="auto"/>
                      <w:kern w:val="0"/>
                    </w:rPr>
                    <w:t>处理后排入</w:t>
                  </w:r>
                  <w:r>
                    <w:rPr>
                      <w:rFonts w:hint="default" w:ascii="Times New Roman" w:hAnsi="Times New Roman" w:eastAsia="宋体" w:cs="Times New Roman"/>
                      <w:bCs/>
                      <w:color w:val="auto"/>
                      <w:kern w:val="0"/>
                      <w:lang w:eastAsia="zh-CN"/>
                    </w:rPr>
                    <w:t>宿州市曹村污水处理厂</w:t>
                  </w:r>
                  <w:r>
                    <w:rPr>
                      <w:rFonts w:hint="default" w:ascii="Times New Roman" w:hAnsi="Times New Roman" w:eastAsia="宋体" w:cs="Times New Roman"/>
                      <w:bCs/>
                      <w:color w:val="auto"/>
                      <w:kern w:val="0"/>
                    </w:rPr>
                    <w:t>，生产废水经厂区污水处理站处理后经污水管网排入</w:t>
                  </w:r>
                  <w:r>
                    <w:rPr>
                      <w:rFonts w:hint="default" w:ascii="Times New Roman" w:hAnsi="Times New Roman" w:eastAsia="宋体" w:cs="Times New Roman"/>
                      <w:bCs/>
                      <w:color w:val="auto"/>
                      <w:kern w:val="0"/>
                      <w:lang w:eastAsia="zh-CN"/>
                    </w:rPr>
                    <w:t>宿州市曹村污水处理厂</w:t>
                  </w:r>
                </w:p>
              </w:tc>
              <w:tc>
                <w:tcPr>
                  <w:tcW w:w="446" w:type="pct"/>
                  <w:vAlign w:val="center"/>
                </w:tcPr>
                <w:p w14:paraId="517B8BAD">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符合</w:t>
                  </w:r>
                </w:p>
              </w:tc>
            </w:tr>
            <w:tr w14:paraId="704E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02C61CCD">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1608" w:type="pct"/>
                  <w:vAlign w:val="center"/>
                </w:tcPr>
                <w:p w14:paraId="6B03220A">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本项目符合三线一单要求，且本项目不涉及淘汰、限制类的工艺与设备。</w:t>
                  </w:r>
                </w:p>
              </w:tc>
              <w:tc>
                <w:tcPr>
                  <w:tcW w:w="446" w:type="pct"/>
                  <w:vAlign w:val="center"/>
                </w:tcPr>
                <w:p w14:paraId="200380CA">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符合</w:t>
                  </w:r>
                </w:p>
              </w:tc>
            </w:tr>
            <w:tr w14:paraId="39A9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pct"/>
                  <w:vAlign w:val="center"/>
                </w:tcPr>
                <w:p w14:paraId="4321E712">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在规划实施过程中，适时开展规划环境影响的跟踪评价。结合规划环评和跟踪评价成果，同步更新“区域评估+环境标准”成果。</w:t>
                  </w:r>
                </w:p>
              </w:tc>
              <w:tc>
                <w:tcPr>
                  <w:tcW w:w="1608" w:type="pct"/>
                  <w:vAlign w:val="center"/>
                </w:tcPr>
                <w:p w14:paraId="78953091">
                  <w:pPr>
                    <w:keepNext w:val="0"/>
                    <w:keepLines w:val="0"/>
                    <w:pageBreakBefore w:val="0"/>
                    <w:widowControl/>
                    <w:kinsoku/>
                    <w:wordWrap/>
                    <w:overflowPunct/>
                    <w:autoSpaceDE w:val="0"/>
                    <w:autoSpaceDN w:val="0"/>
                    <w:bidi w:val="0"/>
                    <w:adjustRightInd w:val="0"/>
                    <w:snapToGrid w:val="0"/>
                    <w:spacing w:line="276" w:lineRule="auto"/>
                    <w:ind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本项目配备完善的消防措施，以及废气、废水治理设施，并且对废气、废水按环评及排污许可要求定期进行委托检测，以确保稳定达标排放</w:t>
                  </w:r>
                </w:p>
              </w:tc>
              <w:tc>
                <w:tcPr>
                  <w:tcW w:w="446" w:type="pct"/>
                  <w:vAlign w:val="center"/>
                </w:tcPr>
                <w:p w14:paraId="6B25852E">
                  <w:pPr>
                    <w:keepNext w:val="0"/>
                    <w:keepLines w:val="0"/>
                    <w:pageBreakBefore w:val="0"/>
                    <w:widowControl/>
                    <w:kinsoku/>
                    <w:wordWrap/>
                    <w:overflowPunct/>
                    <w:autoSpaceDE w:val="0"/>
                    <w:autoSpaceDN w:val="0"/>
                    <w:bidi w:val="0"/>
                    <w:adjustRightInd w:val="0"/>
                    <w:snapToGrid w:val="0"/>
                    <w:spacing w:line="276" w:lineRule="auto"/>
                    <w:ind w:left="-105" w:leftChars="-50" w:right="-105" w:rightChars="-50"/>
                    <w:jc w:val="center"/>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符合</w:t>
                  </w:r>
                </w:p>
              </w:tc>
            </w:tr>
          </w:tbl>
          <w:p w14:paraId="38ADE4ED">
            <w:pPr>
              <w:keepNext w:val="0"/>
              <w:keepLines w:val="0"/>
              <w:pageBreakBefore w:val="0"/>
              <w:widowControl/>
              <w:kinsoku/>
              <w:wordWrap/>
              <w:overflow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p>
        </w:tc>
      </w:tr>
      <w:tr w14:paraId="417FC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6" w:type="dxa"/>
            <w:vAlign w:val="center"/>
          </w:tcPr>
          <w:p w14:paraId="10412554">
            <w:pPr>
              <w:keepNext w:val="0"/>
              <w:keepLines w:val="0"/>
              <w:pageBreakBefore w:val="0"/>
              <w:widowControl/>
              <w:kinsoku/>
              <w:wordWrap/>
              <w:overflowPunct/>
              <w:topLinePunct w:val="0"/>
              <w:bidi w:val="0"/>
              <w:adjustRightInd/>
              <w:snapToGrid/>
              <w:spacing w:line="360" w:lineRule="auto"/>
              <w:jc w:val="center"/>
              <w:rPr>
                <w:sz w:val="24"/>
              </w:rPr>
            </w:pPr>
            <w:r>
              <w:rPr>
                <w:rFonts w:hint="eastAsia" w:ascii="宋体" w:hAnsi="宋体" w:eastAsia="宋体" w:cs="宋体"/>
                <w:sz w:val="24"/>
              </w:rPr>
              <w:t>其他符合性分析</w:t>
            </w:r>
          </w:p>
        </w:tc>
        <w:tc>
          <w:tcPr>
            <w:tcW w:w="8976" w:type="dxa"/>
            <w:gridSpan w:val="4"/>
            <w:vAlign w:val="center"/>
          </w:tcPr>
          <w:p w14:paraId="3B7C9C68">
            <w:pPr>
              <w:pStyle w:val="30"/>
              <w:keepNext w:val="0"/>
              <w:keepLines w:val="0"/>
              <w:pageBreakBefore w:val="0"/>
              <w:widowControl/>
              <w:kinsoku/>
              <w:wordWrap/>
              <w:overflowPunct/>
              <w:topLinePunct w:val="0"/>
              <w:autoSpaceDE w:val="0"/>
              <w:autoSpaceDN w:val="0"/>
              <w:bidi w:val="0"/>
              <w:adjustRightInd/>
              <w:snapToGrid/>
              <w:spacing w:line="360" w:lineRule="auto"/>
              <w:ind w:firstLine="0" w:firstLineChars="0"/>
              <w:textAlignment w:val="baseline"/>
              <w:rPr>
                <w:rFonts w:ascii="Times New Roman" w:hAnsi="Times New Roman" w:cs="Times New Roman"/>
                <w:b/>
                <w:bCs/>
                <w:color w:val="auto"/>
                <w:sz w:val="24"/>
                <w:szCs w:val="24"/>
                <w:lang w:eastAsia="zh-CN"/>
              </w:rPr>
            </w:pPr>
            <w:r>
              <w:rPr>
                <w:rFonts w:ascii="Times New Roman" w:hAnsi="Times New Roman" w:eastAsia="宋体" w:cs="Times New Roman"/>
                <w:b/>
                <w:bCs/>
                <w:color w:val="auto"/>
                <w:sz w:val="24"/>
                <w:szCs w:val="24"/>
                <w:lang w:eastAsia="zh-CN"/>
              </w:rPr>
              <w:t>1、产业政策符合性分析</w:t>
            </w:r>
          </w:p>
          <w:p w14:paraId="72F800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kern w:val="0"/>
                <w:sz w:val="24"/>
                <w:szCs w:val="24"/>
                <w:highlight w:val="none"/>
              </w:rPr>
              <w:t>根据《产业结构调整指导目录（2024年本）》可知，本项目不属于鼓励类、限制类及淘汰类产业项目，可视为允许类；</w:t>
            </w:r>
            <w:r>
              <w:rPr>
                <w:rFonts w:hint="default" w:ascii="Times New Roman" w:hAnsi="Times New Roman" w:eastAsia="宋体" w:cs="Times New Roman"/>
                <w:color w:val="auto"/>
                <w:sz w:val="24"/>
                <w:highlight w:val="none"/>
              </w:rPr>
              <w:t>本项目已于202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日经</w:t>
            </w:r>
            <w:r>
              <w:rPr>
                <w:rFonts w:hint="eastAsia" w:ascii="Times New Roman" w:hAnsi="Times New Roman" w:eastAsia="宋体" w:cs="Times New Roman"/>
                <w:color w:val="auto"/>
                <w:sz w:val="24"/>
                <w:highlight w:val="none"/>
                <w:lang w:eastAsia="zh-CN"/>
              </w:rPr>
              <w:t>宿州市埇桥区</w:t>
            </w:r>
            <w:r>
              <w:rPr>
                <w:rFonts w:hint="eastAsia" w:ascii="Times New Roman" w:hAnsi="Times New Roman" w:eastAsia="宋体" w:cs="Times New Roman"/>
                <w:color w:val="auto"/>
                <w:sz w:val="24"/>
                <w:highlight w:val="none"/>
                <w:lang w:val="en-US" w:eastAsia="zh-CN"/>
              </w:rPr>
              <w:t>工业和信息化局备案</w:t>
            </w:r>
            <w:r>
              <w:rPr>
                <w:rFonts w:hint="default" w:ascii="Times New Roman" w:hAnsi="Times New Roman" w:eastAsia="宋体" w:cs="Times New Roman"/>
                <w:color w:val="auto"/>
                <w:sz w:val="24"/>
                <w:highlight w:val="none"/>
              </w:rPr>
              <w:t>，项目代码</w:t>
            </w:r>
            <w:r>
              <w:rPr>
                <w:rFonts w:hint="eastAsia" w:ascii="Times New Roman" w:hAnsi="Times New Roman" w:eastAsia="宋体" w:cs="Times New Roman"/>
                <w:color w:val="auto"/>
                <w:sz w:val="24"/>
                <w:highlight w:val="none"/>
                <w:lang w:eastAsia="zh-CN"/>
              </w:rPr>
              <w:t>2511-341302-07-02-638102</w:t>
            </w:r>
            <w:r>
              <w:rPr>
                <w:rFonts w:hint="default" w:ascii="Times New Roman" w:hAnsi="Times New Roman" w:eastAsia="宋体" w:cs="Times New Roman"/>
                <w:color w:val="auto"/>
                <w:sz w:val="24"/>
                <w:highlight w:val="none"/>
              </w:rPr>
              <w:t>。</w:t>
            </w:r>
          </w:p>
          <w:p w14:paraId="27CCBF4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highlight w:val="none"/>
              </w:rPr>
            </w:pPr>
            <w:r>
              <w:rPr>
                <w:rFonts w:hint="default" w:ascii="Times New Roman" w:hAnsi="Times New Roman" w:eastAsia="宋体" w:cs="Times New Roman"/>
                <w:color w:val="auto"/>
                <w:sz w:val="24"/>
                <w:szCs w:val="24"/>
                <w:highlight w:val="none"/>
              </w:rPr>
              <w:t>因此，本项目符合国家和地方相关产业政策。</w:t>
            </w:r>
          </w:p>
          <w:p w14:paraId="66E20D40">
            <w:pPr>
              <w:pStyle w:val="20"/>
              <w:keepNext w:val="0"/>
              <w:keepLines w:val="0"/>
              <w:pageBreakBefore w:val="0"/>
              <w:widowControl/>
              <w:kinsoku/>
              <w:wordWrap/>
              <w:overflowPunct/>
              <w:topLinePunct w:val="0"/>
              <w:bidi w:val="0"/>
              <w:adjustRightInd/>
              <w:snapToGrid/>
              <w:spacing w:before="0" w:beforeAutospacing="0" w:after="0" w:afterAutospacing="0" w:line="360" w:lineRule="auto"/>
              <w:jc w:val="both"/>
              <w:rPr>
                <w:rFonts w:ascii="Times New Roman" w:hAnsi="Times New Roman" w:eastAsia="宋体" w:cs="Times New Roman"/>
                <w:b/>
                <w:color w:val="auto"/>
                <w:szCs w:val="24"/>
                <w:lang w:eastAsia="zh-CN"/>
              </w:rPr>
            </w:pPr>
            <w:r>
              <w:rPr>
                <w:rFonts w:ascii="Times New Roman" w:hAnsi="Times New Roman" w:eastAsia="宋体" w:cs="Times New Roman"/>
                <w:b/>
                <w:bCs/>
                <w:color w:val="auto"/>
                <w:kern w:val="2"/>
                <w:szCs w:val="24"/>
                <w:lang w:eastAsia="zh-CN" w:bidi="ar"/>
              </w:rPr>
              <w:t>2、</w:t>
            </w:r>
            <w:r>
              <w:rPr>
                <w:rFonts w:ascii="Times New Roman" w:hAnsi="Times New Roman" w:eastAsia="宋体" w:cs="Times New Roman"/>
                <w:b/>
                <w:color w:val="auto"/>
                <w:szCs w:val="24"/>
                <w:lang w:eastAsia="zh-CN"/>
              </w:rPr>
              <w:t>项目选址合理性及周边环境相容性分析</w:t>
            </w:r>
          </w:p>
          <w:p w14:paraId="6F13255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（1）用地符合性 </w:t>
            </w:r>
          </w:p>
          <w:p w14:paraId="7A442A45">
            <w:pPr>
              <w:keepNext w:val="0"/>
              <w:keepLines w:val="0"/>
              <w:pageBreakBefore w:val="0"/>
              <w:widowControl/>
              <w:kinsoku/>
              <w:wordWrap/>
              <w:overflowPunct/>
              <w:topLinePunct w:val="0"/>
              <w:bidi w:val="0"/>
              <w:adjustRightInd/>
              <w:snapToGrid/>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本项目位于</w:t>
            </w:r>
            <w:r>
              <w:rPr>
                <w:rFonts w:hint="default" w:ascii="Times New Roman" w:hAnsi="Times New Roman" w:eastAsia="宋体" w:cs="Times New Roman"/>
                <w:bCs/>
                <w:color w:val="auto"/>
                <w:kern w:val="0"/>
                <w:sz w:val="24"/>
                <w:szCs w:val="24"/>
              </w:rPr>
              <w:t>宿州徐州现代产</w:t>
            </w:r>
            <w:r>
              <w:rPr>
                <w:rFonts w:hint="default" w:ascii="Times New Roman" w:hAnsi="Times New Roman" w:eastAsia="宋体" w:cs="Times New Roman"/>
                <w:bCs/>
                <w:color w:val="auto"/>
                <w:kern w:val="0"/>
                <w:sz w:val="24"/>
                <w:szCs w:val="24"/>
                <w:highlight w:val="none"/>
              </w:rPr>
              <w:t>业园区埇桥园G206国道与雁山路交叉口（金鸽面粉厂院内）</w:t>
            </w:r>
            <w:r>
              <w:rPr>
                <w:rFonts w:hint="default" w:ascii="Times New Roman" w:hAnsi="Times New Roman" w:cs="Times New Roman"/>
                <w:sz w:val="24"/>
              </w:rPr>
              <w:t>，</w:t>
            </w:r>
            <w:r>
              <w:rPr>
                <w:rFonts w:hint="default" w:ascii="Times New Roman" w:hAnsi="Times New Roman" w:cs="Times New Roman"/>
                <w:sz w:val="24"/>
                <w:lang w:val="en-US" w:eastAsia="zh-CN"/>
              </w:rPr>
              <w:t>根据</w:t>
            </w:r>
            <w:r>
              <w:rPr>
                <w:rFonts w:hint="default" w:ascii="Times New Roman" w:hAnsi="Times New Roman" w:eastAsia="宋体" w:cs="Times New Roman"/>
                <w:color w:val="auto"/>
                <w:sz w:val="24"/>
              </w:rPr>
              <w:t>《安徽宿州高新技术产业开发区总体发展规划环境影响报告书》（2023-2035年）</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项目位于</w:t>
            </w:r>
            <w:r>
              <w:rPr>
                <w:rFonts w:hint="default" w:ascii="Times New Roman" w:hAnsi="Times New Roman" w:eastAsia="宋体" w:cs="Times New Roman"/>
                <w:color w:val="auto"/>
                <w:sz w:val="24"/>
              </w:rPr>
              <w:t>埇桥经开区片区</w:t>
            </w:r>
            <w:r>
              <w:rPr>
                <w:rFonts w:hint="eastAsia" w:ascii="Times New Roman" w:hAnsi="Times New Roman" w:eastAsia="宋体" w:cs="Times New Roman"/>
                <w:color w:val="auto"/>
                <w:sz w:val="24"/>
                <w:lang w:val="en-US" w:eastAsia="zh-CN"/>
              </w:rPr>
              <w:t>范围内</w:t>
            </w:r>
            <w:r>
              <w:rPr>
                <w:rFonts w:hint="default" w:ascii="Times New Roman" w:hAnsi="Times New Roman" w:cs="Times New Roman"/>
                <w:sz w:val="24"/>
                <w:lang w:val="en-US" w:eastAsia="zh-CN"/>
              </w:rPr>
              <w:t>，</w:t>
            </w:r>
            <w:r>
              <w:rPr>
                <w:rFonts w:hint="default" w:ascii="Times New Roman" w:hAnsi="Times New Roman" w:cs="Times New Roman"/>
                <w:sz w:val="24"/>
              </w:rPr>
              <w:t>项目用地为工业用地</w:t>
            </w:r>
            <w:r>
              <w:rPr>
                <w:rFonts w:hint="eastAsia" w:ascii="Times New Roman" w:hAnsi="Times New Roman" w:eastAsia="宋体" w:cs="Times New Roman"/>
                <w:sz w:val="24"/>
                <w:lang w:eastAsia="zh-CN"/>
              </w:rPr>
              <w:t>。</w:t>
            </w:r>
            <w:r>
              <w:rPr>
                <w:rFonts w:hint="default" w:ascii="Times New Roman" w:hAnsi="Times New Roman" w:cs="Times New Roman"/>
                <w:sz w:val="24"/>
              </w:rPr>
              <w:t>本项目属于C3311金属结构制造，主要为工程机械做配套结构件，可以为园区的矿山机械产业提供配套服务</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符合</w:t>
            </w:r>
            <w:r>
              <w:rPr>
                <w:rFonts w:hint="default" w:ascii="Times New Roman" w:hAnsi="Times New Roman" w:eastAsia="宋体" w:cs="Times New Roman"/>
                <w:color w:val="auto"/>
                <w:sz w:val="24"/>
              </w:rPr>
              <w:t>埇桥经开区片区</w:t>
            </w:r>
            <w:r>
              <w:rPr>
                <w:rFonts w:hint="default" w:ascii="Times New Roman" w:hAnsi="Times New Roman" w:cs="Times New Roman"/>
                <w:sz w:val="24"/>
                <w:lang w:val="en-US" w:eastAsia="zh-CN"/>
              </w:rPr>
              <w:t>产业定位</w:t>
            </w:r>
            <w:r>
              <w:rPr>
                <w:rFonts w:hint="default" w:ascii="Times New Roman" w:hAnsi="Times New Roman" w:cs="Times New Roman"/>
                <w:sz w:val="24"/>
              </w:rPr>
              <w:t>。厂区布局合理，交通方便，水电供应可靠，因此项目选址合理。</w:t>
            </w:r>
          </w:p>
          <w:p w14:paraId="62691F9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w:t>
            </w:r>
            <w:r>
              <w:rPr>
                <w:rFonts w:hint="eastAsia" w:ascii="Times New Roman" w:hAnsi="Times New Roman" w:eastAsia="宋体" w:cs="Times New Roman"/>
                <w:sz w:val="24"/>
                <w:lang w:val="en-US" w:eastAsia="zh-CN"/>
              </w:rPr>
              <w:t>2</w:t>
            </w:r>
            <w:r>
              <w:rPr>
                <w:rFonts w:hint="default" w:ascii="Times New Roman" w:hAnsi="Times New Roman" w:cs="Times New Roman"/>
                <w:sz w:val="24"/>
              </w:rPr>
              <w:t>）选址环境相容性</w:t>
            </w:r>
          </w:p>
          <w:p w14:paraId="123DD2D9">
            <w:pPr>
              <w:keepNext w:val="0"/>
              <w:keepLines w:val="0"/>
              <w:pageBreakBefore w:val="0"/>
              <w:widowControl/>
              <w:suppressAutoHyphens/>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0"/>
                <w:sz w:val="24"/>
                <w:szCs w:val="24"/>
                <w:shd w:val="clear"/>
              </w:rPr>
              <w:t>项目位于宿州徐州现代产</w:t>
            </w:r>
            <w:r>
              <w:rPr>
                <w:rFonts w:hint="default" w:ascii="Times New Roman" w:hAnsi="Times New Roman" w:eastAsia="宋体" w:cs="Times New Roman"/>
                <w:bCs/>
                <w:color w:val="auto"/>
                <w:kern w:val="0"/>
                <w:sz w:val="24"/>
                <w:szCs w:val="24"/>
                <w:highlight w:val="none"/>
                <w:shd w:val="clear"/>
              </w:rPr>
              <w:t>业园区埇桥园G206国道与雁山路交叉口（金鸽面粉厂院内</w:t>
            </w:r>
            <w:r>
              <w:rPr>
                <w:rFonts w:hint="eastAsia" w:ascii="Times New Roman" w:hAnsi="Times New Roman" w:eastAsia="宋体" w:cs="Times New Roman"/>
                <w:bCs/>
                <w:color w:val="auto"/>
                <w:kern w:val="0"/>
                <w:sz w:val="24"/>
                <w:szCs w:val="24"/>
                <w:highlight w:val="none"/>
                <w:shd w:val="clear"/>
                <w:lang w:eastAsia="zh-CN"/>
              </w:rPr>
              <w:t>，</w:t>
            </w:r>
            <w:r>
              <w:rPr>
                <w:rFonts w:hint="eastAsia" w:ascii="Times New Roman" w:hAnsi="Times New Roman" w:eastAsia="宋体" w:cs="Times New Roman"/>
                <w:bCs/>
                <w:color w:val="auto"/>
                <w:kern w:val="0"/>
                <w:sz w:val="24"/>
                <w:szCs w:val="24"/>
                <w:highlight w:val="none"/>
                <w:shd w:val="clear"/>
                <w:lang w:val="en-US" w:eastAsia="zh-CN"/>
              </w:rPr>
              <w:t>面粉厂厂房仅用作仓库使用，目前厂房全部出租</w:t>
            </w:r>
            <w:r>
              <w:rPr>
                <w:rFonts w:hint="default" w:ascii="Times New Roman" w:hAnsi="Times New Roman" w:eastAsia="宋体" w:cs="Times New Roman"/>
                <w:bCs/>
                <w:color w:val="auto"/>
                <w:kern w:val="0"/>
                <w:sz w:val="24"/>
                <w:szCs w:val="24"/>
                <w:highlight w:val="none"/>
                <w:shd w:val="clear"/>
              </w:rPr>
              <w:t>）。</w:t>
            </w:r>
            <w:r>
              <w:rPr>
                <w:rFonts w:hint="default" w:ascii="Times New Roman" w:hAnsi="Times New Roman" w:eastAsia="宋体" w:cs="Times New Roman"/>
                <w:bCs/>
                <w:color w:val="auto"/>
                <w:kern w:val="0"/>
                <w:sz w:val="24"/>
                <w:szCs w:val="24"/>
                <w:highlight w:val="none"/>
              </w:rPr>
              <w:t>本项目北侧为宿州埇创建材有限公司，西侧隔路为安徽天鹏新材料科技有限公司，南侧隔路为三环小区，东侧为安徽文君自动化科技有限公司。本项目紧邻道路，交通运输便捷，污染物排放较小，对周围环境影响较小。项目厂界距离最近敏感点南侧三环小区约为50m。</w:t>
            </w:r>
            <w:r>
              <w:rPr>
                <w:rFonts w:hint="eastAsia" w:ascii="Times New Roman" w:hAnsi="Times New Roman" w:eastAsia="宋体" w:cs="Times New Roman"/>
                <w:bCs/>
                <w:color w:val="auto"/>
                <w:kern w:val="0"/>
                <w:sz w:val="24"/>
                <w:szCs w:val="24"/>
                <w:highlight w:val="none"/>
                <w:lang w:val="en-US" w:eastAsia="zh-CN"/>
              </w:rPr>
              <w:t>根据敏感点噪声检测报告，项目现状噪声能够满足《声环境质量标准》（GB3096-2008）中2类标准，且</w:t>
            </w:r>
            <w:r>
              <w:rPr>
                <w:rFonts w:hint="default" w:ascii="Times New Roman" w:hAnsi="Times New Roman" w:eastAsia="宋体" w:cs="Times New Roman"/>
                <w:bCs/>
                <w:color w:val="auto"/>
                <w:kern w:val="0"/>
                <w:sz w:val="24"/>
                <w:szCs w:val="24"/>
                <w:highlight w:val="none"/>
              </w:rPr>
              <w:t>项目周边规划建设项目以机械</w:t>
            </w:r>
            <w:r>
              <w:rPr>
                <w:rFonts w:hint="default" w:ascii="Times New Roman" w:hAnsi="Times New Roman" w:eastAsia="宋体" w:cs="Times New Roman"/>
                <w:bCs/>
                <w:color w:val="auto"/>
                <w:kern w:val="0"/>
                <w:sz w:val="24"/>
                <w:szCs w:val="24"/>
              </w:rPr>
              <w:t>加工类行业为主，项目产生的污染物经治理后均能达标排放，对周围的环境影响较小，因此，项目与周边环境相容</w:t>
            </w:r>
            <w:r>
              <w:rPr>
                <w:rFonts w:hint="default" w:ascii="Times New Roman" w:hAnsi="Times New Roman" w:eastAsia="宋体" w:cs="Times New Roman"/>
                <w:color w:val="auto"/>
                <w:sz w:val="24"/>
              </w:rPr>
              <w:t>。</w:t>
            </w:r>
          </w:p>
          <w:p w14:paraId="7C5AF8B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综上所述，本项目的选址符合区域土地利用总体规划，项目各项污染物在各项处理措施建设实施后，能够达标排放，与周边环境相容；项目投入运行后对周围环境影响在可接受范围内，不会改变当地的环境功能。因此本项目选址是可行的。</w:t>
            </w:r>
          </w:p>
          <w:p w14:paraId="454A47D1">
            <w:pPr>
              <w:keepNext w:val="0"/>
              <w:keepLines w:val="0"/>
              <w:pageBreakBefore w:val="0"/>
              <w:widowControl/>
              <w:kinsoku/>
              <w:wordWrap/>
              <w:overflowPunct/>
              <w:topLinePunct w:val="0"/>
              <w:autoSpaceDE w:val="0"/>
              <w:autoSpaceDN w:val="0"/>
              <w:bidi w:val="0"/>
              <w:adjustRightInd/>
              <w:snapToGrid/>
              <w:spacing w:line="360" w:lineRule="auto"/>
              <w:rPr>
                <w:b/>
                <w:bCs/>
                <w:kern w:val="0"/>
                <w:sz w:val="24"/>
              </w:rPr>
            </w:pPr>
            <w:r>
              <w:rPr>
                <w:rFonts w:ascii="Times New Roman" w:hAnsi="Times New Roman" w:eastAsia="宋体" w:cs="Times New Roman"/>
                <w:b/>
                <w:bCs/>
                <w:color w:val="auto"/>
                <w:sz w:val="24"/>
                <w:szCs w:val="24"/>
                <w:lang w:eastAsia="zh-CN" w:bidi="ar"/>
              </w:rPr>
              <w:t>3、</w:t>
            </w:r>
            <w:r>
              <w:rPr>
                <w:b/>
                <w:bCs/>
                <w:kern w:val="0"/>
                <w:sz w:val="24"/>
              </w:rPr>
              <w:t>“三线一单”相符性分析</w:t>
            </w:r>
          </w:p>
          <w:p w14:paraId="0D80394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cs="Times New Roman"/>
                <w:bCs/>
                <w:sz w:val="24"/>
              </w:rPr>
            </w:pPr>
            <w:r>
              <w:rPr>
                <w:rFonts w:hint="default" w:ascii="Times New Roman" w:hAnsi="Times New Roman" w:cs="Times New Roman"/>
                <w:bCs/>
                <w:sz w:val="24"/>
              </w:rPr>
              <w:t>（1）生态保护红线</w:t>
            </w:r>
          </w:p>
          <w:p w14:paraId="22ADFD00">
            <w:pPr>
              <w:pStyle w:val="8"/>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textAlignment w:val="auto"/>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根据《宿州市“三线一单”》，宿州市共划定重点管控单元22个，面积为1641.71平方公里</w:t>
            </w:r>
            <w:r>
              <w:rPr>
                <w:rFonts w:hint="eastAsia" w:cs="Times New Roman"/>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占全市国土面积的16.52%</w:t>
            </w:r>
            <w:r>
              <w:rPr>
                <w:rFonts w:hint="eastAsia" w:cs="Times New Roman"/>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一般管控单元5个</w:t>
            </w:r>
            <w:r>
              <w:rPr>
                <w:rFonts w:hint="eastAsia" w:cs="Times New Roman"/>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面积为7225.23平方公里，占全市国土面积的72.7%。</w:t>
            </w:r>
            <w:r>
              <w:rPr>
                <w:rFonts w:hint="eastAsia"/>
                <w:bCs/>
                <w:color w:val="000000" w:themeColor="text1"/>
                <w:kern w:val="2"/>
                <w:sz w:val="24"/>
                <w:szCs w:val="24"/>
                <w14:textFill>
                  <w14:solidFill>
                    <w14:schemeClr w14:val="tx1"/>
                  </w14:solidFill>
                </w14:textFill>
              </w:rPr>
              <w:t>根据安徽省“三线一单 ”公众服务平台，</w:t>
            </w:r>
            <w:r>
              <w:rPr>
                <w:rFonts w:hint="eastAsia"/>
                <w:bCs/>
                <w:color w:val="000000" w:themeColor="text1"/>
                <w:kern w:val="2"/>
                <w:sz w:val="24"/>
                <w:szCs w:val="24"/>
                <w:lang w:val="en-US" w:eastAsia="zh-CN"/>
                <w14:textFill>
                  <w14:solidFill>
                    <w14:schemeClr w14:val="tx1"/>
                  </w14:solidFill>
                </w14:textFill>
              </w:rPr>
              <w:t>项目</w:t>
            </w:r>
            <w:r>
              <w:rPr>
                <w:rFonts w:hint="eastAsia"/>
                <w:bCs/>
                <w:color w:val="000000" w:themeColor="text1"/>
                <w:kern w:val="2"/>
                <w:sz w:val="24"/>
                <w:szCs w:val="24"/>
                <w14:textFill>
                  <w14:solidFill>
                    <w14:schemeClr w14:val="tx1"/>
                  </w14:solidFill>
                </w14:textFill>
              </w:rPr>
              <w:t>生态环境分区管控单元编码为</w:t>
            </w:r>
            <w:r>
              <w:rPr>
                <w:rFonts w:hint="eastAsia"/>
                <w:bCs/>
                <w:color w:val="000000" w:themeColor="text1"/>
                <w:kern w:val="2"/>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ZH34130220013。</w:t>
            </w:r>
          </w:p>
          <w:p w14:paraId="5B8744C6">
            <w:pPr>
              <w:keepNext w:val="0"/>
              <w:keepLines w:val="0"/>
              <w:pageBreakBefore w:val="0"/>
              <w:widowControl/>
              <w:kinsoku/>
              <w:wordWrap/>
              <w:overflowPunct/>
              <w:topLinePunct w:val="0"/>
              <w:bidi w:val="0"/>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（2）环境质量底线</w:t>
            </w:r>
          </w:p>
          <w:p w14:paraId="3AED3FE8">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rPr>
              <w:t xml:space="preserve">① </w:t>
            </w:r>
            <w:r>
              <w:rPr>
                <w:rFonts w:ascii="Times New Roman" w:hAnsi="Times New Roman" w:cs="Times New Roman"/>
                <w:color w:val="auto"/>
                <w:sz w:val="24"/>
                <w:szCs w:val="24"/>
                <w:lang w:eastAsia="zh-CN"/>
              </w:rPr>
              <w:t>大气环境质量底线</w:t>
            </w:r>
          </w:p>
          <w:p w14:paraId="1B1AA747">
            <w:pPr>
              <w:keepNext w:val="0"/>
              <w:keepLines w:val="0"/>
              <w:pageBreakBefore w:val="0"/>
              <w:widowControl/>
              <w:kinsoku/>
              <w:wordWrap/>
              <w:overflowPunct/>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根据宿州市2024年环境空气质量数据，项目所在区域环境空气质量现状如下，宿州市2024年SO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年均浓度分别为6μg/m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、18μg/m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、71μg/m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、43μg/m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；CO24小时平均第95百分位数为0.9mg/m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日最大8小时平均第90百分位数为170μg/m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；超过《环境空气质量标准》（GB3095-2012）中二级标准限值的污染物为PM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。因此项目所在区域环境空气质量为不达标区。</w:t>
            </w:r>
          </w:p>
          <w:p w14:paraId="2EEDCAE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引用的</w:t>
            </w:r>
            <w:r>
              <w:rPr>
                <w:rFonts w:ascii="Times New Roman" w:hAnsi="Times New Roman" w:eastAsia="宋体" w:cs="Times New Roman"/>
                <w:color w:val="auto"/>
                <w:sz w:val="24"/>
                <w:szCs w:val="24"/>
                <w:lang w:eastAsia="zh-CN"/>
              </w:rPr>
              <w:t>环境现状监测数据，评价范围内</w:t>
            </w:r>
            <w:r>
              <w:rPr>
                <w:rFonts w:hint="default" w:ascii="Times New Roman" w:hAnsi="Times New Roman" w:eastAsia="宋体" w:cs="Times New Roman"/>
                <w:color w:val="000000" w:themeColor="text1"/>
                <w:sz w:val="24"/>
                <w:szCs w:val="24"/>
                <w14:textFill>
                  <w14:solidFill>
                    <w14:schemeClr w14:val="tx1"/>
                  </w14:solidFill>
                </w14:textFill>
              </w:rPr>
              <w:t>硫酸雾的监测结果满足《环境影响评价技术导则-大气环境》（HJ2.2-2018）附录 D 中空气质量浓度参考限值要求，非甲烷总烃的监测结果满足《大气污染物综合排放标准详解》中规定值要求， TSP监测结果满足《环境空气质量标准》（GB3095-2012）中二级标准要求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2AE9064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color w:val="auto"/>
                <w:sz w:val="24"/>
              </w:rPr>
            </w:pPr>
            <w:r>
              <w:rPr>
                <w:color w:val="auto"/>
                <w:sz w:val="24"/>
              </w:rPr>
              <w:t>本项目的建设不会恶化区域环境质量功能，不会触碰区域环境质量底线。</w:t>
            </w:r>
          </w:p>
          <w:p w14:paraId="2264F161">
            <w:pPr>
              <w:pStyle w:val="30"/>
              <w:keepNext w:val="0"/>
              <w:keepLines w:val="0"/>
              <w:pageBreakBefore w:val="0"/>
              <w:widowControl/>
              <w:kinsoku/>
              <w:wordWrap/>
              <w:overflowPunct/>
              <w:bidi w:val="0"/>
              <w:snapToGrid/>
              <w:spacing w:line="360" w:lineRule="auto"/>
              <w:rPr>
                <w:rFonts w:ascii="Times New Roman" w:hAnsi="Times New Roman" w:eastAsia="宋体" w:cs="Times New Roman"/>
                <w:color w:val="auto"/>
                <w:sz w:val="24"/>
                <w:szCs w:val="24"/>
                <w:lang w:eastAsia="zh-CN"/>
              </w:rPr>
            </w:pPr>
            <w:r>
              <w:rPr>
                <w:rFonts w:ascii="Times New Roman" w:hAnsi="Times New Roman" w:eastAsia="宋体" w:cs="Times New Roman"/>
                <w:color w:val="auto"/>
                <w:kern w:val="2"/>
                <w:sz w:val="24"/>
                <w:szCs w:val="24"/>
                <w:lang w:eastAsia="zh-CN"/>
              </w:rPr>
              <w:t>②</w:t>
            </w:r>
            <w:r>
              <w:rPr>
                <w:rFonts w:ascii="Times New Roman" w:hAnsi="Times New Roman" w:cs="Times New Roman"/>
                <w:color w:val="auto"/>
                <w:kern w:val="2"/>
                <w:sz w:val="24"/>
                <w:szCs w:val="24"/>
                <w:lang w:eastAsia="zh-CN"/>
              </w:rPr>
              <w:t>水环境质量底线</w:t>
            </w:r>
          </w:p>
          <w:p w14:paraId="38742379">
            <w:pPr>
              <w:keepNext w:val="0"/>
              <w:keepLines w:val="0"/>
              <w:pageBreakBefore w:val="0"/>
              <w:widowControl/>
              <w:kinsoku/>
              <w:wordWrap/>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2024年，宿州市水环境质量稳中向好、稳中趋优。全市13个地表水国家考核断面中10个水质达到Ⅲ类，水质优良比例为76.9% ，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w:t>
            </w:r>
          </w:p>
          <w:p w14:paraId="7C94A49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color w:val="auto"/>
                <w:sz w:val="24"/>
                <w:szCs w:val="24"/>
                <w:lang w:eastAsia="zh-CN"/>
              </w:rPr>
            </w:pPr>
            <w:r>
              <w:rPr>
                <w:rFonts w:hint="eastAsia"/>
                <w:color w:val="auto"/>
                <w:sz w:val="24"/>
                <w:lang w:val="en-US" w:eastAsia="zh-CN"/>
              </w:rPr>
              <w:t>本项目生活污水经已建化粪池处理后通过污水管网排入宿州市曹村污水处理厂，生产废水经自建污水处理站处理后排入宿州市曹村污水处理厂。项目建设</w:t>
            </w:r>
            <w:r>
              <w:rPr>
                <w:rFonts w:ascii="Times New Roman" w:hAnsi="Times New Roman" w:eastAsia="宋体" w:cs="Times New Roman"/>
                <w:color w:val="auto"/>
                <w:sz w:val="24"/>
                <w:szCs w:val="24"/>
                <w:lang w:eastAsia="zh-CN"/>
              </w:rPr>
              <w:t>不会降低评价区域地表水的环境质量现有功能级别</w:t>
            </w:r>
            <w:r>
              <w:rPr>
                <w:rFonts w:hint="eastAsia" w:ascii="Times New Roman" w:hAnsi="Times New Roman" w:eastAsia="宋体" w:cs="Times New Roman"/>
                <w:color w:val="auto"/>
                <w:sz w:val="24"/>
                <w:szCs w:val="24"/>
                <w:lang w:eastAsia="zh-CN"/>
              </w:rPr>
              <w:t>。</w:t>
            </w:r>
          </w:p>
          <w:p w14:paraId="5F02D798">
            <w:pPr>
              <w:keepNext w:val="0"/>
              <w:keepLines w:val="0"/>
              <w:pageBreakBefore w:val="0"/>
              <w:widowControl/>
              <w:kinsoku/>
              <w:wordWrap/>
              <w:overflowPunct/>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③声环境</w:t>
            </w:r>
          </w:p>
          <w:p w14:paraId="386066AE">
            <w:pPr>
              <w:keepNext w:val="0"/>
              <w:keepLines w:val="0"/>
              <w:pageBreakBefore w:val="0"/>
              <w:widowControl/>
              <w:kinsoku/>
              <w:wordWrap/>
              <w:overflowPunct/>
              <w:bidi w:val="0"/>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auto"/>
                <w:kern w:val="0"/>
                <w:sz w:val="24"/>
                <w:szCs w:val="22"/>
              </w:rPr>
              <w:t>对照《建设项目环境影响报告表编制技术指南（污染影响类）》，本项目周边50m范围</w:t>
            </w:r>
            <w:r>
              <w:rPr>
                <w:rFonts w:hint="default" w:ascii="Times New Roman" w:hAnsi="Times New Roman" w:eastAsia="宋体" w:cs="Times New Roman"/>
                <w:color w:val="auto"/>
                <w:kern w:val="0"/>
                <w:sz w:val="24"/>
                <w:szCs w:val="22"/>
                <w:lang w:val="en-US" w:eastAsia="zh-CN"/>
              </w:rPr>
              <w:t>有</w:t>
            </w:r>
            <w:r>
              <w:rPr>
                <w:rFonts w:hint="default" w:ascii="Times New Roman" w:hAnsi="Times New Roman" w:eastAsia="宋体" w:cs="Times New Roman"/>
                <w:color w:val="auto"/>
                <w:kern w:val="0"/>
                <w:sz w:val="24"/>
                <w:szCs w:val="22"/>
              </w:rPr>
              <w:t>环境敏感目标</w:t>
            </w:r>
            <w:r>
              <w:rPr>
                <w:rFonts w:hint="eastAsia" w:ascii="Times New Roman" w:hAnsi="Times New Roman" w:eastAsia="宋体" w:cs="Times New Roman"/>
                <w:color w:val="auto"/>
                <w:kern w:val="0"/>
                <w:sz w:val="24"/>
                <w:szCs w:val="22"/>
                <w:lang w:val="en-US" w:eastAsia="zh-CN"/>
              </w:rPr>
              <w:t>三环小区</w:t>
            </w:r>
            <w:r>
              <w:rPr>
                <w:rFonts w:hint="default" w:ascii="Times New Roman" w:hAnsi="Times New Roman" w:eastAsia="宋体" w:cs="Times New Roman"/>
                <w:color w:val="auto"/>
                <w:kern w:val="0"/>
                <w:sz w:val="24"/>
                <w:szCs w:val="22"/>
              </w:rPr>
              <w:t>，</w:t>
            </w:r>
            <w:r>
              <w:rPr>
                <w:rFonts w:hint="default" w:ascii="Times New Roman" w:hAnsi="Times New Roman" w:eastAsia="宋体" w:cs="Times New Roman"/>
                <w:color w:val="auto"/>
                <w:kern w:val="0"/>
                <w:sz w:val="24"/>
                <w:szCs w:val="22"/>
                <w:lang w:val="en-US" w:eastAsia="zh-CN"/>
              </w:rPr>
              <w:t>已</w:t>
            </w:r>
            <w:r>
              <w:rPr>
                <w:rFonts w:hint="eastAsia" w:ascii="Times New Roman" w:hAnsi="Times New Roman" w:eastAsia="宋体" w:cs="Times New Roman"/>
                <w:color w:val="auto"/>
                <w:kern w:val="0"/>
                <w:sz w:val="24"/>
                <w:szCs w:val="22"/>
                <w:lang w:val="en-US" w:eastAsia="zh-CN"/>
              </w:rPr>
              <w:t>于2025年11月27日</w:t>
            </w:r>
            <w:r>
              <w:rPr>
                <w:rFonts w:hint="default" w:ascii="Times New Roman" w:hAnsi="Times New Roman" w:eastAsia="宋体" w:cs="Times New Roman"/>
                <w:color w:val="auto"/>
                <w:kern w:val="0"/>
                <w:sz w:val="24"/>
                <w:szCs w:val="24"/>
              </w:rPr>
              <w:t>委托安徽鑫程检测科技有限公司</w:t>
            </w:r>
            <w:r>
              <w:rPr>
                <w:rFonts w:hint="eastAsia" w:ascii="Times New Roman" w:hAnsi="Times New Roman" w:eastAsia="宋体" w:cs="Times New Roman"/>
                <w:color w:val="auto"/>
                <w:kern w:val="0"/>
                <w:sz w:val="24"/>
                <w:szCs w:val="24"/>
                <w:lang w:val="en-US" w:eastAsia="zh-CN"/>
              </w:rPr>
              <w:t>进行现状检测，检测结果表面，现状噪声满足《声环境质量标准》（</w:t>
            </w:r>
            <w:r>
              <w:rPr>
                <w:rFonts w:hint="default" w:ascii="Times New Roman" w:hAnsi="Times New Roman" w:eastAsia="宋体" w:cs="Times New Roman"/>
                <w:sz w:val="24"/>
                <w:highlight w:val="none"/>
              </w:rPr>
              <w:t>GB3096-2008</w:t>
            </w:r>
            <w:r>
              <w:rPr>
                <w:rFonts w:hint="eastAsia" w:ascii="Times New Roman" w:hAnsi="Times New Roman" w:eastAsia="宋体" w:cs="Times New Roman"/>
                <w:color w:val="auto"/>
                <w:kern w:val="0"/>
                <w:sz w:val="24"/>
                <w:szCs w:val="24"/>
                <w:lang w:val="en-US" w:eastAsia="zh-CN"/>
              </w:rPr>
              <w:t>）中2类标准。</w:t>
            </w:r>
            <w:r>
              <w:rPr>
                <w:rFonts w:hint="default" w:ascii="Times New Roman" w:hAnsi="Times New Roman" w:eastAsia="宋体" w:cs="Times New Roman"/>
                <w:color w:val="auto"/>
                <w:sz w:val="24"/>
              </w:rPr>
              <w:t>本项目对产噪设备采取隔声、减震等措施后对周边声环境影响较小</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建成后敏感点</w:t>
            </w:r>
            <w:r>
              <w:rPr>
                <w:rFonts w:hint="eastAsia" w:ascii="Times New Roman" w:hAnsi="Times New Roman" w:eastAsia="宋体" w:cs="Times New Roman"/>
                <w:color w:val="auto"/>
                <w:kern w:val="0"/>
                <w:sz w:val="24"/>
                <w:szCs w:val="22"/>
                <w:lang w:val="en-US" w:eastAsia="zh-CN"/>
              </w:rPr>
              <w:t>三环小区</w:t>
            </w:r>
            <w:r>
              <w:rPr>
                <w:rFonts w:hint="eastAsia" w:ascii="Times New Roman" w:hAnsi="Times New Roman" w:eastAsia="宋体" w:cs="Times New Roman"/>
                <w:color w:val="auto"/>
                <w:sz w:val="24"/>
                <w:lang w:val="en-US" w:eastAsia="zh-CN"/>
              </w:rPr>
              <w:t>预测值</w:t>
            </w:r>
            <w:r>
              <w:rPr>
                <w:rFonts w:hint="eastAsia" w:ascii="Times New Roman" w:hAnsi="Times New Roman" w:eastAsia="宋体" w:cs="Times New Roman"/>
                <w:color w:val="auto"/>
                <w:kern w:val="0"/>
                <w:sz w:val="24"/>
                <w:szCs w:val="24"/>
                <w:lang w:val="en-US" w:eastAsia="zh-CN"/>
              </w:rPr>
              <w:t>噪声满足《声环境质量标准》（</w:t>
            </w:r>
            <w:r>
              <w:rPr>
                <w:rFonts w:hint="default" w:ascii="Times New Roman" w:hAnsi="Times New Roman" w:eastAsia="宋体" w:cs="Times New Roman"/>
                <w:sz w:val="24"/>
                <w:highlight w:val="none"/>
              </w:rPr>
              <w:t>GB3096-2008</w:t>
            </w:r>
            <w:r>
              <w:rPr>
                <w:rFonts w:hint="eastAsia" w:ascii="Times New Roman" w:hAnsi="Times New Roman" w:eastAsia="宋体" w:cs="Times New Roman"/>
                <w:color w:val="auto"/>
                <w:kern w:val="0"/>
                <w:sz w:val="24"/>
                <w:szCs w:val="24"/>
                <w:lang w:val="en-US" w:eastAsia="zh-CN"/>
              </w:rPr>
              <w:t>）中2类标准。</w:t>
            </w:r>
          </w:p>
          <w:p w14:paraId="248B2DA4">
            <w:pPr>
              <w:keepNext w:val="0"/>
              <w:keepLines w:val="0"/>
              <w:pageBreakBefore w:val="0"/>
              <w:widowControl/>
              <w:kinsoku/>
              <w:wordWrap/>
              <w:overflowPunct/>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④土壤及地下水</w:t>
            </w:r>
          </w:p>
          <w:p w14:paraId="0313199E">
            <w:pPr>
              <w:keepNext w:val="0"/>
              <w:keepLines w:val="0"/>
              <w:pageBreakBefore w:val="0"/>
              <w:widowControl/>
              <w:kinsoku/>
              <w:wordWrap/>
              <w:overflowPunct/>
              <w:bidi w:val="0"/>
              <w:spacing w:line="360" w:lineRule="auto"/>
              <w:ind w:firstLine="480" w:firstLineChars="200"/>
              <w:rPr>
                <w:color w:val="auto"/>
                <w:sz w:val="24"/>
              </w:rPr>
            </w:pPr>
            <w:r>
              <w:rPr>
                <w:color w:val="auto"/>
                <w:sz w:val="24"/>
              </w:rPr>
              <w:t>本项目建设不占用永久基本农田；项目对可能产生地下水、土壤影响的各项途径均进行有效预防，在确保各项防渗措施得以落实，并加强维护和厂区环境管理的前提下，可有效控制厂区内的废水污染物下渗现象，避免污染土壤</w:t>
            </w:r>
            <w:r>
              <w:rPr>
                <w:rFonts w:hint="eastAsia" w:eastAsia="宋体"/>
                <w:color w:val="auto"/>
                <w:sz w:val="24"/>
                <w:lang w:val="en-US" w:eastAsia="zh-CN"/>
              </w:rPr>
              <w:t>及地下水</w:t>
            </w:r>
            <w:r>
              <w:rPr>
                <w:color w:val="auto"/>
                <w:sz w:val="24"/>
              </w:rPr>
              <w:t>，因此本项目不会对区域土壤</w:t>
            </w:r>
            <w:r>
              <w:rPr>
                <w:rFonts w:hint="eastAsia" w:eastAsia="宋体"/>
                <w:color w:val="auto"/>
                <w:sz w:val="24"/>
                <w:lang w:val="en-US" w:eastAsia="zh-CN"/>
              </w:rPr>
              <w:t>及地下水</w:t>
            </w:r>
            <w:r>
              <w:rPr>
                <w:color w:val="auto"/>
                <w:sz w:val="24"/>
              </w:rPr>
              <w:t>环境产生明显影响。综上所述，本项目运营过程中排放的污染物对周边环境影响很小，符合环境质量底线要求。</w:t>
            </w:r>
          </w:p>
          <w:p w14:paraId="1DEC49B2">
            <w:pPr>
              <w:keepNext w:val="0"/>
              <w:keepLines w:val="0"/>
              <w:pageBreakBefore w:val="0"/>
              <w:widowControl/>
              <w:kinsoku/>
              <w:wordWrap/>
              <w:overflowPunct/>
              <w:bidi w:val="0"/>
              <w:spacing w:line="360" w:lineRule="auto"/>
              <w:ind w:firstLine="480"/>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Cs/>
                <w:color w:val="auto"/>
                <w:kern w:val="0"/>
                <w:sz w:val="24"/>
                <w:szCs w:val="24"/>
              </w:rPr>
              <w:t>（3）与资源利用上线</w:t>
            </w:r>
            <w:r>
              <w:rPr>
                <w:rFonts w:hint="default" w:ascii="Times New Roman" w:hAnsi="Times New Roman" w:eastAsia="宋体" w:cs="Times New Roman"/>
                <w:bCs/>
                <w:color w:val="auto"/>
                <w:kern w:val="0"/>
                <w:sz w:val="24"/>
                <w:szCs w:val="24"/>
                <w:highlight w:val="none"/>
              </w:rPr>
              <w:t>相符性分析</w:t>
            </w:r>
          </w:p>
          <w:p w14:paraId="7D53ECA3">
            <w:pPr>
              <w:keepNext w:val="0"/>
              <w:keepLines w:val="0"/>
              <w:pageBreakBefore w:val="0"/>
              <w:widowControl/>
              <w:kinsoku/>
              <w:wordWrap/>
              <w:overflowPunct/>
              <w:bidi w:val="0"/>
              <w:spacing w:line="360" w:lineRule="auto"/>
              <w:ind w:firstLine="480"/>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本项目用水来自区域供水管网，不会达到资源利用上线；项目用电由市政电网所供给，</w:t>
            </w:r>
            <w:r>
              <w:rPr>
                <w:rFonts w:hint="default" w:ascii="Times New Roman" w:hAnsi="Times New Roman" w:eastAsia="宋体" w:cs="Times New Roman"/>
                <w:color w:val="auto"/>
                <w:sz w:val="24"/>
                <w:szCs w:val="24"/>
                <w:highlight w:val="none"/>
                <w:lang w:val="en-US" w:eastAsia="zh-CN"/>
              </w:rPr>
              <w:t>外购液化石油气</w:t>
            </w:r>
            <w:r>
              <w:rPr>
                <w:rFonts w:hint="default" w:ascii="Times New Roman" w:hAnsi="Times New Roman" w:eastAsia="宋体" w:cs="Times New Roman"/>
                <w:color w:val="auto"/>
                <w:sz w:val="24"/>
                <w:szCs w:val="24"/>
                <w:highlight w:val="none"/>
              </w:rPr>
              <w:t>，不会达到资源利用上线；项目原辅材料来自市场采购，来源广泛且周边资源充足</w:t>
            </w:r>
            <w:r>
              <w:rPr>
                <w:rFonts w:hint="default" w:ascii="Times New Roman" w:hAnsi="Times New Roman" w:eastAsia="宋体" w:cs="Times New Roman"/>
                <w:color w:val="auto"/>
                <w:sz w:val="24"/>
                <w:szCs w:val="24"/>
              </w:rPr>
              <w:t>，故不会达到资源利用上线。</w:t>
            </w:r>
          </w:p>
          <w:p w14:paraId="1CB75ABE">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32"/>
              </w:rPr>
              <w:t>（4）</w:t>
            </w:r>
            <w:r>
              <w:rPr>
                <w:rFonts w:ascii="Times New Roman" w:hAnsi="Times New Roman" w:cs="Times New Roman"/>
                <w:color w:val="auto"/>
                <w:sz w:val="24"/>
                <w:szCs w:val="24"/>
              </w:rPr>
              <w:t>与生态环境准入清单相符性</w:t>
            </w:r>
          </w:p>
          <w:p w14:paraId="33E1C847">
            <w:pPr>
              <w:pStyle w:val="39"/>
              <w:keepNext w:val="0"/>
              <w:keepLines w:val="0"/>
              <w:pageBreakBefore w:val="0"/>
              <w:widowControl/>
              <w:kinsoku/>
              <w:wordWrap/>
              <w:overflowPunct/>
              <w:bidi w:val="0"/>
              <w:rPr>
                <w:rFonts w:hint="default" w:eastAsia="宋体"/>
                <w:color w:val="auto"/>
                <w:lang w:val="en-US" w:eastAsia="zh-CN"/>
              </w:rPr>
            </w:pPr>
            <w:r>
              <w:rPr>
                <w:color w:val="auto"/>
                <w:sz w:val="24"/>
                <w:szCs w:val="24"/>
              </w:rPr>
              <w:t>表1-</w:t>
            </w:r>
            <w:r>
              <w:rPr>
                <w:rFonts w:hint="eastAsia"/>
                <w:color w:val="auto"/>
                <w:sz w:val="24"/>
                <w:szCs w:val="24"/>
                <w:lang w:val="en-US" w:eastAsia="zh-CN"/>
              </w:rPr>
              <w:t>2</w:t>
            </w:r>
            <w:r>
              <w:rPr>
                <w:color w:val="auto"/>
                <w:sz w:val="24"/>
                <w:szCs w:val="24"/>
              </w:rPr>
              <w:t xml:space="preserve">  安徽宿州高新技术产业开发区</w:t>
            </w:r>
            <w:r>
              <w:rPr>
                <w:rFonts w:hint="eastAsia"/>
                <w:color w:val="auto"/>
                <w:sz w:val="24"/>
                <w:szCs w:val="24"/>
                <w:lang w:val="en-US" w:eastAsia="zh-CN"/>
              </w:rPr>
              <w:t>生态环境准入清单</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5"/>
              <w:gridCol w:w="2911"/>
              <w:gridCol w:w="4269"/>
            </w:tblGrid>
            <w:tr w14:paraId="2B3D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14:paraId="7A4645F2">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管控类别</w:t>
                  </w:r>
                </w:p>
              </w:tc>
              <w:tc>
                <w:tcPr>
                  <w:tcW w:w="442" w:type="pct"/>
                  <w:vAlign w:val="center"/>
                </w:tcPr>
                <w:p w14:paraId="4C678731">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主导产业</w:t>
                  </w:r>
                </w:p>
              </w:tc>
              <w:tc>
                <w:tcPr>
                  <w:tcW w:w="1664" w:type="pct"/>
                  <w:vAlign w:val="center"/>
                </w:tcPr>
                <w:p w14:paraId="6F28B27A">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行业类别</w:t>
                  </w:r>
                </w:p>
              </w:tc>
              <w:tc>
                <w:tcPr>
                  <w:tcW w:w="2440" w:type="pct"/>
                  <w:vAlign w:val="center"/>
                </w:tcPr>
                <w:p w14:paraId="019EB0BE">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备注</w:t>
                  </w:r>
                </w:p>
              </w:tc>
            </w:tr>
            <w:tr w14:paraId="04B4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restart"/>
                  <w:vAlign w:val="center"/>
                </w:tcPr>
                <w:p w14:paraId="626EAE92">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鼓励类</w:t>
                  </w:r>
                </w:p>
              </w:tc>
              <w:tc>
                <w:tcPr>
                  <w:tcW w:w="442" w:type="pct"/>
                  <w:vAlign w:val="center"/>
                </w:tcPr>
                <w:p w14:paraId="0A1E254D">
                  <w:pPr>
                    <w:keepNext w:val="0"/>
                    <w:keepLines w:val="0"/>
                    <w:pageBreakBefore w:val="0"/>
                    <w:widowControl/>
                    <w:kinsoku/>
                    <w:wordWrap/>
                    <w:overflowPunct/>
                    <w:bidi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专用设备制造</w:t>
                  </w:r>
                </w:p>
              </w:tc>
              <w:tc>
                <w:tcPr>
                  <w:tcW w:w="1664" w:type="pct"/>
                  <w:vAlign w:val="center"/>
                </w:tcPr>
                <w:p w14:paraId="450AA94E">
                  <w:pPr>
                    <w:keepNext w:val="0"/>
                    <w:keepLines w:val="0"/>
                    <w:pageBreakBefore w:val="0"/>
                    <w:widowControl/>
                    <w:kinsoku/>
                    <w:wordWrap/>
                    <w:overflowPunct/>
                    <w:bidi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C35专用设备制造</w:t>
                  </w:r>
                </w:p>
              </w:tc>
              <w:tc>
                <w:tcPr>
                  <w:tcW w:w="2440" w:type="pct"/>
                  <w:vAlign w:val="center"/>
                </w:tcPr>
                <w:p w14:paraId="163CB860">
                  <w:pPr>
                    <w:keepNext w:val="0"/>
                    <w:keepLines w:val="0"/>
                    <w:pageBreakBefore w:val="0"/>
                    <w:widowControl/>
                    <w:kinsoku/>
                    <w:wordWrap/>
                    <w:overflowPunct/>
                    <w:bidi w:val="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C351采矿、冶金、建筑专用设备制造、C356电子和电工机械专用设备制造、C359环保、邮政、社会公众服务及其他专用设备制造</w:t>
                  </w:r>
                </w:p>
              </w:tc>
            </w:tr>
            <w:tr w14:paraId="659C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452" w:type="pct"/>
                  <w:vMerge w:val="continue"/>
                  <w:vAlign w:val="center"/>
                </w:tcPr>
                <w:p w14:paraId="3F8A997E">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p>
              </w:tc>
              <w:tc>
                <w:tcPr>
                  <w:tcW w:w="442" w:type="pct"/>
                  <w:vMerge w:val="restart"/>
                  <w:vAlign w:val="center"/>
                </w:tcPr>
                <w:p w14:paraId="35471176">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电子设备制造业</w:t>
                  </w:r>
                </w:p>
              </w:tc>
              <w:tc>
                <w:tcPr>
                  <w:tcW w:w="1664" w:type="pct"/>
                  <w:vAlign w:val="center"/>
                </w:tcPr>
                <w:p w14:paraId="4362D4A0">
                  <w:pPr>
                    <w:keepNext w:val="0"/>
                    <w:keepLines w:val="0"/>
                    <w:pageBreakBefore w:val="0"/>
                    <w:widowControl/>
                    <w:kinsoku/>
                    <w:wordWrap/>
                    <w:overflowPunct/>
                    <w:bidi w:val="0"/>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C39计算机、通信和其他电子设备制造业</w:t>
                  </w:r>
                </w:p>
              </w:tc>
              <w:tc>
                <w:tcPr>
                  <w:tcW w:w="2440" w:type="pct"/>
                  <w:vAlign w:val="center"/>
                </w:tcPr>
                <w:p w14:paraId="366EC915">
                  <w:pPr>
                    <w:keepNext w:val="0"/>
                    <w:keepLines w:val="0"/>
                    <w:pageBreakBefore w:val="0"/>
                    <w:widowControl/>
                    <w:suppressLineNumbers w:val="0"/>
                    <w:kinsoku/>
                    <w:wordWrap/>
                    <w:overflowPunct/>
                    <w:bidi w:val="0"/>
                    <w:jc w:val="left"/>
                    <w:rPr>
                      <w:rFonts w:ascii="Times New Roman" w:hAnsi="Times New Roman" w:eastAsia="宋体" w:cs="Times New Roman"/>
                      <w:color w:val="auto"/>
                      <w:lang w:eastAsia="zh-CN"/>
                    </w:rPr>
                  </w:pPr>
                  <w:r>
                    <w:rPr>
                      <w:rFonts w:hint="default" w:ascii="Times New Roman" w:hAnsi="Times New Roman" w:eastAsia="宋体" w:cs="Times New Roman"/>
                      <w:color w:val="000000"/>
                      <w:kern w:val="0"/>
                      <w:sz w:val="21"/>
                      <w:szCs w:val="21"/>
                      <w:lang w:val="en-US" w:eastAsia="zh-CN" w:bidi="ar"/>
                    </w:rPr>
                    <w:t xml:space="preserve">C392 </w:t>
                  </w:r>
                  <w:r>
                    <w:rPr>
                      <w:rFonts w:hint="eastAsia" w:ascii="宋体" w:hAnsi="宋体" w:eastAsia="宋体" w:cs="宋体"/>
                      <w:color w:val="000000"/>
                      <w:kern w:val="0"/>
                      <w:sz w:val="21"/>
                      <w:szCs w:val="21"/>
                      <w:lang w:val="en-US" w:eastAsia="zh-CN" w:bidi="ar"/>
                    </w:rPr>
                    <w:t>通信设备制造、</w:t>
                  </w:r>
                  <w:r>
                    <w:rPr>
                      <w:rFonts w:hint="default" w:ascii="Times New Roman" w:hAnsi="Times New Roman" w:eastAsia="宋体" w:cs="Times New Roman"/>
                      <w:color w:val="000000"/>
                      <w:kern w:val="0"/>
                      <w:sz w:val="21"/>
                      <w:szCs w:val="21"/>
                      <w:lang w:val="en-US" w:eastAsia="zh-CN" w:bidi="ar"/>
                    </w:rPr>
                    <w:t xml:space="preserve">C396 </w:t>
                  </w:r>
                  <w:r>
                    <w:rPr>
                      <w:rFonts w:hint="eastAsia" w:ascii="宋体" w:hAnsi="宋体" w:eastAsia="宋体" w:cs="宋体"/>
                      <w:color w:val="000000"/>
                      <w:kern w:val="0"/>
                      <w:sz w:val="21"/>
                      <w:szCs w:val="21"/>
                      <w:lang w:val="en-US" w:eastAsia="zh-CN" w:bidi="ar"/>
                    </w:rPr>
                    <w:t>智能消费设备制造、</w:t>
                  </w:r>
                  <w:r>
                    <w:rPr>
                      <w:rFonts w:hint="default" w:ascii="Times New Roman" w:hAnsi="Times New Roman" w:eastAsia="宋体" w:cs="Times New Roman"/>
                      <w:color w:val="000000"/>
                      <w:kern w:val="0"/>
                      <w:sz w:val="21"/>
                      <w:szCs w:val="21"/>
                      <w:lang w:val="en-US" w:eastAsia="zh-CN" w:bidi="ar"/>
                    </w:rPr>
                    <w:t xml:space="preserve">C397 </w:t>
                  </w:r>
                  <w:r>
                    <w:rPr>
                      <w:rFonts w:hint="eastAsia" w:ascii="宋体" w:hAnsi="宋体" w:eastAsia="宋体" w:cs="宋体"/>
                      <w:color w:val="000000"/>
                      <w:kern w:val="0"/>
                      <w:sz w:val="21"/>
                      <w:szCs w:val="21"/>
                      <w:lang w:val="en-US" w:eastAsia="zh-CN" w:bidi="ar"/>
                    </w:rPr>
                    <w:t>电子器件制造</w:t>
                  </w:r>
                </w:p>
              </w:tc>
            </w:tr>
            <w:tr w14:paraId="78DB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452" w:type="pct"/>
                  <w:vMerge w:val="continue"/>
                  <w:vAlign w:val="center"/>
                </w:tcPr>
                <w:p w14:paraId="1284D14D">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p>
              </w:tc>
              <w:tc>
                <w:tcPr>
                  <w:tcW w:w="442" w:type="pct"/>
                  <w:vAlign w:val="center"/>
                </w:tcPr>
                <w:p w14:paraId="63163582">
                  <w:pPr>
                    <w:keepNext w:val="0"/>
                    <w:keepLines w:val="0"/>
                    <w:pageBreakBefore w:val="0"/>
                    <w:widowControl/>
                    <w:kinsoku/>
                    <w:wordWrap/>
                    <w:overflowPunct/>
                    <w:bidi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bCs/>
                      <w:color w:val="auto"/>
                      <w:lang w:val="en-US" w:eastAsia="zh-CN"/>
                    </w:rPr>
                    <w:t>互联网和相关服务业、计算机</w:t>
                  </w:r>
                </w:p>
              </w:tc>
              <w:tc>
                <w:tcPr>
                  <w:tcW w:w="1664" w:type="pct"/>
                  <w:vAlign w:val="center"/>
                </w:tcPr>
                <w:p w14:paraId="40FEB0C7">
                  <w:pPr>
                    <w:keepNext w:val="0"/>
                    <w:keepLines w:val="0"/>
                    <w:pageBreakBefore w:val="0"/>
                    <w:widowControl/>
                    <w:suppressLineNumbers w:val="0"/>
                    <w:kinsoku/>
                    <w:wordWrap/>
                    <w:overflowPunct/>
                    <w:bidi w:val="0"/>
                    <w:jc w:val="left"/>
                    <w:rPr>
                      <w:rFonts w:ascii="Times New Roman" w:hAnsi="Times New Roman" w:eastAsia="宋体" w:cs="Times New Roman"/>
                      <w:color w:val="auto"/>
                      <w:lang w:eastAsia="zh-CN"/>
                    </w:rPr>
                  </w:pPr>
                  <w:r>
                    <w:rPr>
                      <w:rFonts w:hint="default" w:ascii="Times New Roman" w:hAnsi="Times New Roman" w:eastAsia="宋体" w:cs="Times New Roman"/>
                      <w:color w:val="000000"/>
                      <w:kern w:val="0"/>
                      <w:sz w:val="21"/>
                      <w:szCs w:val="21"/>
                      <w:lang w:val="en-US" w:eastAsia="zh-CN" w:bidi="ar"/>
                    </w:rPr>
                    <w:t xml:space="preserve">I64 </w:t>
                  </w:r>
                  <w:r>
                    <w:rPr>
                      <w:rFonts w:hint="eastAsia" w:ascii="宋体" w:hAnsi="宋体" w:eastAsia="宋体" w:cs="宋体"/>
                      <w:color w:val="000000"/>
                      <w:kern w:val="0"/>
                      <w:sz w:val="21"/>
                      <w:szCs w:val="21"/>
                      <w:lang w:val="en-US" w:eastAsia="zh-CN" w:bidi="ar"/>
                    </w:rPr>
                    <w:t>互联网和相关服务</w:t>
                  </w:r>
                </w:p>
              </w:tc>
              <w:tc>
                <w:tcPr>
                  <w:tcW w:w="2440" w:type="pct"/>
                  <w:vAlign w:val="center"/>
                </w:tcPr>
                <w:p w14:paraId="39CD00FA">
                  <w:pPr>
                    <w:keepNext w:val="0"/>
                    <w:keepLines w:val="0"/>
                    <w:pageBreakBefore w:val="0"/>
                    <w:widowControl/>
                    <w:suppressLineNumbers w:val="0"/>
                    <w:kinsoku/>
                    <w:wordWrap/>
                    <w:overflowPunct/>
                    <w:bidi w:val="0"/>
                    <w:jc w:val="left"/>
                  </w:pPr>
                  <w:r>
                    <w:rPr>
                      <w:rFonts w:hint="default" w:ascii="Times New Roman" w:hAnsi="Times New Roman" w:eastAsia="宋体" w:cs="Times New Roman"/>
                      <w:color w:val="000000"/>
                      <w:kern w:val="0"/>
                      <w:sz w:val="21"/>
                      <w:szCs w:val="21"/>
                      <w:lang w:val="en-US" w:eastAsia="zh-CN" w:bidi="ar"/>
                    </w:rPr>
                    <w:t xml:space="preserve">I641 </w:t>
                  </w:r>
                  <w:r>
                    <w:rPr>
                      <w:rFonts w:hint="eastAsia" w:ascii="宋体" w:hAnsi="宋体" w:eastAsia="宋体" w:cs="宋体"/>
                      <w:color w:val="000000"/>
                      <w:kern w:val="0"/>
                      <w:sz w:val="21"/>
                      <w:szCs w:val="21"/>
                      <w:lang w:val="en-US" w:eastAsia="zh-CN" w:bidi="ar"/>
                    </w:rPr>
                    <w:t>互联网接入及相关服务、</w:t>
                  </w:r>
                  <w:r>
                    <w:rPr>
                      <w:rFonts w:hint="default" w:ascii="Times New Roman" w:hAnsi="Times New Roman" w:eastAsia="宋体" w:cs="Times New Roman"/>
                      <w:color w:val="000000"/>
                      <w:kern w:val="0"/>
                      <w:sz w:val="21"/>
                      <w:szCs w:val="21"/>
                      <w:lang w:val="en-US" w:eastAsia="zh-CN" w:bidi="ar"/>
                    </w:rPr>
                    <w:t xml:space="preserve">I643 </w:t>
                  </w:r>
                  <w:r>
                    <w:rPr>
                      <w:rFonts w:hint="eastAsia" w:ascii="宋体" w:hAnsi="宋体" w:eastAsia="宋体" w:cs="宋体"/>
                      <w:color w:val="000000"/>
                      <w:kern w:val="0"/>
                      <w:sz w:val="21"/>
                      <w:szCs w:val="21"/>
                      <w:lang w:val="en-US" w:eastAsia="zh-CN" w:bidi="ar"/>
                    </w:rPr>
                    <w:t>互联网平台、</w:t>
                  </w:r>
                  <w:r>
                    <w:rPr>
                      <w:rFonts w:hint="default" w:ascii="Times New Roman" w:hAnsi="Times New Roman" w:eastAsia="宋体" w:cs="Times New Roman"/>
                      <w:color w:val="000000"/>
                      <w:kern w:val="0"/>
                      <w:sz w:val="21"/>
                      <w:szCs w:val="21"/>
                      <w:lang w:val="en-US" w:eastAsia="zh-CN" w:bidi="ar"/>
                    </w:rPr>
                    <w:t xml:space="preserve">I645 </w:t>
                  </w:r>
                  <w:r>
                    <w:rPr>
                      <w:rFonts w:hint="eastAsia" w:ascii="宋体" w:hAnsi="宋体" w:eastAsia="宋体" w:cs="宋体"/>
                      <w:color w:val="000000"/>
                      <w:kern w:val="0"/>
                      <w:sz w:val="21"/>
                      <w:szCs w:val="21"/>
                      <w:lang w:val="en-US" w:eastAsia="zh-CN" w:bidi="ar"/>
                    </w:rPr>
                    <w:t>互联网数据服务</w:t>
                  </w:r>
                </w:p>
                <w:p w14:paraId="3884F378">
                  <w:pPr>
                    <w:keepNext w:val="0"/>
                    <w:keepLines w:val="0"/>
                    <w:pageBreakBefore w:val="0"/>
                    <w:widowControl/>
                    <w:kinsoku/>
                    <w:wordWrap/>
                    <w:overflowPunct/>
                    <w:bidi w:val="0"/>
                    <w:jc w:val="both"/>
                    <w:textAlignment w:val="center"/>
                    <w:rPr>
                      <w:rFonts w:ascii="Times New Roman" w:hAnsi="Times New Roman" w:eastAsia="宋体" w:cs="Times New Roman"/>
                      <w:color w:val="auto"/>
                      <w:lang w:eastAsia="zh-CN"/>
                    </w:rPr>
                  </w:pPr>
                </w:p>
              </w:tc>
            </w:tr>
            <w:tr w14:paraId="6DF2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895" w:type="pct"/>
                  <w:gridSpan w:val="2"/>
                  <w:vMerge w:val="restart"/>
                  <w:vAlign w:val="center"/>
                </w:tcPr>
                <w:p w14:paraId="7B5887A8">
                  <w:pPr>
                    <w:keepNext w:val="0"/>
                    <w:keepLines w:val="0"/>
                    <w:pageBreakBefore w:val="0"/>
                    <w:widowControl/>
                    <w:kinsoku/>
                    <w:wordWrap/>
                    <w:overflowPunct/>
                    <w:bidi w:val="0"/>
                    <w:jc w:val="center"/>
                    <w:textAlignment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有条件准入类</w:t>
                  </w:r>
                </w:p>
              </w:tc>
              <w:tc>
                <w:tcPr>
                  <w:tcW w:w="4104" w:type="pct"/>
                  <w:gridSpan w:val="2"/>
                  <w:vAlign w:val="center"/>
                </w:tcPr>
                <w:p w14:paraId="1BC161ED">
                  <w:pPr>
                    <w:keepNext w:val="0"/>
                    <w:keepLines w:val="0"/>
                    <w:pageBreakBefore w:val="0"/>
                    <w:widowControl/>
                    <w:suppressLineNumbers w:val="0"/>
                    <w:kinsoku/>
                    <w:wordWrap/>
                    <w:overflowPunct/>
                    <w:bidi w:val="0"/>
                    <w:jc w:val="center"/>
                    <w:rPr>
                      <w:rFonts w:ascii="Times New Roman" w:hAnsi="Times New Roman" w:eastAsia="宋体" w:cs="Times New Roman"/>
                      <w:color w:val="auto"/>
                      <w:lang w:eastAsia="zh-CN"/>
                    </w:rPr>
                  </w:pPr>
                  <w:r>
                    <w:rPr>
                      <w:rFonts w:hint="eastAsia" w:ascii="宋体" w:hAnsi="宋体" w:eastAsia="宋体" w:cs="宋体"/>
                      <w:color w:val="000000"/>
                      <w:kern w:val="0"/>
                      <w:sz w:val="21"/>
                      <w:szCs w:val="21"/>
                      <w:lang w:val="en-US" w:eastAsia="zh-CN" w:bidi="ar"/>
                    </w:rPr>
                    <w:t>涉及重金属总量指标项目需要落实重金属指标来源，危废处置项目需按照国家及安徽省相关管理要求严格控制引入，并经过环境影响充分论证。</w:t>
                  </w:r>
                </w:p>
              </w:tc>
            </w:tr>
            <w:tr w14:paraId="7D13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895" w:type="pct"/>
                  <w:gridSpan w:val="2"/>
                  <w:vMerge w:val="continue"/>
                  <w:vAlign w:val="center"/>
                </w:tcPr>
                <w:p w14:paraId="4AC97A2C">
                  <w:pPr>
                    <w:keepNext w:val="0"/>
                    <w:keepLines w:val="0"/>
                    <w:pageBreakBefore w:val="0"/>
                    <w:widowControl/>
                    <w:kinsoku/>
                    <w:wordWrap/>
                    <w:overflowPunct/>
                    <w:bidi w:val="0"/>
                    <w:jc w:val="both"/>
                    <w:textAlignment w:val="center"/>
                  </w:pPr>
                </w:p>
              </w:tc>
              <w:tc>
                <w:tcPr>
                  <w:tcW w:w="4104" w:type="pct"/>
                  <w:gridSpan w:val="2"/>
                  <w:vAlign w:val="center"/>
                </w:tcPr>
                <w:p w14:paraId="0F59E045">
                  <w:pPr>
                    <w:keepNext w:val="0"/>
                    <w:keepLines w:val="0"/>
                    <w:pageBreakBefore w:val="0"/>
                    <w:widowControl/>
                    <w:suppressLineNumbers w:val="0"/>
                    <w:kinsoku/>
                    <w:wordWrap/>
                    <w:overflowPunct/>
                    <w:bidi w:val="0"/>
                    <w:jc w:val="center"/>
                    <w:rPr>
                      <w:rFonts w:ascii="Times New Roman" w:hAnsi="Times New Roman" w:eastAsia="宋体" w:cs="Times New Roman"/>
                      <w:color w:val="auto"/>
                      <w:lang w:eastAsia="zh-CN"/>
                    </w:rPr>
                  </w:pPr>
                  <w:r>
                    <w:rPr>
                      <w:rFonts w:hint="eastAsia" w:ascii="宋体" w:hAnsi="宋体" w:eastAsia="宋体" w:cs="宋体"/>
                      <w:color w:val="000000"/>
                      <w:kern w:val="0"/>
                      <w:sz w:val="21"/>
                      <w:szCs w:val="21"/>
                      <w:lang w:val="en-US" w:eastAsia="zh-CN" w:bidi="ar"/>
                    </w:rPr>
                    <w:t>与主导产业相关的“两高”类项目需按照国家及安徽省相关政策要求严格控制引入，并经过环境影响充分论证。</w:t>
                  </w:r>
                </w:p>
              </w:tc>
            </w:tr>
            <w:tr w14:paraId="288F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gridSpan w:val="2"/>
                  <w:vAlign w:val="center"/>
                </w:tcPr>
                <w:p w14:paraId="496A2381">
                  <w:pPr>
                    <w:keepNext w:val="0"/>
                    <w:keepLines w:val="0"/>
                    <w:pageBreakBefore w:val="0"/>
                    <w:widowControl/>
                    <w:kinsoku/>
                    <w:wordWrap/>
                    <w:overflowPunct/>
                    <w:bidi w:val="0"/>
                    <w:jc w:val="center"/>
                    <w:rPr>
                      <w:rFonts w:ascii="Times New Roman" w:hAnsi="Times New Roman" w:eastAsia="宋体" w:cs="Times New Roman"/>
                      <w:color w:val="auto"/>
                      <w:lang w:eastAsia="zh-CN"/>
                    </w:rPr>
                  </w:pPr>
                  <w:r>
                    <w:rPr>
                      <w:rFonts w:ascii="Times New Roman" w:hAnsi="Times New Roman" w:cs="Times New Roman"/>
                      <w:color w:val="auto"/>
                    </w:rPr>
                    <w:t>限制类</w:t>
                  </w:r>
                </w:p>
              </w:tc>
              <w:tc>
                <w:tcPr>
                  <w:tcW w:w="4104" w:type="pct"/>
                  <w:gridSpan w:val="2"/>
                  <w:vAlign w:val="center"/>
                </w:tcPr>
                <w:p w14:paraId="7990C7A3">
                  <w:pPr>
                    <w:keepNext w:val="0"/>
                    <w:keepLines w:val="0"/>
                    <w:pageBreakBefore w:val="0"/>
                    <w:widowControl/>
                    <w:suppressLineNumbers w:val="0"/>
                    <w:kinsoku/>
                    <w:wordWrap/>
                    <w:overflowPunct/>
                    <w:topLinePunct w:val="0"/>
                    <w:autoSpaceDE/>
                    <w:autoSpaceDN/>
                    <w:bidi w:val="0"/>
                    <w:adjustRightInd/>
                    <w:snapToGrid/>
                    <w:jc w:val="center"/>
                    <w:textAlignment w:val="auto"/>
                    <w:rPr>
                      <w:rFonts w:ascii="Times New Roman" w:hAnsi="Times New Roman" w:eastAsia="宋体" w:cs="Times New Roman"/>
                      <w:color w:val="auto"/>
                      <w:lang w:eastAsia="zh-CN"/>
                    </w:rPr>
                  </w:pPr>
                  <w:r>
                    <w:rPr>
                      <w:rFonts w:hint="eastAsia" w:ascii="宋体" w:hAnsi="宋体" w:eastAsia="宋体" w:cs="宋体"/>
                      <w:color w:val="000000"/>
                      <w:kern w:val="0"/>
                      <w:sz w:val="21"/>
                      <w:szCs w:val="21"/>
                      <w:lang w:val="en-US" w:eastAsia="zh-CN" w:bidi="ar"/>
                    </w:rPr>
                    <w:t>限制发展能源、资源消耗量或排污量较大但效益相对较好的企业，主要为开发区规划主导产业外、非负面清单中的项目，具体项目引入需经充分环境影响论证。</w:t>
                  </w:r>
                </w:p>
              </w:tc>
            </w:tr>
            <w:tr w14:paraId="40D9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gridSpan w:val="2"/>
                  <w:vAlign w:val="center"/>
                </w:tcPr>
                <w:p w14:paraId="766D98E3">
                  <w:pPr>
                    <w:keepNext w:val="0"/>
                    <w:keepLines w:val="0"/>
                    <w:pageBreakBefore w:val="0"/>
                    <w:widowControl/>
                    <w:kinsoku/>
                    <w:wordWrap/>
                    <w:overflowPunct/>
                    <w:bidi w:val="0"/>
                    <w:jc w:val="center"/>
                    <w:rPr>
                      <w:rFonts w:ascii="Times New Roman" w:hAnsi="Times New Roman" w:eastAsia="宋体" w:cs="Times New Roman"/>
                      <w:color w:val="auto"/>
                      <w:lang w:eastAsia="zh-CN"/>
                    </w:rPr>
                  </w:pPr>
                  <w:r>
                    <w:rPr>
                      <w:rFonts w:ascii="Times New Roman" w:hAnsi="Times New Roman" w:cs="Times New Roman"/>
                      <w:color w:val="auto"/>
                    </w:rPr>
                    <w:t>禁止类</w:t>
                  </w:r>
                </w:p>
              </w:tc>
              <w:tc>
                <w:tcPr>
                  <w:tcW w:w="4104" w:type="pct"/>
                  <w:gridSpan w:val="2"/>
                  <w:vAlign w:val="center"/>
                </w:tcPr>
                <w:p w14:paraId="54082D12">
                  <w:pPr>
                    <w:keepNext w:val="0"/>
                    <w:keepLines w:val="0"/>
                    <w:pageBreakBefore w:val="0"/>
                    <w:widowControl/>
                    <w:kinsoku/>
                    <w:wordWrap/>
                    <w:overflowPunct/>
                    <w:bidi w:val="0"/>
                    <w:jc w:val="both"/>
                    <w:textAlignment w:val="center"/>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1 \* GB3 \* MERGEFORMAT </w:instrText>
                  </w:r>
                  <w:r>
                    <w:rPr>
                      <w:rFonts w:ascii="Times New Roman" w:hAnsi="Times New Roman" w:cs="Times New Roman"/>
                      <w:color w:val="auto"/>
                    </w:rPr>
                    <w:fldChar w:fldCharType="separate"/>
                  </w:r>
                  <w:r>
                    <w:rPr>
                      <w:rFonts w:ascii="Times New Roman" w:hAnsi="Times New Roman" w:cs="Times New Roman"/>
                      <w:color w:val="auto"/>
                    </w:rPr>
                    <w:t>①</w:t>
                  </w:r>
                  <w:r>
                    <w:rPr>
                      <w:rFonts w:ascii="Times New Roman" w:hAnsi="Times New Roman" w:cs="Times New Roman"/>
                      <w:color w:val="auto"/>
                    </w:rPr>
                    <w:fldChar w:fldCharType="end"/>
                  </w:r>
                  <w:r>
                    <w:rPr>
                      <w:rFonts w:ascii="Times New Roman" w:hAnsi="Times New Roman" w:cs="Times New Roman"/>
                      <w:color w:val="auto"/>
                    </w:rPr>
                    <w:t>禁止引入列入《产业结构调整指导目录（2024年本）》、《市场准入负面清单（2022年版）》、《长江经济带发展负面清单指南》（试行，2022年版）、《安徽省淮河流域水污染防治条例》等相关产业政策中禁止或淘汰类项目、产品、工艺和设备；</w:t>
                  </w:r>
                </w:p>
                <w:p w14:paraId="723F587C">
                  <w:pPr>
                    <w:keepNext w:val="0"/>
                    <w:keepLines w:val="0"/>
                    <w:pageBreakBefore w:val="0"/>
                    <w:widowControl/>
                    <w:kinsoku/>
                    <w:wordWrap/>
                    <w:overflowPunct/>
                    <w:bidi w:val="0"/>
                    <w:jc w:val="both"/>
                    <w:textAlignment w:val="center"/>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2 \* GB3 \* MERGEFORMAT </w:instrText>
                  </w:r>
                  <w:r>
                    <w:rPr>
                      <w:rFonts w:ascii="Times New Roman" w:hAnsi="Times New Roman" w:cs="Times New Roman"/>
                      <w:color w:val="auto"/>
                    </w:rPr>
                    <w:fldChar w:fldCharType="separate"/>
                  </w:r>
                  <w:r>
                    <w:rPr>
                      <w:rFonts w:ascii="Times New Roman" w:hAnsi="Times New Roman" w:cs="Times New Roman"/>
                      <w:color w:val="auto"/>
                    </w:rPr>
                    <w:t>②</w:t>
                  </w:r>
                  <w:r>
                    <w:rPr>
                      <w:rFonts w:ascii="Times New Roman" w:hAnsi="Times New Roman" w:cs="Times New Roman"/>
                      <w:color w:val="auto"/>
                    </w:rPr>
                    <w:fldChar w:fldCharType="end"/>
                  </w:r>
                  <w:r>
                    <w:rPr>
                      <w:rFonts w:ascii="Times New Roman" w:hAnsi="Times New Roman" w:cs="Times New Roman"/>
                      <w:color w:val="auto"/>
                    </w:rPr>
                    <w:t>禁止新建、扩建不符合国家产能置换要求的严重过剩产能行业的项目；</w:t>
                  </w:r>
                </w:p>
                <w:p w14:paraId="5AE37EAC">
                  <w:pPr>
                    <w:keepNext w:val="0"/>
                    <w:keepLines w:val="0"/>
                    <w:pageBreakBefore w:val="0"/>
                    <w:widowControl/>
                    <w:suppressLineNumbers w:val="0"/>
                    <w:kinsoku/>
                    <w:wordWrap/>
                    <w:overflowPunct/>
                    <w:bidi w:val="0"/>
                    <w:jc w:val="left"/>
                    <w:rPr>
                      <w:rFonts w:hint="eastAsia" w:ascii="宋体" w:hAnsi="宋体" w:eastAsia="宋体" w:cs="宋体"/>
                      <w:color w:val="000000"/>
                      <w:kern w:val="0"/>
                      <w:sz w:val="21"/>
                      <w:szCs w:val="21"/>
                      <w:lang w:val="en-US" w:eastAsia="zh-CN" w:bidi="ar"/>
                    </w:rPr>
                  </w:pPr>
                  <w:r>
                    <w:rPr>
                      <w:rFonts w:hint="eastAsia" w:ascii="Times New Roman" w:hAnsi="Times New Roman" w:eastAsia="宋体" w:cs="Times New Roman"/>
                      <w:color w:val="auto"/>
                      <w:lang w:val="en-US" w:eastAsia="zh-CN"/>
                    </w:rPr>
                    <w:t>③</w:t>
                  </w:r>
                  <w:r>
                    <w:rPr>
                      <w:rFonts w:hint="eastAsia" w:ascii="宋体" w:hAnsi="宋体" w:eastAsia="宋体" w:cs="宋体"/>
                      <w:color w:val="000000"/>
                      <w:kern w:val="0"/>
                      <w:sz w:val="21"/>
                      <w:szCs w:val="21"/>
                      <w:lang w:val="en-US" w:eastAsia="zh-CN" w:bidi="ar"/>
                    </w:rPr>
                    <w:t>禁止引进国家、安徽省明确规定不得审批的建设项目；</w:t>
                  </w:r>
                </w:p>
                <w:p w14:paraId="5B0399E0">
                  <w:pPr>
                    <w:keepNext w:val="0"/>
                    <w:keepLines w:val="0"/>
                    <w:pageBreakBefore w:val="0"/>
                    <w:widowControl/>
                    <w:suppressLineNumbers w:val="0"/>
                    <w:kinsoku/>
                    <w:wordWrap/>
                    <w:overflowPunct/>
                    <w:bidi w:val="0"/>
                    <w:jc w:val="left"/>
                    <w:rPr>
                      <w:rFonts w:hint="eastAsia" w:ascii="Times New Roman" w:hAnsi="Times New Roman" w:cs="Times New Roman"/>
                      <w:color w:val="auto"/>
                    </w:rPr>
                  </w:pPr>
                  <w:r>
                    <w:rPr>
                      <w:rFonts w:hint="eastAsia" w:ascii="宋体" w:hAnsi="宋体" w:eastAsia="宋体" w:cs="宋体"/>
                      <w:color w:val="000000"/>
                      <w:kern w:val="0"/>
                      <w:sz w:val="21"/>
                      <w:szCs w:val="21"/>
                      <w:lang w:val="en-US" w:eastAsia="zh-CN" w:bidi="ar"/>
                    </w:rPr>
                    <w:t>④</w:t>
                  </w:r>
                  <w:r>
                    <w:rPr>
                      <w:rFonts w:hint="eastAsia" w:ascii="Times New Roman" w:hAnsi="Times New Roman" w:cs="Times New Roman"/>
                      <w:color w:val="auto"/>
                    </w:rPr>
                    <w:t>禁止引入非金属矿物制品业中水泥、石灰和石膏制造中水泥制造和玻璃制造中平板玻璃制造。</w:t>
                  </w:r>
                </w:p>
                <w:p w14:paraId="61A2ACCC">
                  <w:pPr>
                    <w:keepNext w:val="0"/>
                    <w:keepLines w:val="0"/>
                    <w:pageBreakBefore w:val="0"/>
                    <w:widowControl/>
                    <w:suppressLineNumbers w:val="0"/>
                    <w:kinsoku/>
                    <w:wordWrap/>
                    <w:overflowPunct/>
                    <w:bidi w:val="0"/>
                    <w:jc w:val="left"/>
                    <w:rPr>
                      <w:rFonts w:hint="eastAsia" w:ascii="Times New Roman" w:hAnsi="Times New Roman" w:cs="Times New Roman"/>
                      <w:color w:val="auto"/>
                    </w:rPr>
                  </w:pPr>
                  <w:r>
                    <w:rPr>
                      <w:rFonts w:hint="eastAsia" w:ascii="Times New Roman" w:hAnsi="Times New Roman" w:eastAsia="宋体" w:cs="Times New Roman"/>
                      <w:color w:val="auto"/>
                      <w:lang w:val="en-US" w:eastAsia="zh-CN"/>
                    </w:rPr>
                    <w:t>⑤</w:t>
                  </w:r>
                  <w:r>
                    <w:rPr>
                      <w:rFonts w:hint="eastAsia" w:ascii="Times New Roman" w:hAnsi="Times New Roman" w:cs="Times New Roman"/>
                      <w:color w:val="auto"/>
                    </w:rPr>
                    <w:t>禁止引入橡胶和塑料制品业中轮胎制造。</w:t>
                  </w:r>
                </w:p>
                <w:p w14:paraId="38310623">
                  <w:pPr>
                    <w:keepNext w:val="0"/>
                    <w:keepLines w:val="0"/>
                    <w:pageBreakBefore w:val="0"/>
                    <w:widowControl/>
                    <w:suppressLineNumbers w:val="0"/>
                    <w:kinsoku/>
                    <w:wordWrap/>
                    <w:overflowPunct/>
                    <w:bidi w:val="0"/>
                    <w:jc w:val="left"/>
                    <w:rPr>
                      <w:rFonts w:hint="eastAsia" w:ascii="Times New Roman" w:hAnsi="Times New Roman" w:cs="Times New Roman"/>
                      <w:color w:val="auto"/>
                    </w:rPr>
                  </w:pPr>
                  <w:r>
                    <w:rPr>
                      <w:rFonts w:hint="eastAsia" w:ascii="Times New Roman" w:hAnsi="Times New Roman" w:eastAsia="宋体" w:cs="Times New Roman"/>
                      <w:color w:val="auto"/>
                      <w:lang w:val="en-US" w:eastAsia="zh-CN"/>
                    </w:rPr>
                    <w:t>⑥</w:t>
                  </w:r>
                  <w:r>
                    <w:rPr>
                      <w:rFonts w:hint="eastAsia" w:ascii="Times New Roman" w:hAnsi="Times New Roman" w:cs="Times New Roman"/>
                      <w:color w:val="auto"/>
                    </w:rPr>
                    <w:t>禁止引入按规定需进入化工园区的项目。</w:t>
                  </w:r>
                </w:p>
                <w:p w14:paraId="6AB1EAEB">
                  <w:pPr>
                    <w:keepNext w:val="0"/>
                    <w:keepLines w:val="0"/>
                    <w:pageBreakBefore w:val="0"/>
                    <w:widowControl/>
                    <w:suppressLineNumbers w:val="0"/>
                    <w:kinsoku/>
                    <w:wordWrap/>
                    <w:overflowPunct/>
                    <w:bidi w:val="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⑦</w:t>
                  </w:r>
                  <w:r>
                    <w:rPr>
                      <w:rFonts w:hint="eastAsia" w:ascii="Times New Roman" w:hAnsi="Times New Roman" w:cs="Times New Roman"/>
                      <w:color w:val="auto"/>
                    </w:rPr>
                    <w:t>禁止单一电镀企业入园。</w:t>
                  </w:r>
                </w:p>
                <w:p w14:paraId="321C4E62">
                  <w:pPr>
                    <w:keepNext w:val="0"/>
                    <w:keepLines w:val="0"/>
                    <w:pageBreakBefore w:val="0"/>
                    <w:widowControl/>
                    <w:kinsoku/>
                    <w:wordWrap/>
                    <w:overflowPunct/>
                    <w:bidi w:val="0"/>
                    <w:jc w:val="both"/>
                    <w:textAlignment w:val="center"/>
                    <w:rPr>
                      <w:rFonts w:ascii="Times New Roman" w:hAnsi="Times New Roman" w:eastAsia="宋体" w:cs="Times New Roman"/>
                      <w:color w:val="auto"/>
                      <w:lang w:eastAsia="zh-CN"/>
                    </w:rPr>
                  </w:pPr>
                </w:p>
              </w:tc>
            </w:tr>
          </w:tbl>
          <w:p w14:paraId="33AA3FE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综上，</w:t>
            </w:r>
            <w:r>
              <w:rPr>
                <w:rFonts w:hint="default" w:ascii="Times New Roman" w:hAnsi="Times New Roman" w:cs="Times New Roman"/>
                <w:color w:val="auto"/>
                <w:sz w:val="24"/>
                <w:szCs w:val="24"/>
              </w:rPr>
              <w:t>本项目属于</w:t>
            </w:r>
            <w:r>
              <w:rPr>
                <w:rFonts w:hint="default" w:ascii="Times New Roman" w:hAnsi="Times New Roman" w:eastAsia="宋体" w:cs="Times New Roman"/>
                <w:color w:val="auto"/>
                <w:sz w:val="24"/>
                <w:szCs w:val="24"/>
              </w:rPr>
              <w:t>C3311金属结构制造</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rPr>
              <w:t>主要为工程机械做配套结构件，可以为园区的矿山机械产业提供配套服务，</w:t>
            </w:r>
            <w:r>
              <w:rPr>
                <w:rFonts w:hint="eastAsia" w:ascii="Times New Roman" w:hAnsi="Times New Roman" w:eastAsia="宋体" w:cs="Times New Roman"/>
                <w:color w:val="auto"/>
                <w:sz w:val="24"/>
                <w:lang w:val="en-US" w:eastAsia="zh-CN"/>
              </w:rPr>
              <w:t>项目</w:t>
            </w:r>
            <w:r>
              <w:rPr>
                <w:rFonts w:hint="default" w:ascii="Times New Roman" w:hAnsi="Times New Roman" w:cs="Times New Roman"/>
                <w:color w:val="auto"/>
                <w:sz w:val="24"/>
                <w:szCs w:val="24"/>
              </w:rPr>
              <w:t>不涉及电镀、轮胎制造、化工、水泥等</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《安徽宿州高新技术产业开发区总体发展规划环境影响报告书》（2023-2035年）</w:t>
            </w:r>
            <w:r>
              <w:rPr>
                <w:rFonts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安徽宿州高新技术产业开发区</w:t>
            </w:r>
            <w:r>
              <w:rPr>
                <w:rFonts w:ascii="Times New Roman" w:hAnsi="Times New Roman" w:eastAsia="宋体" w:cs="Times New Roman"/>
                <w:color w:val="auto"/>
                <w:sz w:val="24"/>
                <w:szCs w:val="24"/>
                <w:lang w:eastAsia="zh-CN"/>
              </w:rPr>
              <w:t>生态环境</w:t>
            </w:r>
            <w:r>
              <w:rPr>
                <w:rFonts w:hint="eastAsia" w:ascii="Times New Roman" w:hAnsi="Times New Roman" w:eastAsia="宋体" w:cs="Times New Roman"/>
                <w:color w:val="auto"/>
                <w:sz w:val="24"/>
                <w:szCs w:val="24"/>
                <w:lang w:eastAsia="zh-CN"/>
              </w:rPr>
              <w:t>准</w:t>
            </w:r>
            <w:r>
              <w:rPr>
                <w:rFonts w:ascii="Times New Roman" w:hAnsi="Times New Roman" w:eastAsia="宋体" w:cs="Times New Roman"/>
                <w:color w:val="auto"/>
                <w:sz w:val="24"/>
                <w:szCs w:val="24"/>
                <w:lang w:eastAsia="zh-CN"/>
              </w:rPr>
              <w:t>入清单一览表，本项目不属于“限制类”和“禁止类”，</w:t>
            </w:r>
            <w:r>
              <w:rPr>
                <w:rFonts w:hint="eastAsia" w:ascii="Times New Roman" w:hAnsi="Times New Roman" w:eastAsia="宋体" w:cs="Times New Roman"/>
                <w:color w:val="auto"/>
                <w:sz w:val="24"/>
                <w:szCs w:val="24"/>
                <w:lang w:eastAsia="zh-CN"/>
              </w:rPr>
              <w:t>视为“允许类”</w:t>
            </w:r>
            <w:r>
              <w:rPr>
                <w:rFonts w:ascii="Times New Roman" w:hAnsi="Times New Roman" w:eastAsia="宋体" w:cs="Times New Roman"/>
                <w:color w:val="auto"/>
                <w:sz w:val="24"/>
                <w:szCs w:val="24"/>
                <w:lang w:eastAsia="zh-CN"/>
              </w:rPr>
              <w:t>符合国家产</w:t>
            </w:r>
            <w:r>
              <w:rPr>
                <w:rFonts w:hint="eastAsia" w:ascii="Times New Roman" w:hAnsi="Times New Roman" w:eastAsia="宋体" w:cs="Times New Roman"/>
                <w:color w:val="auto"/>
                <w:sz w:val="24"/>
                <w:szCs w:val="24"/>
                <w:lang w:eastAsia="zh-CN"/>
              </w:rPr>
              <w:t>业</w:t>
            </w:r>
            <w:r>
              <w:rPr>
                <w:rFonts w:ascii="Times New Roman" w:hAnsi="Times New Roman" w:eastAsia="宋体" w:cs="Times New Roman"/>
                <w:color w:val="auto"/>
                <w:sz w:val="24"/>
                <w:szCs w:val="24"/>
                <w:lang w:eastAsia="zh-CN"/>
              </w:rPr>
              <w:t>政策要求，符合</w:t>
            </w:r>
            <w:r>
              <w:rPr>
                <w:rFonts w:hint="default" w:ascii="Times New Roman" w:hAnsi="Times New Roman" w:eastAsia="宋体" w:cs="Times New Roman"/>
                <w:color w:val="auto"/>
                <w:sz w:val="24"/>
                <w:szCs w:val="24"/>
              </w:rPr>
              <w:t>安徽宿州高新技术产业开发区</w:t>
            </w:r>
            <w:r>
              <w:rPr>
                <w:rFonts w:ascii="Times New Roman" w:hAnsi="Times New Roman" w:eastAsia="宋体" w:cs="Times New Roman"/>
                <w:color w:val="auto"/>
                <w:sz w:val="24"/>
                <w:szCs w:val="24"/>
                <w:lang w:eastAsia="zh-CN"/>
              </w:rPr>
              <w:t>总体发展规划的要求，项目运营期严格落实相</w:t>
            </w:r>
            <w:r>
              <w:rPr>
                <w:rFonts w:hint="eastAsia" w:ascii="Times New Roman" w:hAnsi="Times New Roman" w:eastAsia="宋体" w:cs="Times New Roman"/>
                <w:color w:val="auto"/>
                <w:sz w:val="24"/>
                <w:szCs w:val="24"/>
                <w:lang w:eastAsia="zh-CN"/>
              </w:rPr>
              <w:t>关</w:t>
            </w:r>
            <w:r>
              <w:rPr>
                <w:rFonts w:ascii="Times New Roman" w:hAnsi="Times New Roman" w:eastAsia="宋体" w:cs="Times New Roman"/>
                <w:color w:val="auto"/>
                <w:sz w:val="24"/>
                <w:szCs w:val="24"/>
                <w:lang w:eastAsia="zh-CN"/>
              </w:rPr>
              <w:t>治理措施，对</w:t>
            </w:r>
            <w:r>
              <w:rPr>
                <w:rFonts w:ascii="Times New Roman" w:hAnsi="Times New Roman" w:cs="Times New Roman"/>
                <w:color w:val="auto"/>
                <w:sz w:val="24"/>
                <w:szCs w:val="24"/>
                <w:lang w:eastAsia="zh-CN"/>
              </w:rPr>
              <w:t>区域环境质量影响较小，因此满足</w:t>
            </w:r>
            <w:r>
              <w:rPr>
                <w:rFonts w:hint="default" w:ascii="Times New Roman" w:hAnsi="Times New Roman" w:eastAsia="宋体" w:cs="Times New Roman"/>
                <w:color w:val="auto"/>
                <w:sz w:val="24"/>
                <w:szCs w:val="24"/>
              </w:rPr>
              <w:t>安徽宿州高新技术产业开发区</w:t>
            </w:r>
            <w:r>
              <w:rPr>
                <w:rFonts w:ascii="Times New Roman" w:hAnsi="Times New Roman" w:cs="Times New Roman"/>
                <w:color w:val="auto"/>
                <w:sz w:val="24"/>
                <w:szCs w:val="24"/>
                <w:lang w:eastAsia="zh-CN"/>
              </w:rPr>
              <w:t>生态环境入清单的要求</w:t>
            </w:r>
            <w:r>
              <w:rPr>
                <w:rFonts w:hint="eastAsia" w:ascii="Times New Roman" w:hAnsi="Times New Roman" w:cs="Times New Roman"/>
                <w:color w:val="auto"/>
                <w:sz w:val="24"/>
                <w:szCs w:val="24"/>
                <w:lang w:eastAsia="zh-CN"/>
              </w:rPr>
              <w:t>。</w:t>
            </w:r>
          </w:p>
          <w:p w14:paraId="5ECB91ED">
            <w:pPr>
              <w:pStyle w:val="37"/>
              <w:keepNext w:val="0"/>
              <w:keepLines w:val="0"/>
              <w:pageBreakBefore w:val="0"/>
              <w:widowControl/>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（5）环境分区管控</w:t>
            </w:r>
          </w:p>
          <w:p w14:paraId="78D1EA6F">
            <w:pPr>
              <w:pStyle w:val="32"/>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kern w:val="2"/>
                <w:sz w:val="24"/>
                <w:szCs w:val="24"/>
                <w:lang w:val="en-US" w:eastAsia="zh-CN" w:bidi="ar"/>
              </w:rPr>
            </w:pPr>
            <w:r>
              <w:rPr>
                <w:rFonts w:hint="eastAsia" w:ascii="Times New Roman" w:hAnsi="Times New Roman" w:eastAsia="宋体" w:cs="Times New Roman"/>
                <w:kern w:val="2"/>
                <w:sz w:val="24"/>
                <w:szCs w:val="24"/>
                <w:lang w:val="en-US" w:eastAsia="zh-CN" w:bidi="ar"/>
              </w:rPr>
              <w:t>根据安徽省“三线一单 ”公众服务平台，生态环境分区管控单元编码为：</w:t>
            </w:r>
            <w:r>
              <w:rPr>
                <w:rFonts w:hint="eastAsia" w:ascii="Times New Roman" w:hAnsi="Times New Roman" w:eastAsia="宋体" w:cs="Times New Roman"/>
                <w:bCs/>
                <w:kern w:val="2"/>
                <w:sz w:val="24"/>
                <w:szCs w:val="24"/>
                <w:lang w:val="en-US" w:eastAsia="zh-CN" w:bidi="ar-SA"/>
              </w:rPr>
              <w:t>ZH34130220013。</w:t>
            </w:r>
            <w:r>
              <w:rPr>
                <w:rFonts w:hint="eastAsia" w:ascii="Times New Roman" w:hAnsi="Times New Roman" w:eastAsia="宋体" w:cs="Times New Roman"/>
                <w:kern w:val="2"/>
                <w:sz w:val="24"/>
                <w:szCs w:val="24"/>
                <w:lang w:val="en-US" w:eastAsia="zh-CN" w:bidi="ar"/>
              </w:rPr>
              <w:t>属于重点管控单元。建设项目符合其空间管控约束、污染物排放管控、资源开发效率等要求。项目基本信息见下表，安徽省“三线一单”公众服务平台截图见附图。</w:t>
            </w:r>
          </w:p>
          <w:p w14:paraId="1E1E0EE4">
            <w:pPr>
              <w:pStyle w:val="3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4"/>
                <w:szCs w:val="24"/>
                <w:lang w:val="en-US" w:eastAsia="zh-CN" w:bidi="ar"/>
              </w:rPr>
            </w:pPr>
            <w:r>
              <w:rPr>
                <w:rFonts w:hint="default" w:ascii="Times New Roman" w:hAnsi="Times New Roman" w:eastAsia="宋体" w:cs="Times New Roman"/>
                <w:b/>
                <w:bCs/>
                <w:kern w:val="2"/>
                <w:sz w:val="24"/>
                <w:szCs w:val="24"/>
                <w:lang w:val="en-US" w:eastAsia="zh-CN" w:bidi="ar"/>
              </w:rPr>
              <w:t>表1-</w:t>
            </w:r>
            <w:r>
              <w:rPr>
                <w:rFonts w:hint="eastAsia" w:ascii="Times New Roman" w:hAnsi="Times New Roman" w:eastAsia="宋体" w:cs="Times New Roman"/>
                <w:b/>
                <w:bCs/>
                <w:kern w:val="2"/>
                <w:sz w:val="24"/>
                <w:szCs w:val="24"/>
                <w:lang w:val="en-US" w:eastAsia="zh-CN" w:bidi="ar"/>
              </w:rPr>
              <w:t>3</w:t>
            </w:r>
            <w:r>
              <w:rPr>
                <w:rFonts w:hint="default" w:ascii="Times New Roman" w:hAnsi="Times New Roman" w:eastAsia="宋体" w:cs="Times New Roman"/>
                <w:b/>
                <w:bCs/>
                <w:kern w:val="2"/>
                <w:sz w:val="24"/>
                <w:szCs w:val="24"/>
                <w:lang w:val="en-US" w:eastAsia="zh-CN" w:bidi="ar"/>
              </w:rPr>
              <w:t xml:space="preserve">  项目分区管控单元基本信息</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4864"/>
              <w:gridCol w:w="2918"/>
            </w:tblGrid>
            <w:tr w14:paraId="667E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2C54222C">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序号</w:t>
                  </w:r>
                </w:p>
              </w:tc>
              <w:tc>
                <w:tcPr>
                  <w:tcW w:w="2779" w:type="pct"/>
                  <w:vAlign w:val="center"/>
                </w:tcPr>
                <w:p w14:paraId="2080147F">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类别</w:t>
                  </w:r>
                </w:p>
              </w:tc>
              <w:tc>
                <w:tcPr>
                  <w:tcW w:w="1667" w:type="pct"/>
                  <w:vAlign w:val="center"/>
                </w:tcPr>
                <w:p w14:paraId="1C9348FE">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本项目</w:t>
                  </w:r>
                </w:p>
              </w:tc>
            </w:tr>
            <w:tr w14:paraId="4231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463CA656">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1</w:t>
                  </w:r>
                </w:p>
              </w:tc>
              <w:tc>
                <w:tcPr>
                  <w:tcW w:w="2779" w:type="pct"/>
                  <w:vAlign w:val="center"/>
                </w:tcPr>
                <w:p w14:paraId="6A586863">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环境管控单元编码</w:t>
                  </w:r>
                </w:p>
              </w:tc>
              <w:tc>
                <w:tcPr>
                  <w:tcW w:w="1667" w:type="pct"/>
                  <w:vAlign w:val="center"/>
                </w:tcPr>
                <w:p w14:paraId="5CE63608">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eastAsia" w:ascii="Times New Roman" w:hAnsi="Times New Roman" w:eastAsia="宋体" w:cs="Times New Roman"/>
                      <w:bCs/>
                      <w:kern w:val="2"/>
                      <w:sz w:val="21"/>
                      <w:szCs w:val="21"/>
                      <w:lang w:val="en-US" w:eastAsia="zh-CN" w:bidi="ar-SA"/>
                    </w:rPr>
                    <w:t>ZH34130220013</w:t>
                  </w:r>
                </w:p>
              </w:tc>
            </w:tr>
            <w:tr w14:paraId="1A6E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020C2782">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2</w:t>
                  </w:r>
                </w:p>
              </w:tc>
              <w:tc>
                <w:tcPr>
                  <w:tcW w:w="2779" w:type="pct"/>
                  <w:vAlign w:val="center"/>
                </w:tcPr>
                <w:p w14:paraId="4EC8BF26">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管控单元分类</w:t>
                  </w:r>
                </w:p>
              </w:tc>
              <w:tc>
                <w:tcPr>
                  <w:tcW w:w="1667" w:type="pct"/>
                  <w:vAlign w:val="center"/>
                </w:tcPr>
                <w:p w14:paraId="02FC7D13">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重点管控单元</w:t>
                  </w:r>
                </w:p>
              </w:tc>
            </w:tr>
            <w:tr w14:paraId="2617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3BA6709C">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3</w:t>
                  </w:r>
                </w:p>
              </w:tc>
              <w:tc>
                <w:tcPr>
                  <w:tcW w:w="2779" w:type="pct"/>
                  <w:vAlign w:val="center"/>
                </w:tcPr>
                <w:p w14:paraId="751C9176">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行政区</w:t>
                  </w:r>
                </w:p>
              </w:tc>
              <w:tc>
                <w:tcPr>
                  <w:tcW w:w="1667" w:type="pct"/>
                  <w:vAlign w:val="center"/>
                </w:tcPr>
                <w:p w14:paraId="58755290">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宿州市</w:t>
                  </w:r>
                  <w:r>
                    <w:rPr>
                      <w:rFonts w:hint="eastAsia" w:ascii="Times New Roman" w:hAnsi="Times New Roman" w:cs="Times New Roman"/>
                      <w:bCs/>
                      <w:kern w:val="0"/>
                      <w:sz w:val="21"/>
                      <w:szCs w:val="21"/>
                      <w:vertAlign w:val="baseline"/>
                      <w:lang w:val="en-US" w:eastAsia="zh-CN"/>
                    </w:rPr>
                    <w:t>埇桥区</w:t>
                  </w:r>
                </w:p>
              </w:tc>
            </w:tr>
            <w:tr w14:paraId="4A6E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2E8AD2CA">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4</w:t>
                  </w:r>
                </w:p>
              </w:tc>
              <w:tc>
                <w:tcPr>
                  <w:tcW w:w="2779" w:type="pct"/>
                  <w:vAlign w:val="center"/>
                </w:tcPr>
                <w:p w14:paraId="6B19E936">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管控单元细分类</w:t>
                  </w:r>
                </w:p>
              </w:tc>
              <w:tc>
                <w:tcPr>
                  <w:tcW w:w="1667" w:type="pct"/>
                  <w:vAlign w:val="center"/>
                </w:tcPr>
                <w:p w14:paraId="579EEAFE">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Cs/>
                      <w:kern w:val="0"/>
                      <w:sz w:val="21"/>
                      <w:szCs w:val="21"/>
                      <w:vertAlign w:val="baseline"/>
                      <w:lang w:val="en-US" w:eastAsia="zh-CN"/>
                    </w:rPr>
                  </w:pPr>
                  <w:r>
                    <w:rPr>
                      <w:rFonts w:hint="default" w:ascii="Times New Roman" w:hAnsi="Times New Roman" w:cs="Times New Roman"/>
                      <w:bCs/>
                      <w:kern w:val="0"/>
                      <w:sz w:val="21"/>
                      <w:szCs w:val="21"/>
                      <w:vertAlign w:val="baseline"/>
                      <w:lang w:val="en-US" w:eastAsia="zh-CN"/>
                    </w:rPr>
                    <w:t>水重点/大气重点</w:t>
                  </w:r>
                </w:p>
              </w:tc>
            </w:tr>
          </w:tbl>
          <w:p w14:paraId="472361FA">
            <w:pPr>
              <w:pStyle w:val="30"/>
              <w:keepNext w:val="0"/>
              <w:keepLines w:val="0"/>
              <w:pageBreakBefore w:val="0"/>
              <w:widowControl/>
              <w:kinsoku/>
              <w:wordWrap/>
              <w:overflowPunct/>
              <w:bidi w:val="0"/>
              <w:adjustRightInd/>
              <w:snapToGrid/>
              <w:spacing w:line="240" w:lineRule="auto"/>
              <w:ind w:firstLine="0" w:firstLineChars="0"/>
              <w:jc w:val="center"/>
              <w:rPr>
                <w:rFonts w:ascii="Times New Roman" w:hAnsi="Times New Roman" w:eastAsia="宋体" w:cs="Times New Roman"/>
                <w:b/>
                <w:bCs/>
                <w:color w:val="auto"/>
                <w:sz w:val="24"/>
                <w:szCs w:val="24"/>
                <w:lang w:eastAsia="zh-CN"/>
              </w:rPr>
            </w:pPr>
          </w:p>
          <w:p w14:paraId="06460C59">
            <w:pPr>
              <w:pStyle w:val="30"/>
              <w:keepNext w:val="0"/>
              <w:keepLines w:val="0"/>
              <w:pageBreakBefore w:val="0"/>
              <w:widowControl/>
              <w:kinsoku/>
              <w:wordWrap/>
              <w:overflowPunct/>
              <w:bidi w:val="0"/>
              <w:adjustRightInd/>
              <w:snapToGrid/>
              <w:spacing w:line="240" w:lineRule="auto"/>
              <w:ind w:firstLine="0" w:firstLineChars="0"/>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eastAsia="zh-CN"/>
              </w:rPr>
              <w:t xml:space="preserve"> </w:t>
            </w:r>
            <w:r>
              <w:rPr>
                <w:rFonts w:ascii="Times New Roman" w:hAnsi="Times New Roman" w:eastAsia="宋体" w:cs="Times New Roman"/>
                <w:b/>
                <w:bCs/>
                <w:color w:val="auto"/>
                <w:sz w:val="24"/>
                <w:szCs w:val="24"/>
                <w:lang w:eastAsia="zh-CN"/>
              </w:rPr>
              <w:t>项目与管控单元符合性分析一览表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947"/>
              <w:gridCol w:w="3672"/>
              <w:gridCol w:w="3287"/>
            </w:tblGrid>
            <w:tr w14:paraId="555B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pct"/>
                  <w:vAlign w:val="center"/>
                </w:tcPr>
                <w:p w14:paraId="24FCF477">
                  <w:pPr>
                    <w:keepNext w:val="0"/>
                    <w:keepLines w:val="0"/>
                    <w:pageBreakBefore w:val="0"/>
                    <w:widowControl/>
                    <w:kinsoku/>
                    <w:wordWrap/>
                    <w:overflowPunct/>
                    <w:bidi w:val="0"/>
                    <w:jc w:val="center"/>
                    <w:textAlignment w:val="auto"/>
                    <w:rPr>
                      <w:rFonts w:ascii="Times New Roman" w:hAnsi="Times New Roman" w:eastAsia="宋体" w:cs="Times New Roman"/>
                      <w:b/>
                      <w:bCs/>
                      <w:color w:val="auto"/>
                      <w:lang w:eastAsia="zh-CN"/>
                    </w:rPr>
                  </w:pPr>
                  <w:r>
                    <w:rPr>
                      <w:rFonts w:hint="eastAsia" w:ascii="Times New Roman" w:hAnsi="Times New Roman" w:cs="Times New Roman"/>
                      <w:b/>
                      <w:bCs/>
                      <w:color w:val="auto"/>
                      <w:lang w:eastAsia="zh-CN"/>
                    </w:rPr>
                    <w:t>管控单元分类</w:t>
                  </w:r>
                </w:p>
              </w:tc>
              <w:tc>
                <w:tcPr>
                  <w:tcW w:w="541" w:type="pct"/>
                  <w:vAlign w:val="center"/>
                </w:tcPr>
                <w:p w14:paraId="7EE84D3B">
                  <w:pPr>
                    <w:keepNext w:val="0"/>
                    <w:keepLines w:val="0"/>
                    <w:pageBreakBefore w:val="0"/>
                    <w:widowControl/>
                    <w:kinsoku/>
                    <w:wordWrap/>
                    <w:overflowPunct/>
                    <w:bidi w:val="0"/>
                    <w:jc w:val="center"/>
                    <w:textAlignment w:val="auto"/>
                    <w:rPr>
                      <w:rFonts w:ascii="Times New Roman" w:hAnsi="Times New Roman" w:eastAsia="宋体" w:cs="Times New Roman"/>
                      <w:b/>
                      <w:bCs/>
                      <w:color w:val="auto"/>
                      <w:lang w:eastAsia="zh-CN"/>
                    </w:rPr>
                  </w:pPr>
                  <w:r>
                    <w:rPr>
                      <w:rFonts w:hint="eastAsia" w:ascii="Times New Roman" w:hAnsi="Times New Roman" w:cs="Times New Roman"/>
                      <w:b/>
                      <w:bCs/>
                      <w:color w:val="auto"/>
                      <w:lang w:eastAsia="zh-CN"/>
                    </w:rPr>
                    <w:t>本项目情况</w:t>
                  </w:r>
                </w:p>
              </w:tc>
              <w:tc>
                <w:tcPr>
                  <w:tcW w:w="2098" w:type="pct"/>
                  <w:vAlign w:val="center"/>
                </w:tcPr>
                <w:p w14:paraId="23001B2F">
                  <w:pPr>
                    <w:keepNext w:val="0"/>
                    <w:keepLines w:val="0"/>
                    <w:pageBreakBefore w:val="0"/>
                    <w:widowControl/>
                    <w:kinsoku/>
                    <w:wordWrap/>
                    <w:overflowPunct/>
                    <w:bidi w:val="0"/>
                    <w:jc w:val="center"/>
                    <w:textAlignment w:val="auto"/>
                    <w:rPr>
                      <w:rFonts w:ascii="Times New Roman" w:hAnsi="Times New Roman" w:eastAsia="宋体" w:cs="Times New Roman"/>
                      <w:b/>
                      <w:bCs/>
                      <w:color w:val="auto"/>
                      <w:lang w:eastAsia="zh-CN"/>
                    </w:rPr>
                  </w:pPr>
                  <w:r>
                    <w:rPr>
                      <w:rFonts w:hint="eastAsia" w:ascii="Times New Roman" w:hAnsi="Times New Roman" w:cs="Times New Roman"/>
                      <w:b/>
                      <w:bCs/>
                      <w:color w:val="auto"/>
                      <w:lang w:eastAsia="zh-CN"/>
                    </w:rPr>
                    <w:t>分区管控要求</w:t>
                  </w:r>
                </w:p>
              </w:tc>
              <w:tc>
                <w:tcPr>
                  <w:tcW w:w="1878" w:type="pct"/>
                  <w:vAlign w:val="center"/>
                </w:tcPr>
                <w:p w14:paraId="4F154EC1">
                  <w:pPr>
                    <w:keepNext w:val="0"/>
                    <w:keepLines w:val="0"/>
                    <w:pageBreakBefore w:val="0"/>
                    <w:widowControl/>
                    <w:kinsoku/>
                    <w:wordWrap/>
                    <w:overflowPunct/>
                    <w:bidi w:val="0"/>
                    <w:jc w:val="center"/>
                    <w:textAlignment w:val="auto"/>
                    <w:rPr>
                      <w:rFonts w:ascii="Times New Roman" w:hAnsi="Times New Roman" w:eastAsia="宋体" w:cs="Times New Roman"/>
                      <w:b/>
                      <w:bCs/>
                      <w:color w:val="auto"/>
                      <w:lang w:eastAsia="zh-CN"/>
                    </w:rPr>
                  </w:pPr>
                  <w:r>
                    <w:rPr>
                      <w:rFonts w:hint="eastAsia" w:ascii="Times New Roman" w:hAnsi="Times New Roman" w:cs="Times New Roman"/>
                      <w:b/>
                      <w:bCs/>
                      <w:color w:val="auto"/>
                      <w:lang w:eastAsia="zh-CN"/>
                    </w:rPr>
                    <w:t>协调性分析</w:t>
                  </w:r>
                </w:p>
              </w:tc>
            </w:tr>
            <w:tr w14:paraId="4232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pct"/>
                  <w:vAlign w:val="center"/>
                </w:tcPr>
                <w:p w14:paraId="17B2B5E1">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cs="Times New Roman"/>
                      <w:color w:val="auto"/>
                      <w:lang w:eastAsia="zh-CN"/>
                    </w:rPr>
                    <w:t>大气环境</w:t>
                  </w:r>
                </w:p>
              </w:tc>
              <w:tc>
                <w:tcPr>
                  <w:tcW w:w="541" w:type="pct"/>
                  <w:vAlign w:val="center"/>
                </w:tcPr>
                <w:p w14:paraId="6110259D">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cs="Times New Roman"/>
                      <w:color w:val="auto"/>
                      <w:lang w:eastAsia="zh-CN"/>
                    </w:rPr>
                    <w:t>重点管控区</w:t>
                  </w:r>
                </w:p>
              </w:tc>
              <w:tc>
                <w:tcPr>
                  <w:tcW w:w="2098" w:type="pct"/>
                  <w:vAlign w:val="center"/>
                </w:tcPr>
                <w:p w14:paraId="40F8CD6D">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落实《安徽省大气污染防治条例》《安徽省碳达峰实施方案的通知》《安徽省工业领域碳达峰实施方案》《安徽省城乡建设领域碳达峰实施方案》《关于进一步加强新上“两高”项目管理的通知》《安徽省</w:t>
                  </w:r>
                </w:p>
                <w:p w14:paraId="1223B110">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挥发性有机物污染整治工作方案》《关于进一步加强建设项目新增大气污染物总量控制指标管理工作的通知》《安徽省“十四五”节能减排实施方案》《深入打好污染防治攻坚战行动方案》《淮北市“十四</w:t>
                  </w:r>
                </w:p>
                <w:p w14:paraId="423F218E">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五”节能减排实施方案》要求；严格目标实施计划，加强环境监管，促进生态环境质量好转；新建、改建和扩建项目大气污染物实施“倍量替代”，执行特别排放标准的行业实施提标升级改造。</w:t>
                  </w:r>
                </w:p>
              </w:tc>
              <w:tc>
                <w:tcPr>
                  <w:tcW w:w="1878" w:type="pct"/>
                  <w:vAlign w:val="center"/>
                </w:tcPr>
                <w:p w14:paraId="1BAFC8FD">
                  <w:pPr>
                    <w:keepNext w:val="0"/>
                    <w:keepLines w:val="0"/>
                    <w:pageBreakBefore w:val="0"/>
                    <w:widowControl/>
                    <w:kinsoku/>
                    <w:wordWrap/>
                    <w:overflowPunct/>
                    <w:bidi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本项目严格按照相关要求执行，</w:t>
                  </w:r>
                  <w:r>
                    <w:rPr>
                      <w:rFonts w:ascii="Times New Roman" w:hAnsi="Times New Roman" w:cs="Times New Roman"/>
                      <w:color w:val="auto"/>
                    </w:rPr>
                    <w:t>项目大气污染物实施“倍量替代”</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项目搬迁后不进行喷漆，可减少颗粒物及非甲烷总烃排放量，</w:t>
                  </w:r>
                  <w:r>
                    <w:rPr>
                      <w:rFonts w:hint="default" w:ascii="Times New Roman" w:hAnsi="Times New Roman" w:eastAsia="宋体" w:cs="Times New Roman"/>
                      <w:color w:val="auto"/>
                      <w:lang w:val="en-US" w:eastAsia="zh-CN"/>
                    </w:rPr>
                    <w:t>项目切割、</w:t>
                  </w:r>
                  <w:r>
                    <w:rPr>
                      <w:rFonts w:hint="eastAsia" w:ascii="Times New Roman" w:hAnsi="Times New Roman" w:eastAsia="宋体" w:cs="Times New Roman"/>
                      <w:color w:val="auto"/>
                      <w:lang w:val="en-US" w:eastAsia="zh-CN"/>
                    </w:rPr>
                    <w:t>焊接</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抛丸、</w:t>
                  </w:r>
                  <w:r>
                    <w:rPr>
                      <w:rFonts w:hint="default" w:ascii="Times New Roman" w:hAnsi="Times New Roman" w:eastAsia="宋体" w:cs="Times New Roman"/>
                      <w:color w:val="auto"/>
                      <w:lang w:val="en-US" w:eastAsia="zh-CN"/>
                    </w:rPr>
                    <w:t>喷塑产生的颗粒物与酸洗产的硫酸雾执行《大气污染物综合排放标准》（GB16297-1996）表2中相关要求；电泳、电泳烘干、</w:t>
                  </w:r>
                  <w:r>
                    <w:rPr>
                      <w:rFonts w:hint="eastAsia" w:ascii="Times New Roman" w:hAnsi="Times New Roman" w:eastAsia="宋体" w:cs="Times New Roman"/>
                      <w:color w:val="auto"/>
                      <w:lang w:val="en-US" w:eastAsia="zh-CN"/>
                    </w:rPr>
                    <w:t>喷塑固化</w:t>
                  </w:r>
                  <w:r>
                    <w:rPr>
                      <w:rFonts w:hint="default" w:ascii="Times New Roman" w:hAnsi="Times New Roman" w:eastAsia="宋体" w:cs="Times New Roman"/>
                      <w:color w:val="auto"/>
                      <w:lang w:val="en-US" w:eastAsia="zh-CN"/>
                    </w:rPr>
                    <w:t>产生的</w:t>
                  </w:r>
                  <w:r>
                    <w:rPr>
                      <w:rFonts w:hint="eastAsia" w:ascii="Times New Roman" w:hAnsi="Times New Roman" w:eastAsia="宋体" w:cs="Times New Roman"/>
                      <w:color w:val="auto"/>
                      <w:lang w:val="en-US" w:eastAsia="zh-CN"/>
                    </w:rPr>
                    <w:t>非甲烷总烃</w:t>
                  </w:r>
                  <w:r>
                    <w:rPr>
                      <w:rFonts w:hint="default" w:ascii="Times New Roman" w:hAnsi="Times New Roman" w:eastAsia="宋体" w:cs="Times New Roman"/>
                      <w:color w:val="auto"/>
                      <w:lang w:val="en-US" w:eastAsia="zh-CN"/>
                    </w:rPr>
                    <w:t>参照安徽省地方标准《固定源挥发性有机物综合排放标准第6部分：其他行业》（DB344812.6-2024）中表1其他涉表面涂装工序的工业排放限值；项目的</w:t>
                  </w:r>
                  <w:r>
                    <w:rPr>
                      <w:rFonts w:hint="eastAsia" w:ascii="Times New Roman" w:hAnsi="Times New Roman" w:eastAsia="宋体" w:cs="Times New Roman"/>
                      <w:color w:val="auto"/>
                      <w:lang w:val="en-US" w:eastAsia="zh-CN"/>
                    </w:rPr>
                    <w:t>固化及电泳</w:t>
                  </w:r>
                  <w:r>
                    <w:rPr>
                      <w:rFonts w:hint="default" w:ascii="Times New Roman" w:hAnsi="Times New Roman" w:eastAsia="宋体" w:cs="Times New Roman"/>
                      <w:color w:val="auto"/>
                      <w:lang w:val="en-US" w:eastAsia="zh-CN"/>
                    </w:rPr>
                    <w:t>烘干液化石油气燃烧废气（SO2、NOX）排放执行《工业炉窑大气污染物排放标准》（GB9078-1996）中其他炉窑排放限值以及《工业炉窑大气污染综合治理方案》（环大气〔2019〕56号）中要求</w:t>
                  </w:r>
                </w:p>
              </w:tc>
            </w:tr>
            <w:tr w14:paraId="6D2E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pct"/>
                  <w:vAlign w:val="center"/>
                </w:tcPr>
                <w:p w14:paraId="05BCBD1D">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cs="Times New Roman"/>
                      <w:color w:val="auto"/>
                      <w:lang w:eastAsia="zh-CN"/>
                    </w:rPr>
                    <w:t>水环境</w:t>
                  </w:r>
                </w:p>
              </w:tc>
              <w:tc>
                <w:tcPr>
                  <w:tcW w:w="541" w:type="pct"/>
                  <w:vAlign w:val="center"/>
                </w:tcPr>
                <w:p w14:paraId="3F8252C5">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cs="Times New Roman"/>
                      <w:color w:val="auto"/>
                      <w:lang w:eastAsia="zh-CN"/>
                    </w:rPr>
                    <w:t>工业污染重点管控区</w:t>
                  </w:r>
                </w:p>
              </w:tc>
              <w:tc>
                <w:tcPr>
                  <w:tcW w:w="2098" w:type="pct"/>
                  <w:vAlign w:val="center"/>
                </w:tcPr>
                <w:p w14:paraId="247E8116">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依据《中华人民共和国水污染防治法》《水污染防治行动计划》《安徽省水污染防治工作方案》及淮北市水污染防治工作方案对重点管控区实施管控；依据淮北市相关</w:t>
                  </w:r>
                </w:p>
                <w:p w14:paraId="5625F70F">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开发区规划、规划环评及审查意见相关要求对开发区实施管控；落实《安徽省“十四五”生态环境保护规划》《安徽省“十四五”节能减排实施方案》《淮北市“十四五”生态环境保护规划》《淮北市“十四五”水生态环境保护专项规划》《淮北</w:t>
                  </w:r>
                </w:p>
                <w:p w14:paraId="693BE5C8">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市“十四五”节能减排方案》《淮北市水污染防治工作方案》等要求；新建、改建和扩建项目水污染物实施“等量替代”。</w:t>
                  </w:r>
                </w:p>
              </w:tc>
              <w:tc>
                <w:tcPr>
                  <w:tcW w:w="1878" w:type="pct"/>
                  <w:vAlign w:val="center"/>
                </w:tcPr>
                <w:p w14:paraId="43B73C88">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生活污水经化粪池预处理后</w:t>
                  </w:r>
                  <w:r>
                    <w:rPr>
                      <w:rFonts w:hint="eastAsia" w:ascii="Times New Roman" w:hAnsi="Times New Roman" w:eastAsia="宋体" w:cs="Times New Roman"/>
                      <w:color w:val="auto"/>
                      <w:lang w:eastAsia="zh-CN"/>
                    </w:rPr>
                    <w:t>与经自建污水处理站处理后的生产废水一并</w:t>
                  </w:r>
                  <w:r>
                    <w:rPr>
                      <w:rFonts w:ascii="Times New Roman" w:hAnsi="Times New Roman" w:cs="Times New Roman"/>
                      <w:color w:val="auto"/>
                    </w:rPr>
                    <w:t>接管网进入</w:t>
                  </w:r>
                  <w:r>
                    <w:rPr>
                      <w:rFonts w:hint="eastAsia" w:ascii="Times New Roman" w:hAnsi="Times New Roman" w:eastAsia="宋体" w:cs="Times New Roman"/>
                      <w:color w:val="auto"/>
                      <w:lang w:val="en-US" w:eastAsia="zh-CN"/>
                    </w:rPr>
                    <w:t>宿州市曹村</w:t>
                  </w:r>
                  <w:r>
                    <w:rPr>
                      <w:rFonts w:ascii="Times New Roman" w:hAnsi="Times New Roman" w:cs="Times New Roman"/>
                      <w:color w:val="auto"/>
                    </w:rPr>
                    <w:t>污水处理厂进一步深度处理，达标后排入</w:t>
                  </w:r>
                  <w:r>
                    <w:rPr>
                      <w:rFonts w:hint="eastAsia" w:ascii="Times New Roman" w:hAnsi="Times New Roman" w:eastAsia="宋体" w:cs="Times New Roman"/>
                      <w:color w:val="auto"/>
                      <w:lang w:val="en-US" w:eastAsia="zh-CN"/>
                    </w:rPr>
                    <w:t>淝河</w:t>
                  </w:r>
                  <w:r>
                    <w:rPr>
                      <w:rFonts w:ascii="Times New Roman" w:hAnsi="Times New Roman" w:cs="Times New Roman"/>
                      <w:color w:val="auto"/>
                    </w:rPr>
                    <w:t>，废水排放执行《污水综合排放标准》（GB8978-1996）表 4 的三级标准浓度限值和</w:t>
                  </w:r>
                  <w:r>
                    <w:rPr>
                      <w:rFonts w:hint="eastAsia" w:ascii="Times New Roman" w:hAnsi="Times New Roman" w:cs="Times New Roman"/>
                      <w:color w:val="auto"/>
                      <w:lang w:val="en-US" w:eastAsia="zh-CN"/>
                    </w:rPr>
                    <w:t>宿州市曹村</w:t>
                  </w:r>
                  <w:r>
                    <w:rPr>
                      <w:rFonts w:ascii="Times New Roman" w:hAnsi="Times New Roman" w:cs="Times New Roman"/>
                      <w:color w:val="auto"/>
                    </w:rPr>
                    <w:t>污水处理厂接管限值，从严</w:t>
                  </w:r>
                  <w:r>
                    <w:rPr>
                      <w:rFonts w:hint="eastAsia" w:ascii="Times New Roman" w:hAnsi="Times New Roman" w:eastAsia="宋体" w:cs="Times New Roman"/>
                      <w:color w:val="auto"/>
                      <w:lang w:val="en-US" w:eastAsia="zh-CN"/>
                    </w:rPr>
                    <w:t>执行</w:t>
                  </w:r>
                  <w:r>
                    <w:rPr>
                      <w:rFonts w:ascii="Times New Roman" w:hAnsi="Times New Roman" w:cs="Times New Roman"/>
                      <w:color w:val="auto"/>
                    </w:rPr>
                    <w:t>。厂区严格按照《中华人民共和国水污染防治法》《水污染防治行动计划》《安徽省水污染防治工作方案》及各市水污染防治工作方案实施</w:t>
                  </w:r>
                </w:p>
                <w:p w14:paraId="03647D3F">
                  <w:pPr>
                    <w:keepNext w:val="0"/>
                    <w:keepLines w:val="0"/>
                    <w:pageBreakBefore w:val="0"/>
                    <w:widowControl/>
                    <w:kinsoku/>
                    <w:wordWrap/>
                    <w:overflowPunct/>
                    <w:bidi w:val="0"/>
                    <w:jc w:val="center"/>
                    <w:textAlignment w:val="auto"/>
                    <w:rPr>
                      <w:rFonts w:ascii="Times New Roman" w:hAnsi="Times New Roman" w:cs="Times New Roman"/>
                      <w:color w:val="auto"/>
                    </w:rPr>
                  </w:pPr>
                </w:p>
              </w:tc>
            </w:tr>
            <w:tr w14:paraId="417D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pct"/>
                  <w:vAlign w:val="center"/>
                </w:tcPr>
                <w:p w14:paraId="2C987198">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cs="Times New Roman"/>
                      <w:color w:val="auto"/>
                      <w:lang w:eastAsia="zh-CN"/>
                    </w:rPr>
                    <w:t>土壤环境</w:t>
                  </w:r>
                </w:p>
              </w:tc>
              <w:tc>
                <w:tcPr>
                  <w:tcW w:w="541" w:type="pct"/>
                  <w:vAlign w:val="center"/>
                </w:tcPr>
                <w:p w14:paraId="5B034566">
                  <w:pPr>
                    <w:keepNext w:val="0"/>
                    <w:keepLines w:val="0"/>
                    <w:pageBreakBefore w:val="0"/>
                    <w:widowControl/>
                    <w:kinsoku/>
                    <w:wordWrap/>
                    <w:overflowPunct/>
                    <w:bidi w:val="0"/>
                    <w:jc w:val="center"/>
                    <w:textAlignment w:val="auto"/>
                    <w:rPr>
                      <w:rFonts w:ascii="Times New Roman" w:hAnsi="Times New Roman" w:eastAsia="宋体" w:cs="Times New Roman"/>
                      <w:color w:val="auto"/>
                      <w:lang w:eastAsia="zh-CN"/>
                    </w:rPr>
                  </w:pPr>
                  <w:r>
                    <w:rPr>
                      <w:rFonts w:hint="eastAsia" w:ascii="Times New Roman" w:hAnsi="Times New Roman" w:cs="Times New Roman"/>
                      <w:color w:val="auto"/>
                      <w:lang w:eastAsia="zh-CN"/>
                    </w:rPr>
                    <w:t>一般管控区</w:t>
                  </w:r>
                </w:p>
              </w:tc>
              <w:tc>
                <w:tcPr>
                  <w:tcW w:w="2098" w:type="pct"/>
                  <w:vAlign w:val="center"/>
                </w:tcPr>
                <w:p w14:paraId="60C0D80F">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依据《中华人民共和国土壤污染防治法》《土壤污染防治行动计划》《安徽省土壤污染防治工作方案》《安徽省“十四五”环境保护规划》《安徽省“十四五”土壤、地下水和农村生态环境保护规划》《安徽省重金属污染防控工作方案》《安</w:t>
                  </w:r>
                </w:p>
                <w:p w14:paraId="0EC16A35">
                  <w:pPr>
                    <w:keepNext w:val="0"/>
                    <w:keepLines w:val="0"/>
                    <w:pageBreakBefore w:val="0"/>
                    <w:widowControl/>
                    <w:kinsoku/>
                    <w:wordWrap/>
                    <w:overflowPunct/>
                    <w:bidi w:val="0"/>
                    <w:jc w:val="center"/>
                    <w:textAlignment w:val="auto"/>
                    <w:rPr>
                      <w:rFonts w:ascii="Times New Roman" w:hAnsi="Times New Roman" w:cs="Times New Roman"/>
                      <w:color w:val="auto"/>
                    </w:rPr>
                  </w:pPr>
                  <w:r>
                    <w:rPr>
                      <w:rFonts w:ascii="Times New Roman" w:hAnsi="Times New Roman" w:cs="Times New Roman"/>
                      <w:color w:val="auto"/>
                    </w:rPr>
                    <w:t>徽省“十四五”危险废物工业固体废物污染环境防治规划》《安徽省土壤污染防治工作方案》《淮北市“十四五”土壤（地下水）和农村生态环境保护规划》等要求对一般管控区实施管控。</w:t>
                  </w:r>
                </w:p>
              </w:tc>
              <w:tc>
                <w:tcPr>
                  <w:tcW w:w="1878" w:type="pct"/>
                  <w:vAlign w:val="center"/>
                </w:tcPr>
                <w:p w14:paraId="3A32E522">
                  <w:pPr>
                    <w:keepNext w:val="0"/>
                    <w:keepLines w:val="0"/>
                    <w:pageBreakBefore w:val="0"/>
                    <w:widowControl/>
                    <w:kinsoku/>
                    <w:wordWrap/>
                    <w:overflowPunct/>
                    <w:bidi w:val="0"/>
                    <w:jc w:val="center"/>
                    <w:textAlignment w:val="auto"/>
                    <w:rPr>
                      <w:rFonts w:hint="eastAsia" w:ascii="Times New Roman" w:hAnsi="Times New Roman" w:eastAsia="宋体" w:cs="Times New Roman"/>
                      <w:color w:val="auto"/>
                      <w:lang w:eastAsia="zh-CN"/>
                    </w:rPr>
                  </w:pPr>
                  <w:r>
                    <w:rPr>
                      <w:rFonts w:ascii="Times New Roman" w:hAnsi="Times New Roman" w:cs="Times New Roman"/>
                      <w:color w:val="auto"/>
                    </w:rPr>
                    <w:t>本项目产生的工业固废按照国家有关规定进行安全处置，危险废物按照国家规定送有处置资质的单位进行集中处置</w:t>
                  </w:r>
                  <w:r>
                    <w:rPr>
                      <w:rFonts w:hint="eastAsia" w:ascii="Times New Roman" w:hAnsi="Times New Roman" w:eastAsia="宋体" w:cs="Times New Roman"/>
                      <w:color w:val="auto"/>
                      <w:lang w:eastAsia="zh-CN"/>
                    </w:rPr>
                    <w:t>。</w:t>
                  </w:r>
                </w:p>
              </w:tc>
            </w:tr>
          </w:tbl>
          <w:p w14:paraId="1B2C20A9">
            <w:pPr>
              <w:pStyle w:val="37"/>
              <w:keepNext w:val="0"/>
              <w:keepLines w:val="0"/>
              <w:pageBreakBefore w:val="0"/>
              <w:widowControl/>
              <w:kinsoku/>
              <w:wordWrap/>
              <w:overflowPunct/>
              <w:topLinePunct w:val="0"/>
              <w:autoSpaceDE w:val="0"/>
              <w:autoSpaceDN w:val="0"/>
              <w:bidi w:val="0"/>
              <w:adjustRightInd/>
              <w:snapToGrid/>
              <w:spacing w:after="0" w:line="360" w:lineRule="auto"/>
              <w:textAlignment w:val="auto"/>
              <w:rPr>
                <w:rFonts w:ascii="Times New Roman" w:hAnsi="Times New Roman" w:cs="Times New Roman"/>
                <w:b/>
                <w:color w:val="auto"/>
              </w:rPr>
            </w:pPr>
            <w:r>
              <w:rPr>
                <w:rFonts w:hint="eastAsia" w:ascii="Times New Roman" w:hAnsi="Times New Roman" w:cs="Times New Roman"/>
                <w:b/>
                <w:color w:val="auto"/>
              </w:rPr>
              <w:t>4、</w:t>
            </w:r>
            <w:r>
              <w:rPr>
                <w:rFonts w:hint="eastAsia"/>
                <w:b/>
                <w:color w:val="auto"/>
              </w:rPr>
              <w:t>项目与</w:t>
            </w:r>
            <w:r>
              <w:rPr>
                <w:rFonts w:hint="eastAsia" w:ascii="Times New Roman" w:hAnsi="Times New Roman" w:cs="Times New Roman"/>
                <w:b/>
                <w:color w:val="auto"/>
              </w:rPr>
              <w:t>其他相关法规政策相符性分析</w:t>
            </w:r>
          </w:p>
          <w:p w14:paraId="381B4373">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left"/>
              <w:textAlignment w:val="baseline"/>
              <w:rPr>
                <w:rFonts w:hint="eastAsia"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eastAsia="zh-CN"/>
              </w:rPr>
              <w:t>《安徽省低挥发性有机物含量原辅材料替代工作方案》(皖环发[2024]1号)相符性分析</w:t>
            </w:r>
          </w:p>
          <w:p w14:paraId="4C49EF07">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 xml:space="preserve"> 与《安徽省低挥发性有机物含量原辅材料替代工作方案》(皖环发[2024]1号)相符性分析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7"/>
              <w:gridCol w:w="1985"/>
              <w:gridCol w:w="798"/>
            </w:tblGrid>
            <w:tr w14:paraId="08F6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08" w:type="pct"/>
                  <w:tcBorders>
                    <w:top w:val="single" w:color="auto" w:sz="4" w:space="0"/>
                    <w:left w:val="single" w:color="auto" w:sz="4" w:space="0"/>
                    <w:right w:val="single" w:color="auto" w:sz="4" w:space="0"/>
                  </w:tcBorders>
                  <w:vAlign w:val="center"/>
                </w:tcPr>
                <w:p w14:paraId="36829420">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rPr>
                  </w:pPr>
                  <w:r>
                    <w:rPr>
                      <w:b w:val="0"/>
                      <w:bCs w:val="0"/>
                      <w:color w:val="auto"/>
                    </w:rPr>
                    <w:t>政策要求</w:t>
                  </w:r>
                </w:p>
              </w:tc>
              <w:tc>
                <w:tcPr>
                  <w:tcW w:w="1134" w:type="pct"/>
                  <w:tcBorders>
                    <w:top w:val="single" w:color="auto" w:sz="4" w:space="0"/>
                    <w:left w:val="nil"/>
                    <w:bottom w:val="single" w:color="auto" w:sz="4" w:space="0"/>
                    <w:right w:val="single" w:color="auto" w:sz="4" w:space="0"/>
                  </w:tcBorders>
                  <w:vAlign w:val="center"/>
                </w:tcPr>
                <w:p w14:paraId="66D8B888">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rPr>
                  </w:pPr>
                  <w:r>
                    <w:rPr>
                      <w:b w:val="0"/>
                      <w:bCs w:val="0"/>
                      <w:color w:val="auto"/>
                    </w:rPr>
                    <w:t>本项目</w:t>
                  </w:r>
                </w:p>
              </w:tc>
              <w:tc>
                <w:tcPr>
                  <w:tcW w:w="456" w:type="pct"/>
                  <w:tcBorders>
                    <w:top w:val="single" w:color="auto" w:sz="4" w:space="0"/>
                    <w:left w:val="nil"/>
                    <w:bottom w:val="single" w:color="auto" w:sz="4" w:space="0"/>
                    <w:right w:val="single" w:color="auto" w:sz="4" w:space="0"/>
                  </w:tcBorders>
                  <w:vAlign w:val="center"/>
                </w:tcPr>
                <w:p w14:paraId="540B84A3">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rPr>
                  </w:pPr>
                  <w:r>
                    <w:rPr>
                      <w:b w:val="0"/>
                      <w:bCs w:val="0"/>
                      <w:color w:val="auto"/>
                    </w:rPr>
                    <w:t>符合性</w:t>
                  </w:r>
                </w:p>
              </w:tc>
            </w:tr>
            <w:tr w14:paraId="713B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78B656DE">
                  <w:pPr>
                    <w:pStyle w:val="20"/>
                    <w:keepNext w:val="0"/>
                    <w:keepLines w:val="0"/>
                    <w:pageBreakBefore w:val="0"/>
                    <w:widowControl/>
                    <w:kinsoku/>
                    <w:wordWrap/>
                    <w:overflowPunct/>
                    <w:topLinePunct w:val="0"/>
                    <w:autoSpaceDE w:val="0"/>
                    <w:autoSpaceDN w:val="0"/>
                    <w:bidi w:val="0"/>
                    <w:adjustRightInd/>
                    <w:snapToGrid/>
                    <w:spacing w:before="0" w:beforeAutospacing="0" w:after="0" w:afterAutospacing="0"/>
                    <w:jc w:val="center"/>
                    <w:textAlignment w:val="baseline"/>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一)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eastAsia="zh-CN"/>
                    </w:rPr>
                    <w:t>对无法替代的，要开展论证核实，严格把关并逐一说明。</w:t>
                  </w:r>
                </w:p>
              </w:tc>
              <w:tc>
                <w:tcPr>
                  <w:tcW w:w="1134" w:type="pct"/>
                  <w:vMerge w:val="restart"/>
                  <w:tcBorders>
                    <w:top w:val="single" w:color="auto" w:sz="4" w:space="0"/>
                    <w:left w:val="nil"/>
                    <w:right w:val="single" w:color="auto" w:sz="4" w:space="0"/>
                  </w:tcBorders>
                  <w:vAlign w:val="center"/>
                </w:tcPr>
                <w:p w14:paraId="1E6946D8">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rPr>
                  </w:pPr>
                  <w:r>
                    <w:rPr>
                      <w:rFonts w:hint="default" w:ascii="Times New Roman" w:hAnsi="Times New Roman" w:cs="Times New Roman"/>
                    </w:rPr>
                    <w:t>本项目使用</w:t>
                  </w:r>
                  <w:r>
                    <w:rPr>
                      <w:rFonts w:hint="eastAsia" w:ascii="Times New Roman" w:hAnsi="Times New Roman" w:eastAsia="宋体" w:cs="Times New Roman"/>
                      <w:lang w:eastAsia="zh-CN"/>
                    </w:rPr>
                    <w:t>塑粉</w:t>
                  </w:r>
                  <w:r>
                    <w:rPr>
                      <w:rFonts w:hint="eastAsia" w:ascii="Times New Roman" w:hAnsi="Times New Roman" w:eastAsia="宋体" w:cs="Times New Roman"/>
                      <w:lang w:val="en-US" w:eastAsia="zh-CN"/>
                    </w:rPr>
                    <w:t>及</w:t>
                  </w:r>
                  <w:r>
                    <w:rPr>
                      <w:rFonts w:hint="eastAsia" w:ascii="Times New Roman" w:hAnsi="Times New Roman" w:eastAsia="宋体" w:cs="Times New Roman"/>
                      <w:lang w:eastAsia="zh-CN"/>
                    </w:rPr>
                    <w:t>电泳漆，属于低</w:t>
                  </w:r>
                  <w:r>
                    <w:rPr>
                      <w:rFonts w:hint="default" w:ascii="Times New Roman" w:hAnsi="Times New Roman" w:cs="Times New Roman" w:eastAsiaTheme="minorEastAsia"/>
                      <w:color w:val="auto"/>
                      <w:sz w:val="21"/>
                      <w:szCs w:val="21"/>
                      <w:lang w:eastAsia="zh-CN"/>
                    </w:rPr>
                    <w:t>VOCs原辅材料</w:t>
                  </w:r>
                </w:p>
              </w:tc>
              <w:tc>
                <w:tcPr>
                  <w:tcW w:w="456" w:type="pct"/>
                  <w:tcBorders>
                    <w:top w:val="single" w:color="auto" w:sz="4" w:space="0"/>
                    <w:left w:val="nil"/>
                    <w:bottom w:val="single" w:color="auto" w:sz="4" w:space="0"/>
                    <w:right w:val="single" w:color="auto" w:sz="4" w:space="0"/>
                  </w:tcBorders>
                  <w:vAlign w:val="center"/>
                </w:tcPr>
                <w:p w14:paraId="2ABF395B">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符合</w:t>
                  </w:r>
                </w:p>
              </w:tc>
            </w:tr>
            <w:tr w14:paraId="1CCD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2DB4DA47">
                  <w:pPr>
                    <w:pStyle w:val="20"/>
                    <w:keepNext w:val="0"/>
                    <w:keepLines w:val="0"/>
                    <w:pageBreakBefore w:val="0"/>
                    <w:widowControl/>
                    <w:kinsoku/>
                    <w:wordWrap/>
                    <w:overflowPunct/>
                    <w:topLinePunct w:val="0"/>
                    <w:autoSpaceDE w:val="0"/>
                    <w:autoSpaceDN w:val="0"/>
                    <w:bidi w:val="0"/>
                    <w:adjustRightInd/>
                    <w:snapToGrid/>
                    <w:spacing w:before="0" w:beforeAutospacing="0" w:after="0" w:afterAutospacing="0"/>
                    <w:jc w:val="center"/>
                    <w:textAlignment w:val="baseline"/>
                    <w:rPr>
                      <w:rFonts w:hint="default" w:ascii="Times New Roman" w:hAnsi="Times New Roman" w:cs="Times New Roman" w:eastAsiaTheme="minorEastAsia"/>
                      <w:snapToGrid w:val="0"/>
                      <w:color w:val="000000"/>
                      <w:kern w:val="2"/>
                      <w:sz w:val="21"/>
                      <w:szCs w:val="21"/>
                      <w:lang w:val="en-US" w:eastAsia="zh-CN" w:bidi="ar-SA"/>
                    </w:rPr>
                  </w:pPr>
                  <w:r>
                    <w:rPr>
                      <w:rFonts w:hint="default" w:ascii="Times New Roman" w:hAnsi="Times New Roman" w:cs="Times New Roman" w:eastAsiaTheme="minorEastAsia"/>
                      <w:snapToGrid w:val="0"/>
                      <w:color w:val="000000"/>
                      <w:kern w:val="2"/>
                      <w:sz w:val="21"/>
                      <w:szCs w:val="21"/>
                      <w:lang w:val="en-US" w:eastAsia="zh-CN" w:bidi="ar-SA"/>
                    </w:rPr>
                    <w:t>(二)严格项目准入。根据《低挥发性有机化合物含量涂料产品技术要求》(GB/T 38597-2020)要求，进一步完善VOCs排放管控地方标准建设，细化相关行业涂料</w:t>
                  </w:r>
                  <w:r>
                    <w:rPr>
                      <w:rFonts w:hint="eastAsia" w:ascii="Times New Roman" w:hAnsi="Times New Roman" w:cs="Times New Roman" w:eastAsiaTheme="minorEastAsia"/>
                      <w:snapToGrid w:val="0"/>
                      <w:color w:val="000000"/>
                      <w:kern w:val="2"/>
                      <w:sz w:val="21"/>
                      <w:szCs w:val="21"/>
                      <w:lang w:val="en-US" w:eastAsia="zh-CN" w:bidi="ar-SA"/>
                    </w:rPr>
                    <w:t>分类</w:t>
                  </w:r>
                  <w:r>
                    <w:rPr>
                      <w:rFonts w:hint="default" w:ascii="Times New Roman" w:hAnsi="Times New Roman" w:cs="Times New Roman" w:eastAsiaTheme="minorEastAsia"/>
                      <w:snapToGrid w:val="0"/>
                      <w:color w:val="000000"/>
                      <w:kern w:val="2"/>
                      <w:sz w:val="21"/>
                      <w:szCs w:val="21"/>
                      <w:lang w:val="en-US" w:eastAsia="zh-CN" w:bidi="ar-SA"/>
                    </w:rPr>
                    <w:t>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134" w:type="pct"/>
                  <w:vMerge w:val="continue"/>
                  <w:tcBorders>
                    <w:left w:val="nil"/>
                    <w:bottom w:val="single" w:color="auto" w:sz="4" w:space="0"/>
                    <w:right w:val="single" w:color="auto" w:sz="4" w:space="0"/>
                  </w:tcBorders>
                  <w:vAlign w:val="center"/>
                </w:tcPr>
                <w:p w14:paraId="40404E76">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lang w:eastAsia="zh-CN"/>
                    </w:rPr>
                  </w:pPr>
                </w:p>
              </w:tc>
              <w:tc>
                <w:tcPr>
                  <w:tcW w:w="456" w:type="pct"/>
                  <w:tcBorders>
                    <w:top w:val="single" w:color="auto" w:sz="4" w:space="0"/>
                    <w:left w:val="nil"/>
                    <w:bottom w:val="single" w:color="auto" w:sz="4" w:space="0"/>
                    <w:right w:val="single" w:color="auto" w:sz="4" w:space="0"/>
                  </w:tcBorders>
                  <w:vAlign w:val="center"/>
                </w:tcPr>
                <w:p w14:paraId="4EAB9BF7">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符合</w:t>
                  </w:r>
                </w:p>
              </w:tc>
            </w:tr>
          </w:tbl>
          <w:p w14:paraId="21F1DB6E">
            <w:pPr>
              <w:keepNext w:val="0"/>
              <w:keepLines w:val="0"/>
              <w:pageBreakBefore w:val="0"/>
              <w:widowControl/>
              <w:tabs>
                <w:tab w:val="left" w:pos="420"/>
              </w:tabs>
              <w:kinsoku/>
              <w:wordWrap/>
              <w:overflowPunct/>
              <w:bidi w:val="0"/>
              <w:spacing w:line="360" w:lineRule="auto"/>
              <w:jc w:val="left"/>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与《挥发性有机物（VOC</w:t>
            </w:r>
            <w:r>
              <w:rPr>
                <w:rFonts w:hint="default" w:ascii="Times New Roman" w:hAnsi="Times New Roman" w:eastAsia="宋体" w:cs="Times New Roman"/>
                <w:b/>
                <w:bCs/>
                <w:color w:val="auto"/>
                <w:sz w:val="24"/>
                <w:vertAlign w:val="subscript"/>
              </w:rPr>
              <w:t>S</w:t>
            </w:r>
            <w:r>
              <w:rPr>
                <w:rFonts w:hint="default" w:ascii="Times New Roman" w:hAnsi="Times New Roman" w:eastAsia="宋体" w:cs="Times New Roman"/>
                <w:b/>
                <w:bCs/>
                <w:color w:val="auto"/>
                <w:sz w:val="24"/>
              </w:rPr>
              <w:t>）污染防治技术政策》（公告2013年第31号）符合性分析</w:t>
            </w:r>
          </w:p>
          <w:p w14:paraId="2F150497">
            <w:pPr>
              <w:keepNext w:val="0"/>
              <w:keepLines w:val="0"/>
              <w:pageBreakBefore w:val="0"/>
              <w:widowControl/>
              <w:kinsoku/>
              <w:wordWrap/>
              <w:overflowPunct/>
              <w:bidi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与《挥发性有机物（VOCs）污染防治技术政策》符合性分析</w:t>
            </w:r>
          </w:p>
          <w:tbl>
            <w:tblPr>
              <w:tblStyle w:val="22"/>
              <w:tblW w:w="49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34"/>
              <w:gridCol w:w="2804"/>
              <w:gridCol w:w="791"/>
            </w:tblGrid>
            <w:tr w14:paraId="2186F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940" w:type="pct"/>
                  <w:vAlign w:val="center"/>
                </w:tcPr>
                <w:p w14:paraId="2189EC37">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政策要求</w:t>
                  </w:r>
                </w:p>
              </w:tc>
              <w:tc>
                <w:tcPr>
                  <w:tcW w:w="1606" w:type="pct"/>
                  <w:vAlign w:val="center"/>
                </w:tcPr>
                <w:p w14:paraId="2C714E8E">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本项目情况</w:t>
                  </w:r>
                </w:p>
              </w:tc>
              <w:tc>
                <w:tcPr>
                  <w:tcW w:w="453" w:type="pct"/>
                  <w:vAlign w:val="center"/>
                </w:tcPr>
                <w:p w14:paraId="66DD0C11">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14:paraId="59302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940" w:type="pct"/>
                  <w:vAlign w:val="center"/>
                </w:tcPr>
                <w:p w14:paraId="044C1EE7">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对生产装置排放的含VOCs工艺排气宜优先回收利用，不能（或不能完全）回收利用的经处理后达标排放；应急情况下的泄放气可导入燃烧塔（火炬），经过充分燃烧后排放</w:t>
                  </w:r>
                </w:p>
              </w:tc>
              <w:tc>
                <w:tcPr>
                  <w:tcW w:w="1606" w:type="pct"/>
                  <w:vAlign w:val="center"/>
                </w:tcPr>
                <w:p w14:paraId="1C4E4DF2">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项目有机废气均进行收集处理</w:t>
                  </w:r>
                </w:p>
              </w:tc>
              <w:tc>
                <w:tcPr>
                  <w:tcW w:w="453" w:type="pct"/>
                  <w:vAlign w:val="center"/>
                </w:tcPr>
                <w:p w14:paraId="5C19EADD">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7667A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40" w:type="pct"/>
                  <w:vAlign w:val="center"/>
                </w:tcPr>
                <w:p w14:paraId="659CD834">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含VOCs产品的使用过程中，应采取废气收集措施，提高废气收集效率，减少废气的无组织排放和散逸，并对收集后的废气进行回收或处理后达标排放</w:t>
                  </w:r>
                </w:p>
              </w:tc>
              <w:tc>
                <w:tcPr>
                  <w:tcW w:w="1606" w:type="pct"/>
                  <w:vAlign w:val="center"/>
                </w:tcPr>
                <w:p w14:paraId="5843BEE5">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项目对有机废气均进行收集处理</w:t>
                  </w:r>
                </w:p>
              </w:tc>
              <w:tc>
                <w:tcPr>
                  <w:tcW w:w="453" w:type="pct"/>
                  <w:vAlign w:val="center"/>
                </w:tcPr>
                <w:p w14:paraId="38CF70F3">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52FC6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40" w:type="pct"/>
                  <w:vAlign w:val="center"/>
                </w:tcPr>
                <w:p w14:paraId="63F79043">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于含低浓度VOCs的废气，有回收价值时可采用吸附技术、吸收技术对有机溶剂回收后达标排放；不宜回收时，可采用吸附浓缩燃烧技术、生物技术、吸附技术、等离子体技术或紫外光高级氧化技术等净化后达标排放</w:t>
                  </w:r>
                </w:p>
              </w:tc>
              <w:tc>
                <w:tcPr>
                  <w:tcW w:w="1606" w:type="pct"/>
                  <w:vAlign w:val="center"/>
                </w:tcPr>
                <w:p w14:paraId="4F8F3A8F">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项目采用“</w:t>
                  </w:r>
                  <w:r>
                    <w:rPr>
                      <w:rFonts w:hint="default" w:ascii="Times New Roman" w:hAnsi="Times New Roman" w:eastAsia="宋体" w:cs="Times New Roman"/>
                      <w:color w:val="auto"/>
                      <w:kern w:val="0"/>
                    </w:rPr>
                    <w:t>二级活性炭吸附装置</w:t>
                  </w:r>
                  <w:r>
                    <w:rPr>
                      <w:rFonts w:hint="default" w:ascii="Times New Roman" w:hAnsi="Times New Roman" w:eastAsia="宋体" w:cs="Times New Roman"/>
                      <w:color w:val="auto"/>
                    </w:rPr>
                    <w:t>”处理有机废气，处理后有组织排放</w:t>
                  </w:r>
                </w:p>
              </w:tc>
              <w:tc>
                <w:tcPr>
                  <w:tcW w:w="453" w:type="pct"/>
                  <w:vAlign w:val="center"/>
                </w:tcPr>
                <w:p w14:paraId="0BB3A74D">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47DCC4F5">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color w:val="auto"/>
                <w:szCs w:val="24"/>
                <w:lang w:eastAsia="zh-CN"/>
              </w:rPr>
            </w:pPr>
            <w:r>
              <w:rPr>
                <w:rFonts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4</w:t>
            </w:r>
            <w:r>
              <w:rPr>
                <w:rFonts w:ascii="Times New Roman" w:hAnsi="Times New Roman" w:eastAsia="宋体" w:cs="Times New Roman"/>
                <w:b/>
                <w:bCs/>
                <w:color w:val="auto"/>
                <w:sz w:val="24"/>
                <w:szCs w:val="24"/>
                <w:lang w:eastAsia="zh-CN"/>
              </w:rPr>
              <w:t>）与《关于深入开展挥发性有机物污染治理工作的通知》（皖大气办[2021]4号）相符性分析</w:t>
            </w:r>
          </w:p>
          <w:p w14:paraId="753EE853">
            <w:pPr>
              <w:pStyle w:val="9"/>
              <w:keepNext w:val="0"/>
              <w:keepLines w:val="0"/>
              <w:pageBreakBefore w:val="0"/>
              <w:widowControl/>
              <w:kinsoku/>
              <w:wordWrap/>
              <w:overflowPunct/>
              <w:topLinePunct w:val="0"/>
              <w:bidi w:val="0"/>
              <w:adjustRightInd/>
              <w:snapToGrid/>
              <w:spacing w:after="0"/>
              <w:ind w:left="0" w:leftChars="0"/>
              <w:jc w:val="center"/>
              <w:rPr>
                <w:rFonts w:ascii="Times New Roman" w:hAnsi="Times New Roman" w:eastAsia="宋体" w:cs="Times New Roman"/>
                <w:color w:val="auto"/>
                <w:szCs w:val="24"/>
                <w:lang w:eastAsia="zh-CN"/>
              </w:rPr>
            </w:pPr>
            <w:r>
              <w:rPr>
                <w:rFonts w:ascii="Times New Roman" w:hAnsi="Times New Roman" w:eastAsia="宋体" w:cs="Times New Roman"/>
                <w:b/>
                <w:color w:val="auto"/>
                <w:szCs w:val="24"/>
                <w:lang w:eastAsia="zh-CN"/>
              </w:rPr>
              <w:t>表1-</w:t>
            </w:r>
            <w:r>
              <w:rPr>
                <w:rFonts w:hint="eastAsia" w:ascii="Times New Roman" w:hAnsi="Times New Roman" w:eastAsia="宋体" w:cs="Times New Roman"/>
                <w:b/>
                <w:color w:val="auto"/>
                <w:szCs w:val="24"/>
                <w:lang w:val="en-US" w:eastAsia="zh-CN"/>
              </w:rPr>
              <w:t xml:space="preserve">7 </w:t>
            </w:r>
            <w:r>
              <w:rPr>
                <w:rFonts w:ascii="Times New Roman" w:hAnsi="Times New Roman" w:eastAsia="宋体" w:cs="Times New Roman"/>
                <w:b/>
                <w:color w:val="auto"/>
                <w:szCs w:val="24"/>
                <w:lang w:eastAsia="zh-CN"/>
              </w:rPr>
              <w:t>与《关于深入开展挥发性有机物污染治理工作的通知》相符性分析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2899"/>
              <w:gridCol w:w="1323"/>
            </w:tblGrid>
            <w:tr w14:paraId="135D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6" w:type="pct"/>
                  <w:vAlign w:val="center"/>
                </w:tcPr>
                <w:p w14:paraId="1D1C6FC0">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rPr>
                  </w:pPr>
                  <w:r>
                    <w:rPr>
                      <w:b w:val="0"/>
                      <w:bCs w:val="0"/>
                      <w:color w:val="auto"/>
                    </w:rPr>
                    <w:t>文件要求</w:t>
                  </w:r>
                </w:p>
              </w:tc>
              <w:tc>
                <w:tcPr>
                  <w:tcW w:w="1657" w:type="pct"/>
                  <w:vAlign w:val="center"/>
                </w:tcPr>
                <w:p w14:paraId="11C3F48B">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rPr>
                  </w:pPr>
                  <w:r>
                    <w:rPr>
                      <w:b w:val="0"/>
                      <w:bCs w:val="0"/>
                      <w:color w:val="auto"/>
                    </w:rPr>
                    <w:t>本项目建设内容</w:t>
                  </w:r>
                </w:p>
              </w:tc>
              <w:tc>
                <w:tcPr>
                  <w:tcW w:w="756" w:type="pct"/>
                  <w:vAlign w:val="center"/>
                </w:tcPr>
                <w:p w14:paraId="2D031E07">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rPr>
                  </w:pPr>
                  <w:r>
                    <w:rPr>
                      <w:b w:val="0"/>
                      <w:bCs w:val="0"/>
                      <w:color w:val="auto"/>
                    </w:rPr>
                    <w:t>符合性</w:t>
                  </w:r>
                </w:p>
              </w:tc>
            </w:tr>
            <w:tr w14:paraId="234E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6" w:type="pct"/>
                  <w:vAlign w:val="center"/>
                </w:tcPr>
                <w:p w14:paraId="47F5B6F9">
                  <w:pPr>
                    <w:pStyle w:val="8"/>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657" w:type="pct"/>
                  <w:vAlign w:val="center"/>
                </w:tcPr>
                <w:p w14:paraId="0A597263">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eastAsia="zh-CN"/>
                    </w:rPr>
                    <w:t>使用的塑粉及电泳漆为低</w:t>
                  </w:r>
                  <w:r>
                    <w:rPr>
                      <w:rFonts w:hint="eastAsia" w:ascii="Times New Roman" w:hAnsi="Times New Roman" w:eastAsia="宋体" w:cs="Times New Roman"/>
                      <w:color w:val="auto"/>
                      <w:lang w:val="en-US" w:eastAsia="zh-CN"/>
                    </w:rPr>
                    <w:t>VOCs原辅料</w:t>
                  </w:r>
                </w:p>
              </w:tc>
              <w:tc>
                <w:tcPr>
                  <w:tcW w:w="756" w:type="pct"/>
                  <w:vAlign w:val="center"/>
                </w:tcPr>
                <w:p w14:paraId="185E0319">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符合</w:t>
                  </w:r>
                </w:p>
              </w:tc>
            </w:tr>
            <w:tr w14:paraId="7353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86" w:type="pct"/>
                  <w:vAlign w:val="center"/>
                </w:tcPr>
                <w:p w14:paraId="7EE05B5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落实综合治理任务。按照“项目确定技术评估跟踪推进”技术路径，企业根据计划完成时间，以月为单位倒排工期落实治理项目。各地生态环境部门按月跟踪项目进展，对落后序时进度的企业，及时提醒预警，确保当年治理任务目标。</w:t>
                  </w:r>
                </w:p>
              </w:tc>
              <w:tc>
                <w:tcPr>
                  <w:tcW w:w="1657" w:type="pct"/>
                  <w:vAlign w:val="center"/>
                </w:tcPr>
                <w:p w14:paraId="13073DE7">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000000" w:themeColor="text1"/>
                      <w:lang w:eastAsia="zh-CN"/>
                      <w14:textFill>
                        <w14:solidFill>
                          <w14:schemeClr w14:val="tx1"/>
                        </w14:solidFill>
                      </w14:textFill>
                    </w:rPr>
                    <w:t>本项目能做到</w:t>
                  </w:r>
                  <w:r>
                    <w:rPr>
                      <w:rFonts w:ascii="Times New Roman" w:hAnsi="Times New Roman" w:eastAsia="宋体" w:cs="Times New Roman"/>
                      <w:color w:val="000000" w:themeColor="text1"/>
                      <w:lang w:eastAsia="zh-CN"/>
                      <w14:textFill>
                        <w14:solidFill>
                          <w14:schemeClr w14:val="tx1"/>
                        </w14:solidFill>
                      </w14:textFill>
                    </w:rPr>
                    <w:t>落实综合治理任务</w:t>
                  </w:r>
                  <w:r>
                    <w:rPr>
                      <w:rFonts w:hint="eastAsia" w:ascii="Times New Roman" w:hAnsi="Times New Roman" w:eastAsia="宋体" w:cs="Times New Roman"/>
                      <w:color w:val="000000" w:themeColor="text1"/>
                      <w:lang w:eastAsia="zh-CN"/>
                      <w14:textFill>
                        <w14:solidFill>
                          <w14:schemeClr w14:val="tx1"/>
                        </w14:solidFill>
                      </w14:textFill>
                    </w:rPr>
                    <w:t>，以月为单位落实治理项目</w:t>
                  </w:r>
                </w:p>
              </w:tc>
              <w:tc>
                <w:tcPr>
                  <w:tcW w:w="756" w:type="pct"/>
                  <w:vAlign w:val="center"/>
                </w:tcPr>
                <w:p w14:paraId="20A4F08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14:paraId="61D65C7B">
            <w:pPr>
              <w:keepNext w:val="0"/>
              <w:keepLines w:val="0"/>
              <w:pageBreakBefore w:val="0"/>
              <w:widowControl/>
              <w:kinsoku/>
              <w:wordWrap/>
              <w:overflowPunct/>
              <w:bidi w:val="0"/>
              <w:spacing w:line="360" w:lineRule="auto"/>
              <w:rPr>
                <w:rFonts w:hint="default" w:ascii="Times New Roman" w:hAnsi="Times New Roman" w:eastAsia="宋体" w:cs="Times New Roman"/>
                <w:b/>
                <w:bCs/>
                <w:color w:val="auto"/>
                <w:sz w:val="24"/>
              </w:rPr>
            </w:pPr>
            <w:r>
              <w:rPr>
                <w:rFonts w:hint="default" w:ascii="Times New Roman" w:hAnsi="Times New Roman" w:cs="Times New Roman"/>
                <w:b/>
                <w:bCs/>
                <w:sz w:val="24"/>
              </w:rPr>
              <w:t>（</w:t>
            </w:r>
            <w:r>
              <w:rPr>
                <w:rFonts w:hint="eastAsia" w:ascii="Times New Roman" w:hAnsi="Times New Roman" w:eastAsia="宋体" w:cs="Times New Roman"/>
                <w:b/>
                <w:bCs/>
                <w:sz w:val="24"/>
                <w:lang w:val="en-US" w:eastAsia="zh-CN"/>
              </w:rPr>
              <w:t>5</w:t>
            </w:r>
            <w:r>
              <w:rPr>
                <w:rFonts w:hint="default" w:ascii="Times New Roman" w:hAnsi="Times New Roman" w:cs="Times New Roman"/>
                <w:b/>
                <w:bCs/>
                <w:sz w:val="24"/>
              </w:rPr>
              <w:t>）</w:t>
            </w:r>
            <w:r>
              <w:rPr>
                <w:rFonts w:hint="default" w:ascii="Times New Roman" w:hAnsi="Times New Roman" w:eastAsia="宋体" w:cs="Times New Roman"/>
                <w:b/>
                <w:bCs/>
                <w:color w:val="auto"/>
                <w:sz w:val="24"/>
              </w:rPr>
              <w:t>与《安徽省空气质量持续改善行动方案》的相符性</w:t>
            </w:r>
          </w:p>
          <w:p w14:paraId="46F4CEB3">
            <w:pPr>
              <w:keepNext w:val="0"/>
              <w:keepLines w:val="0"/>
              <w:pageBreakBefore w:val="0"/>
              <w:widowControl/>
              <w:kinsoku/>
              <w:wordWrap/>
              <w:overflowPunct/>
              <w:bidi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 xml:space="preserve">8 </w:t>
            </w:r>
            <w:r>
              <w:rPr>
                <w:rFonts w:hint="default" w:ascii="Times New Roman" w:hAnsi="Times New Roman" w:eastAsia="宋体" w:cs="Times New Roman"/>
                <w:b/>
                <w:bCs/>
                <w:color w:val="auto"/>
                <w:sz w:val="24"/>
              </w:rPr>
              <w:t>与安徽省空气质量持续改善行动方案符合性分析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5282"/>
              <w:gridCol w:w="1986"/>
              <w:gridCol w:w="768"/>
            </w:tblGrid>
            <w:tr w14:paraId="1865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26A8C3B2">
                  <w:pPr>
                    <w:keepNext w:val="0"/>
                    <w:keepLines w:val="0"/>
                    <w:pageBreakBefore w:val="0"/>
                    <w:widowControl/>
                    <w:kinsoku/>
                    <w:wordWrap/>
                    <w:overflowPunct/>
                    <w:bidi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rPr>
                    <w:t>序号</w:t>
                  </w:r>
                </w:p>
              </w:tc>
              <w:tc>
                <w:tcPr>
                  <w:tcW w:w="3018" w:type="pct"/>
                  <w:vAlign w:val="center"/>
                </w:tcPr>
                <w:p w14:paraId="35EBCCF2">
                  <w:pPr>
                    <w:keepNext w:val="0"/>
                    <w:keepLines w:val="0"/>
                    <w:pageBreakBefore w:val="0"/>
                    <w:widowControl/>
                    <w:kinsoku/>
                    <w:wordWrap/>
                    <w:overflowPunct/>
                    <w:bidi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rPr>
                    <w:t>相关规范要求</w:t>
                  </w:r>
                </w:p>
              </w:tc>
              <w:tc>
                <w:tcPr>
                  <w:tcW w:w="1135" w:type="pct"/>
                  <w:vAlign w:val="center"/>
                </w:tcPr>
                <w:p w14:paraId="5C1A4BBD">
                  <w:pPr>
                    <w:keepNext w:val="0"/>
                    <w:keepLines w:val="0"/>
                    <w:pageBreakBefore w:val="0"/>
                    <w:widowControl/>
                    <w:kinsoku/>
                    <w:wordWrap/>
                    <w:overflowPunct/>
                    <w:bidi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rPr>
                    <w:t>本项目情况</w:t>
                  </w:r>
                </w:p>
              </w:tc>
              <w:tc>
                <w:tcPr>
                  <w:tcW w:w="440" w:type="pct"/>
                  <w:vAlign w:val="center"/>
                </w:tcPr>
                <w:p w14:paraId="0031D77E">
                  <w:pPr>
                    <w:keepNext w:val="0"/>
                    <w:keepLines w:val="0"/>
                    <w:pageBreakBefore w:val="0"/>
                    <w:widowControl/>
                    <w:kinsoku/>
                    <w:wordWrap/>
                    <w:overflowPunct/>
                    <w:bidi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rPr>
                    <w:t>符合性</w:t>
                  </w:r>
                </w:p>
              </w:tc>
            </w:tr>
            <w:tr w14:paraId="5A33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7D9C65B2">
                  <w:pPr>
                    <w:keepNext w:val="0"/>
                    <w:keepLines w:val="0"/>
                    <w:pageBreakBefore w:val="0"/>
                    <w:widowControl/>
                    <w:kinsoku/>
                    <w:wordWrap/>
                    <w:overflowPunct/>
                    <w:bidi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p>
              </w:tc>
              <w:tc>
                <w:tcPr>
                  <w:tcW w:w="3018" w:type="pct"/>
                  <w:vAlign w:val="center"/>
                </w:tcPr>
                <w:p w14:paraId="3C9D27EC">
                  <w:pPr>
                    <w:pStyle w:val="35"/>
                    <w:keepNext w:val="0"/>
                    <w:keepLines w:val="0"/>
                    <w:pageBreakBefore w:val="0"/>
                    <w:widowControl/>
                    <w:kinsoku/>
                    <w:wordWrap/>
                    <w:overflowPunct/>
                    <w:bidi w:val="0"/>
                    <w:spacing w:line="240" w:lineRule="auto"/>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135" w:type="pct"/>
                  <w:vAlign w:val="center"/>
                </w:tcPr>
                <w:p w14:paraId="1DE96FAC">
                  <w:pPr>
                    <w:keepNext w:val="0"/>
                    <w:keepLines w:val="0"/>
                    <w:pageBreakBefore w:val="0"/>
                    <w:widowControl/>
                    <w:kinsoku/>
                    <w:wordWrap/>
                    <w:overflowPunct/>
                    <w:bidi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color w:val="auto"/>
                    </w:rPr>
                    <w:t>本项目不属于高耗能、高排放、低水平项目</w:t>
                  </w:r>
                </w:p>
              </w:tc>
              <w:tc>
                <w:tcPr>
                  <w:tcW w:w="440" w:type="pct"/>
                  <w:vAlign w:val="center"/>
                </w:tcPr>
                <w:p w14:paraId="0288D362">
                  <w:pPr>
                    <w:keepNext w:val="0"/>
                    <w:keepLines w:val="0"/>
                    <w:pageBreakBefore w:val="0"/>
                    <w:widowControl/>
                    <w:kinsoku/>
                    <w:wordWrap/>
                    <w:overflowPunct/>
                    <w:bidi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color w:val="auto"/>
                    </w:rPr>
                    <w:t>符合</w:t>
                  </w:r>
                </w:p>
              </w:tc>
            </w:tr>
            <w:tr w14:paraId="3DA0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62006833">
                  <w:pPr>
                    <w:keepNext w:val="0"/>
                    <w:keepLines w:val="0"/>
                    <w:pageBreakBefore w:val="0"/>
                    <w:widowControl/>
                    <w:kinsoku/>
                    <w:wordWrap/>
                    <w:overflowPunct/>
                    <w:bidi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p>
              </w:tc>
              <w:tc>
                <w:tcPr>
                  <w:tcW w:w="3018" w:type="pct"/>
                  <w:vAlign w:val="center"/>
                </w:tcPr>
                <w:p w14:paraId="55DBF674">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135" w:type="pct"/>
                  <w:vAlign w:val="center"/>
                </w:tcPr>
                <w:p w14:paraId="2934D50B">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本项目不属于《产业结构调整指导目录（2024年本）》中限制、淘汰的目录的建设项目，</w:t>
                  </w:r>
                </w:p>
              </w:tc>
              <w:tc>
                <w:tcPr>
                  <w:tcW w:w="440" w:type="pct"/>
                  <w:vAlign w:val="center"/>
                </w:tcPr>
                <w:p w14:paraId="40F30BCC">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B26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768362EB">
                  <w:pPr>
                    <w:keepNext w:val="0"/>
                    <w:keepLines w:val="0"/>
                    <w:pageBreakBefore w:val="0"/>
                    <w:widowControl/>
                    <w:kinsoku/>
                    <w:wordWrap/>
                    <w:overflowPunct/>
                    <w:bidi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w:t>
                  </w:r>
                </w:p>
              </w:tc>
              <w:tc>
                <w:tcPr>
                  <w:tcW w:w="3018" w:type="pct"/>
                  <w:vAlign w:val="center"/>
                </w:tcPr>
                <w:p w14:paraId="030DE2CF">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十）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1135" w:type="pct"/>
                  <w:vAlign w:val="center"/>
                </w:tcPr>
                <w:p w14:paraId="15704608">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本项目使用</w:t>
                  </w:r>
                  <w:r>
                    <w:rPr>
                      <w:rFonts w:hint="default" w:ascii="Times New Roman" w:hAnsi="Times New Roman" w:eastAsia="宋体" w:cs="Times New Roman"/>
                      <w:color w:val="auto"/>
                      <w:lang w:eastAsia="zh-CN"/>
                    </w:rPr>
                    <w:t>液化石油气</w:t>
                  </w:r>
                  <w:r>
                    <w:rPr>
                      <w:rFonts w:hint="default" w:ascii="Times New Roman" w:hAnsi="Times New Roman" w:eastAsia="宋体" w:cs="Times New Roman"/>
                      <w:color w:val="auto"/>
                    </w:rPr>
                    <w:t>作为燃料</w:t>
                  </w:r>
                </w:p>
              </w:tc>
              <w:tc>
                <w:tcPr>
                  <w:tcW w:w="440" w:type="pct"/>
                  <w:vAlign w:val="center"/>
                </w:tcPr>
                <w:p w14:paraId="72E16223">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1114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08CE4970">
                  <w:pPr>
                    <w:keepNext w:val="0"/>
                    <w:keepLines w:val="0"/>
                    <w:pageBreakBefore w:val="0"/>
                    <w:widowControl/>
                    <w:kinsoku/>
                    <w:wordWrap/>
                    <w:overflowPunct/>
                    <w:bidi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w:t>
                  </w:r>
                </w:p>
              </w:tc>
              <w:tc>
                <w:tcPr>
                  <w:tcW w:w="3018" w:type="pct"/>
                  <w:vAlign w:val="center"/>
                </w:tcPr>
                <w:p w14:paraId="75AFECC8">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十九）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1135" w:type="pct"/>
                  <w:vAlign w:val="center"/>
                </w:tcPr>
                <w:p w14:paraId="010556A9">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本项目使用的电泳漆和</w:t>
                  </w:r>
                  <w:r>
                    <w:rPr>
                      <w:rFonts w:hint="eastAsia" w:ascii="Times New Roman" w:hAnsi="Times New Roman" w:eastAsia="宋体" w:cs="Times New Roman"/>
                      <w:color w:val="auto"/>
                      <w:lang w:val="en-US" w:eastAsia="zh-CN"/>
                    </w:rPr>
                    <w:t>塑粉</w:t>
                  </w:r>
                  <w:r>
                    <w:rPr>
                      <w:rFonts w:hint="default" w:ascii="Times New Roman" w:hAnsi="Times New Roman" w:eastAsia="宋体" w:cs="Times New Roman"/>
                      <w:color w:val="auto"/>
                    </w:rPr>
                    <w:t>为低VOCs含量的涂料，项目使用的漆料能符合《低挥发性有机化合物含量涂料产品技术要求》（GB/T 38597-2020）中相关限值要求</w:t>
                  </w:r>
                  <w:r>
                    <w:rPr>
                      <w:rFonts w:hint="default" w:ascii="Times New Roman" w:hAnsi="Times New Roman" w:eastAsia="宋体" w:cs="Times New Roman"/>
                      <w:bCs/>
                      <w:color w:val="auto"/>
                    </w:rPr>
                    <w:t>（见与涂料相关文件相符性）</w:t>
                  </w:r>
                  <w:r>
                    <w:rPr>
                      <w:rFonts w:hint="default" w:ascii="Times New Roman" w:hAnsi="Times New Roman" w:eastAsia="宋体" w:cs="Times New Roman"/>
                      <w:color w:val="auto"/>
                    </w:rPr>
                    <w:t>。</w:t>
                  </w:r>
                </w:p>
              </w:tc>
              <w:tc>
                <w:tcPr>
                  <w:tcW w:w="440" w:type="pct"/>
                  <w:vAlign w:val="center"/>
                </w:tcPr>
                <w:p w14:paraId="51BD1068">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7B83D957">
            <w:pPr>
              <w:keepNext w:val="0"/>
              <w:keepLines w:val="0"/>
              <w:pageBreakBefore w:val="0"/>
              <w:widowControl/>
              <w:tabs>
                <w:tab w:val="left" w:pos="420"/>
              </w:tabs>
              <w:kinsoku/>
              <w:wordWrap/>
              <w:overflowPunct/>
              <w:bidi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）与《工业窑炉大气污染综合治理方案》符合性分析</w:t>
            </w:r>
          </w:p>
          <w:p w14:paraId="583DA28F">
            <w:pPr>
              <w:keepNext w:val="0"/>
              <w:keepLines w:val="0"/>
              <w:pageBreakBefore w:val="0"/>
              <w:widowControl/>
              <w:tabs>
                <w:tab w:val="left" w:pos="0"/>
              </w:tabs>
              <w:kinsoku/>
              <w:wordWrap/>
              <w:overflowPunct/>
              <w:bidi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w:t>
            </w:r>
            <w:r>
              <w:rPr>
                <w:rFonts w:hint="eastAsia" w:ascii="Times New Roman" w:hAnsi="Times New Roman" w:eastAsia="宋体" w:cs="Times New Roman"/>
                <w:b/>
                <w:color w:val="auto"/>
                <w:sz w:val="24"/>
                <w:lang w:val="en-US" w:eastAsia="zh-CN"/>
              </w:rPr>
              <w:t xml:space="preserve">9 </w:t>
            </w:r>
            <w:r>
              <w:rPr>
                <w:rFonts w:hint="default" w:ascii="Times New Roman" w:hAnsi="Times New Roman" w:eastAsia="宋体" w:cs="Times New Roman"/>
                <w:b/>
                <w:color w:val="auto"/>
                <w:sz w:val="24"/>
              </w:rPr>
              <w:t>本项目与《工业窑炉大气污染综合治理方案》相符性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1"/>
              <w:gridCol w:w="2373"/>
              <w:gridCol w:w="846"/>
            </w:tblGrid>
            <w:tr w14:paraId="07E7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3DE2583E">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政策要求</w:t>
                  </w:r>
                </w:p>
              </w:tc>
              <w:tc>
                <w:tcPr>
                  <w:tcW w:w="2014" w:type="dxa"/>
                  <w:vAlign w:val="center"/>
                </w:tcPr>
                <w:p w14:paraId="305DEADA">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本项目情况</w:t>
                  </w:r>
                </w:p>
              </w:tc>
              <w:tc>
                <w:tcPr>
                  <w:tcW w:w="718" w:type="dxa"/>
                  <w:vAlign w:val="center"/>
                </w:tcPr>
                <w:p w14:paraId="09DA740E">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14:paraId="6B85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5BA5A813">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加大产业结构调整力度。严格建设项目环境准入。新建涉工业炉窑的建设项目，原则上要入园区，配套建设高效环保治理设施。重点区域严格控制涉工业炉窑建设项目</w:t>
                  </w:r>
                </w:p>
              </w:tc>
              <w:tc>
                <w:tcPr>
                  <w:tcW w:w="2014" w:type="dxa"/>
                  <w:vAlign w:val="center"/>
                </w:tcPr>
                <w:p w14:paraId="16877D8A">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项目位于宿徐现代产业园，以</w:t>
                  </w:r>
                  <w:r>
                    <w:rPr>
                      <w:rFonts w:hint="default" w:ascii="Times New Roman" w:hAnsi="Times New Roman" w:eastAsia="宋体" w:cs="Times New Roman"/>
                      <w:bCs/>
                      <w:color w:val="auto"/>
                      <w:lang w:eastAsia="zh-CN"/>
                    </w:rPr>
                    <w:t>液化石油气</w:t>
                  </w:r>
                  <w:r>
                    <w:rPr>
                      <w:rFonts w:hint="default" w:ascii="Times New Roman" w:hAnsi="Times New Roman" w:eastAsia="宋体" w:cs="Times New Roman"/>
                      <w:bCs/>
                      <w:color w:val="auto"/>
                    </w:rPr>
                    <w:t>作为燃料</w:t>
                  </w:r>
                </w:p>
              </w:tc>
              <w:tc>
                <w:tcPr>
                  <w:tcW w:w="718" w:type="dxa"/>
                  <w:vAlign w:val="center"/>
                </w:tcPr>
                <w:p w14:paraId="1E22CE73">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2E5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08BB1667">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加大落后产能和不达标工业炉窑淘汰力度。分行业清理《产业结构调整指导目录》淘汰类工业炉窑。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tc>
              <w:tc>
                <w:tcPr>
                  <w:tcW w:w="2014" w:type="dxa"/>
                  <w:vAlign w:val="center"/>
                </w:tcPr>
                <w:p w14:paraId="68195B94">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本项目选用炉窑不属于不达标工业炉窑</w:t>
                  </w:r>
                  <w:r>
                    <w:rPr>
                      <w:rFonts w:hint="eastAsia" w:ascii="Times New Roman" w:hAnsi="Times New Roman" w:eastAsia="宋体" w:cs="Times New Roman"/>
                      <w:bCs/>
                      <w:color w:val="auto"/>
                      <w:lang w:eastAsia="zh-CN"/>
                    </w:rPr>
                    <w:t>，</w:t>
                  </w:r>
                  <w:r>
                    <w:rPr>
                      <w:rFonts w:hint="eastAsia" w:ascii="Times New Roman" w:hAnsi="Times New Roman" w:eastAsia="宋体" w:cs="Times New Roman"/>
                      <w:bCs/>
                      <w:color w:val="auto"/>
                      <w:lang w:val="en-US" w:eastAsia="zh-CN"/>
                    </w:rPr>
                    <w:t>不属于</w:t>
                  </w:r>
                  <w:r>
                    <w:rPr>
                      <w:rFonts w:hint="default" w:ascii="Times New Roman" w:hAnsi="Times New Roman" w:eastAsia="宋体" w:cs="Times New Roman"/>
                      <w:bCs/>
                      <w:color w:val="auto"/>
                    </w:rPr>
                    <w:t>《产业结构调整指导目录》淘汰类设备</w:t>
                  </w:r>
                </w:p>
              </w:tc>
              <w:tc>
                <w:tcPr>
                  <w:tcW w:w="718" w:type="dxa"/>
                  <w:vAlign w:val="center"/>
                </w:tcPr>
                <w:p w14:paraId="1DB0B03C">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88E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320358EA">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2014" w:type="dxa"/>
                  <w:vAlign w:val="center"/>
                </w:tcPr>
                <w:p w14:paraId="4B4E901C">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本项目炉窑采用</w:t>
                  </w:r>
                  <w:r>
                    <w:rPr>
                      <w:rFonts w:hint="default" w:ascii="Times New Roman" w:hAnsi="Times New Roman" w:eastAsia="宋体" w:cs="Times New Roman"/>
                      <w:bCs/>
                      <w:color w:val="auto"/>
                      <w:lang w:eastAsia="zh-CN"/>
                    </w:rPr>
                    <w:t>液化石油气</w:t>
                  </w:r>
                  <w:r>
                    <w:rPr>
                      <w:rFonts w:hint="default" w:ascii="Times New Roman" w:hAnsi="Times New Roman" w:eastAsia="宋体" w:cs="Times New Roman"/>
                      <w:bCs/>
                      <w:color w:val="auto"/>
                    </w:rPr>
                    <w:t>供热，为清洁能源</w:t>
                  </w:r>
                </w:p>
              </w:tc>
              <w:tc>
                <w:tcPr>
                  <w:tcW w:w="718" w:type="dxa"/>
                  <w:vAlign w:val="center"/>
                </w:tcPr>
                <w:p w14:paraId="4002DE75">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09CE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3C46692E">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实施污染深度治理。推进工业炉窑全面达标排放。重点区域钢铁、水泥、焦化、石化、化工、有色等行业，二氧化硫、氮氧化物、颗粒物、挥发性有机物（VOCs）排放全面执行大气污染物特别排放限值。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tc>
              <w:tc>
                <w:tcPr>
                  <w:tcW w:w="2014" w:type="dxa"/>
                  <w:vAlign w:val="center"/>
                </w:tcPr>
                <w:p w14:paraId="18DA8331">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本项目属于新建项目，炉窑废气排放执行废气执行《工业炉窑大气污染物排放标准》（GB9078-1996）中其他炉窑排放限值和（环大气〔2019〕56号）中限值要求。</w:t>
                  </w:r>
                </w:p>
              </w:tc>
              <w:tc>
                <w:tcPr>
                  <w:tcW w:w="718" w:type="dxa"/>
                  <w:vAlign w:val="center"/>
                </w:tcPr>
                <w:p w14:paraId="625D21BA">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EBA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7A439043">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2014" w:type="dxa"/>
                  <w:vAlign w:val="center"/>
                </w:tcPr>
                <w:p w14:paraId="3CA19099">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rPr>
                    <w:t>项目不涉及煤粉、粉煤灰等物料</w:t>
                  </w:r>
                  <w:r>
                    <w:rPr>
                      <w:rFonts w:hint="eastAsia" w:ascii="Times New Roman" w:hAnsi="Times New Roman" w:eastAsia="宋体" w:cs="Times New Roman"/>
                      <w:bCs/>
                      <w:color w:val="auto"/>
                      <w:lang w:eastAsia="zh-CN"/>
                    </w:rPr>
                    <w:t>，</w:t>
                  </w:r>
                  <w:r>
                    <w:rPr>
                      <w:rFonts w:hint="eastAsia" w:ascii="Times New Roman" w:hAnsi="Times New Roman" w:eastAsia="宋体" w:cs="Times New Roman"/>
                      <w:bCs/>
                      <w:color w:val="auto"/>
                      <w:lang w:val="en-US" w:eastAsia="zh-CN"/>
                    </w:rPr>
                    <w:t>切割、焊接、抛丸、喷塑、固化、电泳、烘干、酸洗等废气均有对应收集措施。</w:t>
                  </w:r>
                </w:p>
              </w:tc>
              <w:tc>
                <w:tcPr>
                  <w:tcW w:w="718" w:type="dxa"/>
                  <w:vAlign w:val="center"/>
                </w:tcPr>
                <w:p w14:paraId="54FF7C43">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90C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76412574">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加强排污许可管理。按照排污许可管理名录规定按期完成涉工业炉窑行业排污许可证核发。开展固定污染源排污许可清理整顿工作，“核发一个行业、清理一个行业、达标一个行业、规范一个行业”。</w:t>
                  </w:r>
                </w:p>
              </w:tc>
              <w:tc>
                <w:tcPr>
                  <w:tcW w:w="2014" w:type="dxa"/>
                  <w:vAlign w:val="center"/>
                </w:tcPr>
                <w:p w14:paraId="6642839C">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color w:val="auto"/>
                    </w:rPr>
                    <w:t>本项目属于</w:t>
                  </w:r>
                  <w:r>
                    <w:rPr>
                      <w:rFonts w:hint="eastAsia" w:ascii="Times New Roman" w:hAnsi="Times New Roman" w:eastAsia="宋体" w:cs="Times New Roman"/>
                      <w:color w:val="auto"/>
                      <w:lang w:val="en-US" w:eastAsia="zh-CN"/>
                    </w:rPr>
                    <w:t>迁</w:t>
                  </w:r>
                  <w:r>
                    <w:rPr>
                      <w:rFonts w:hint="default" w:ascii="Times New Roman" w:hAnsi="Times New Roman" w:eastAsia="宋体" w:cs="Times New Roman"/>
                      <w:color w:val="auto"/>
                    </w:rPr>
                    <w:t>建项目，要求项目建设完成后有排污活动之前，及时</w:t>
                  </w:r>
                  <w:r>
                    <w:rPr>
                      <w:rFonts w:hint="eastAsia" w:ascii="Times New Roman" w:hAnsi="Times New Roman" w:eastAsia="宋体" w:cs="Times New Roman"/>
                      <w:color w:val="auto"/>
                      <w:lang w:val="en-US" w:eastAsia="zh-CN"/>
                    </w:rPr>
                    <w:t>变更</w:t>
                  </w:r>
                  <w:r>
                    <w:rPr>
                      <w:rFonts w:hint="default" w:ascii="Times New Roman" w:hAnsi="Times New Roman" w:eastAsia="宋体" w:cs="Times New Roman"/>
                      <w:color w:val="auto"/>
                    </w:rPr>
                    <w:t>排污许可证</w:t>
                  </w:r>
                </w:p>
              </w:tc>
              <w:tc>
                <w:tcPr>
                  <w:tcW w:w="718" w:type="dxa"/>
                  <w:vAlign w:val="center"/>
                </w:tcPr>
                <w:p w14:paraId="2188B5D3">
                  <w:pPr>
                    <w:keepNext w:val="0"/>
                    <w:keepLines w:val="0"/>
                    <w:pageBreakBefore w:val="0"/>
                    <w:widowControl/>
                    <w:kinsoku/>
                    <w:wordWrap/>
                    <w:overflowPunct/>
                    <w:topLinePunct w:val="0"/>
                    <w:autoSpaceDE w:val="0"/>
                    <w:autoSpaceDN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2FD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4" w:type="dxa"/>
                  <w:vAlign w:val="center"/>
                </w:tcPr>
                <w:p w14:paraId="6E7B6874">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强化重污染天气应对。各地应将涉工业炉窑企业全面纳入重污染天气应急减排清单，做到全覆盖。针对工业炉窑等主要排放工序，采取切实有效的应急减排措施，落实到具体生产线和设备。根据污染排放绩效水平，实行差异化应急减排管理。重点区域内钢铁、建材、焦化、有色、化工等涉大宗货物运输企业，应制定应急运输响应方案，原则上不允许柴油货车在重污染天气预警响应期间进出厂区（保证安全生产运行、运输民生保障物资或特殊需求产品的国五及以上排放标准车辆除外）。</w:t>
                  </w:r>
                </w:p>
              </w:tc>
              <w:tc>
                <w:tcPr>
                  <w:tcW w:w="2014" w:type="dxa"/>
                  <w:vAlign w:val="center"/>
                </w:tcPr>
                <w:p w14:paraId="70EB207D">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企业计划参照相关文件制定制定重污染天气应急减排措施</w:t>
                  </w:r>
                </w:p>
              </w:tc>
              <w:tc>
                <w:tcPr>
                  <w:tcW w:w="718" w:type="dxa"/>
                  <w:vAlign w:val="center"/>
                </w:tcPr>
                <w:p w14:paraId="2C39D5D2">
                  <w:pPr>
                    <w:keepNext w:val="0"/>
                    <w:keepLines w:val="0"/>
                    <w:pageBreakBefore w:val="0"/>
                    <w:widowControl/>
                    <w:kinsoku/>
                    <w:wordWrap/>
                    <w:overflowPunct/>
                    <w:topLinePunct w:val="0"/>
                    <w:bidi w:val="0"/>
                    <w:adjustRightInd/>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4358CAB4">
            <w:pPr>
              <w:keepNext w:val="0"/>
              <w:keepLines w:val="0"/>
              <w:pageBreakBefore w:val="0"/>
              <w:widowControl/>
              <w:tabs>
                <w:tab w:val="left" w:pos="420"/>
              </w:tabs>
              <w:kinsoku/>
              <w:wordWrap/>
              <w:overflowPunct/>
              <w:bidi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rPr>
              <w:t>）与《安徽省水污染防治工作方案》符合性分析</w:t>
            </w:r>
          </w:p>
          <w:p w14:paraId="5C76F9D0">
            <w:pPr>
              <w:keepNext w:val="0"/>
              <w:keepLines w:val="0"/>
              <w:pageBreakBefore w:val="0"/>
              <w:widowControl/>
              <w:tabs>
                <w:tab w:val="left" w:pos="0"/>
              </w:tabs>
              <w:kinsoku/>
              <w:wordWrap/>
              <w:overflowPunct/>
              <w:bidi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表1-1</w:t>
            </w:r>
            <w:r>
              <w:rPr>
                <w:rFonts w:hint="eastAsia" w:ascii="Times New Roman" w:hAnsi="Times New Roman" w:eastAsia="宋体" w:cs="Times New Roman"/>
                <w:b/>
                <w:color w:val="auto"/>
                <w:sz w:val="24"/>
                <w:lang w:val="en-US" w:eastAsia="zh-CN"/>
              </w:rPr>
              <w:t xml:space="preserve">0 </w:t>
            </w:r>
            <w:r>
              <w:rPr>
                <w:rFonts w:hint="default" w:ascii="Times New Roman" w:hAnsi="Times New Roman" w:eastAsia="宋体" w:cs="Times New Roman"/>
                <w:b/>
                <w:color w:val="auto"/>
                <w:sz w:val="24"/>
              </w:rPr>
              <w:t>本项目与《安徽省水污染防治工作方案》相符性</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0"/>
              <w:gridCol w:w="2372"/>
              <w:gridCol w:w="845"/>
            </w:tblGrid>
            <w:tr w14:paraId="322F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pct"/>
                  <w:vAlign w:val="center"/>
                </w:tcPr>
                <w:p w14:paraId="50A02516">
                  <w:pPr>
                    <w:keepNext w:val="0"/>
                    <w:keepLines w:val="0"/>
                    <w:pageBreakBefore w:val="0"/>
                    <w:widowControl/>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政策要求</w:t>
                  </w:r>
                </w:p>
              </w:tc>
              <w:tc>
                <w:tcPr>
                  <w:tcW w:w="1355" w:type="pct"/>
                  <w:vAlign w:val="center"/>
                </w:tcPr>
                <w:p w14:paraId="1D900340">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本项目情况</w:t>
                  </w:r>
                </w:p>
              </w:tc>
              <w:tc>
                <w:tcPr>
                  <w:tcW w:w="483" w:type="pct"/>
                  <w:vAlign w:val="center"/>
                </w:tcPr>
                <w:p w14:paraId="60B09692">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14:paraId="27AD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pct"/>
                  <w:vAlign w:val="center"/>
                </w:tcPr>
                <w:p w14:paraId="7B01FD71">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推动污染企业退出。城市建成区内现有钢铁、有色金属、造纸、印染、原料药制造、化工等污染较重的企业应有序搬迁改造或依法关闭。</w:t>
                  </w:r>
                </w:p>
              </w:tc>
              <w:tc>
                <w:tcPr>
                  <w:tcW w:w="1355" w:type="pct"/>
                  <w:vAlign w:val="center"/>
                </w:tcPr>
                <w:p w14:paraId="78B2044D">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本项目为</w:t>
                  </w:r>
                  <w:r>
                    <w:rPr>
                      <w:rFonts w:hint="default" w:ascii="Times New Roman" w:hAnsi="Times New Roman" w:eastAsia="宋体" w:cs="Times New Roman"/>
                      <w:bCs/>
                      <w:color w:val="auto"/>
                      <w:lang w:eastAsia="zh-CN"/>
                    </w:rPr>
                    <w:t>C3311 金属结构制造</w:t>
                  </w:r>
                  <w:r>
                    <w:rPr>
                      <w:rFonts w:hint="default" w:ascii="Times New Roman" w:hAnsi="Times New Roman" w:eastAsia="宋体" w:cs="Times New Roman"/>
                      <w:bCs/>
                      <w:color w:val="auto"/>
                    </w:rPr>
                    <w:t>，不属于污染较重的企业</w:t>
                  </w:r>
                </w:p>
              </w:tc>
              <w:tc>
                <w:tcPr>
                  <w:tcW w:w="483" w:type="pct"/>
                  <w:vAlign w:val="center"/>
                </w:tcPr>
                <w:p w14:paraId="1E1CF231">
                  <w:pPr>
                    <w:keepNext w:val="0"/>
                    <w:keepLines w:val="0"/>
                    <w:pageBreakBefore w:val="0"/>
                    <w:widowControl/>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7B61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pct"/>
                  <w:vAlign w:val="center"/>
                </w:tcPr>
                <w:p w14:paraId="31DA6336">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严控地下水超采。在地面沉降、地裂缝、岩溶塌陷等地质灾害易发区开发利用地下水，应进行地质灾害危险性评估。严格控制开采深层承压水，地热水、矿泉水开发应严格实行取水许可和采矿许可。依法规范机井建设管理，排查登记已建机井，未经批准的和公共供水管网覆盖范围内自备水井，一律予以关闭。淮北、亳州、宿州、蚌埠、阜阳市25个地下水超采区要开展综合治理，严格落实限采要求，逐步恢复地下水水位。2017年底前，淮北、亳州、宿州、蚌埠、阜阳、淮南市政府要划定并公布地面沉降控制区范围。</w:t>
                  </w:r>
                </w:p>
              </w:tc>
              <w:tc>
                <w:tcPr>
                  <w:tcW w:w="1355" w:type="pct"/>
                  <w:vAlign w:val="center"/>
                </w:tcPr>
                <w:p w14:paraId="793B5CAF">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本项目用水采用市政管网供水，不涉及地下水的开采</w:t>
                  </w:r>
                </w:p>
              </w:tc>
              <w:tc>
                <w:tcPr>
                  <w:tcW w:w="483" w:type="pct"/>
                  <w:vAlign w:val="center"/>
                </w:tcPr>
                <w:p w14:paraId="53162B59">
                  <w:pPr>
                    <w:keepNext w:val="0"/>
                    <w:keepLines w:val="0"/>
                    <w:pageBreakBefore w:val="0"/>
                    <w:widowControl/>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5CDF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pct"/>
                  <w:vAlign w:val="center"/>
                </w:tcPr>
                <w:p w14:paraId="520DA648">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全面推行排污许可。依法核发排污许可证。2015年底前，完成国控重点污染源排污许可证的核发工作，其他污染源于2017年底前完成。</w:t>
                  </w:r>
                </w:p>
                <w:p w14:paraId="25C5E92A">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加强许可证管理。以改善水质、防范环境风险为目标，将污染物排放种类、浓度、总量、排放去向等纳入许可证管理范围。禁止无证排污或不按许可证规定排污。2017年底前，完成全省排污许可证管理信息平台建设。积极推进排污权交易平台建设。</w:t>
                  </w:r>
                </w:p>
              </w:tc>
              <w:tc>
                <w:tcPr>
                  <w:tcW w:w="1355" w:type="pct"/>
                  <w:vAlign w:val="center"/>
                </w:tcPr>
                <w:p w14:paraId="63EADE27">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本环评评价要求在项目正式排污前需要取的排污许可证方能排污</w:t>
                  </w:r>
                </w:p>
              </w:tc>
              <w:tc>
                <w:tcPr>
                  <w:tcW w:w="483" w:type="pct"/>
                  <w:vAlign w:val="center"/>
                </w:tcPr>
                <w:p w14:paraId="6E533C22">
                  <w:pPr>
                    <w:keepNext w:val="0"/>
                    <w:keepLines w:val="0"/>
                    <w:pageBreakBefore w:val="0"/>
                    <w:widowControl/>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05E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pct"/>
                  <w:vAlign w:val="center"/>
                </w:tcPr>
                <w:p w14:paraId="241F7B96">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落实排污单位主体责任。各类排污单位要严格执行环保法律法规和制度，加强污染治理设施建设和运行管理，开展自行监测或者委托第三方监测，落实治污减排、环境风险防范等责任。国有企业要带头落实，工业集聚区内的企业要探索建立环保自律机制。</w:t>
                  </w:r>
                </w:p>
              </w:tc>
              <w:tc>
                <w:tcPr>
                  <w:tcW w:w="1355" w:type="pct"/>
                  <w:vAlign w:val="center"/>
                </w:tcPr>
                <w:p w14:paraId="0331F478">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本项目严格按照环评及排污许可要求进行废气、废水的监测，以确保项目稳定达标排放。</w:t>
                  </w:r>
                </w:p>
              </w:tc>
              <w:tc>
                <w:tcPr>
                  <w:tcW w:w="483" w:type="pct"/>
                  <w:vAlign w:val="center"/>
                </w:tcPr>
                <w:p w14:paraId="4EBE4BA3">
                  <w:pPr>
                    <w:keepNext w:val="0"/>
                    <w:keepLines w:val="0"/>
                    <w:pageBreakBefore w:val="0"/>
                    <w:widowControl/>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6038591A">
            <w:pPr>
              <w:keepNext w:val="0"/>
              <w:keepLines w:val="0"/>
              <w:pageBreakBefore w:val="0"/>
              <w:widowControl/>
              <w:kinsoku/>
              <w:wordWrap/>
              <w:overflowPunct/>
              <w:bidi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）与《宿州市“十四五”生态环境保护规划》（</w:t>
            </w:r>
            <w:r>
              <w:rPr>
                <w:rFonts w:hint="default" w:ascii="Times New Roman" w:hAnsi="Times New Roman" w:eastAsia="宋体" w:cs="Times New Roman"/>
                <w:b/>
                <w:bCs/>
                <w:color w:val="auto"/>
                <w:kern w:val="0"/>
                <w:sz w:val="24"/>
              </w:rPr>
              <w:t>宿环委会[2022]2号</w:t>
            </w:r>
            <w:r>
              <w:rPr>
                <w:rFonts w:hint="default" w:ascii="Times New Roman" w:hAnsi="Times New Roman" w:eastAsia="宋体" w:cs="Times New Roman"/>
                <w:b/>
                <w:bCs/>
                <w:color w:val="auto"/>
                <w:sz w:val="24"/>
              </w:rPr>
              <w:t>）符合性分析</w:t>
            </w:r>
          </w:p>
          <w:p w14:paraId="635910AF">
            <w:pPr>
              <w:keepNext w:val="0"/>
              <w:keepLines w:val="0"/>
              <w:pageBreakBefore w:val="0"/>
              <w:widowControl/>
              <w:kinsoku/>
              <w:wordWrap/>
              <w:overflowPunct/>
              <w:bidi w:val="0"/>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color w:val="auto"/>
                <w:sz w:val="24"/>
              </w:rPr>
              <w:t>表1-</w:t>
            </w:r>
            <w:r>
              <w:rPr>
                <w:rFonts w:hint="eastAsia" w:ascii="Times New Roman" w:hAnsi="Times New Roman" w:eastAsia="宋体" w:cs="Times New Roman"/>
                <w:b/>
                <w:color w:val="auto"/>
                <w:sz w:val="24"/>
                <w:lang w:val="en-US" w:eastAsia="zh-CN"/>
              </w:rPr>
              <w:t>11</w:t>
            </w:r>
            <w:r>
              <w:rPr>
                <w:rFonts w:hint="default" w:ascii="Times New Roman" w:hAnsi="Times New Roman" w:eastAsia="宋体" w:cs="Times New Roman"/>
                <w:b/>
                <w:color w:val="auto"/>
                <w:sz w:val="24"/>
              </w:rPr>
              <w:t xml:space="preserve"> 本项目与《宿州市“十四五”生态环境保护规划》相符性</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9"/>
              <w:gridCol w:w="3567"/>
              <w:gridCol w:w="841"/>
            </w:tblGrid>
            <w:tr w14:paraId="5F1F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0" w:type="pct"/>
                  <w:vAlign w:val="center"/>
                </w:tcPr>
                <w:p w14:paraId="41E95271">
                  <w:pPr>
                    <w:keepNext w:val="0"/>
                    <w:keepLines w:val="0"/>
                    <w:pageBreakBefore w:val="0"/>
                    <w:widowControl/>
                    <w:kinsoku/>
                    <w:wordWrap/>
                    <w:overflowPunct/>
                    <w:autoSpaceDE w:val="0"/>
                    <w:autoSpaceDN w:val="0"/>
                    <w:bidi w:val="0"/>
                    <w:adjustRightIn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政策要求</w:t>
                  </w:r>
                </w:p>
              </w:tc>
              <w:tc>
                <w:tcPr>
                  <w:tcW w:w="2039" w:type="pct"/>
                  <w:vAlign w:val="center"/>
                </w:tcPr>
                <w:p w14:paraId="76DE5BEC">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本项目情况</w:t>
                  </w:r>
                </w:p>
              </w:tc>
              <w:tc>
                <w:tcPr>
                  <w:tcW w:w="481" w:type="pct"/>
                  <w:vAlign w:val="center"/>
                </w:tcPr>
                <w:p w14:paraId="27AB88BF">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14:paraId="3F51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pct"/>
                  <w:vAlign w:val="center"/>
                </w:tcPr>
                <w:p w14:paraId="017CA6EE">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推进工业企业大气污染综合治理深入开展锅炉、炉窑综合整治。实施重点涉工业炉窑企业深度治理或清洁能源替代，完成65蒸吨及以上燃煤锅炉节能改造。持续开展散煤污染治理行动，严格查处非法销售、使用非清洁散煤等行为。</w:t>
                  </w:r>
                </w:p>
              </w:tc>
              <w:tc>
                <w:tcPr>
                  <w:tcW w:w="2039" w:type="pct"/>
                  <w:vAlign w:val="center"/>
                </w:tcPr>
                <w:p w14:paraId="53A1E381">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本项目使用</w:t>
                  </w:r>
                  <w:r>
                    <w:rPr>
                      <w:rFonts w:hint="default" w:ascii="Times New Roman" w:hAnsi="Times New Roman" w:eastAsia="宋体" w:cs="Times New Roman"/>
                      <w:color w:val="auto"/>
                      <w:sz w:val="21"/>
                      <w:szCs w:val="21"/>
                      <w:lang w:eastAsia="zh-CN"/>
                    </w:rPr>
                    <w:t>液化石油气</w:t>
                  </w:r>
                  <w:r>
                    <w:rPr>
                      <w:rFonts w:hint="default" w:ascii="Times New Roman" w:hAnsi="Times New Roman" w:eastAsia="宋体" w:cs="Times New Roman"/>
                      <w:color w:val="auto"/>
                      <w:sz w:val="21"/>
                      <w:szCs w:val="21"/>
                    </w:rPr>
                    <w:t>作为燃料</w:t>
                  </w:r>
                </w:p>
              </w:tc>
              <w:tc>
                <w:tcPr>
                  <w:tcW w:w="481" w:type="pct"/>
                  <w:vAlign w:val="center"/>
                </w:tcPr>
                <w:p w14:paraId="74A5A0CD">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02E2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pct"/>
                  <w:vAlign w:val="center"/>
                </w:tcPr>
                <w:p w14:paraId="4D09B839">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深化VOCs综合整治</w:t>
                  </w:r>
                </w:p>
                <w:p w14:paraId="14464CC9">
                  <w:pPr>
                    <w:pStyle w:val="4"/>
                    <w:keepNext w:val="0"/>
                    <w:keepLines w:val="0"/>
                    <w:pageBreakBefore w:val="0"/>
                    <w:widowControl/>
                    <w:kinsoku/>
                    <w:wordWrap/>
                    <w:overflowPunct/>
                    <w:bidi w:val="0"/>
                    <w:spacing w:line="240" w:lineRule="auto"/>
                    <w:ind w:left="0"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严格落实《挥发性有机物无组织排放控制标准》，加强VOCs无组织排放控制，加快废气收集系统建设，提高废气收集率</w:t>
                  </w:r>
                  <w:r>
                    <w:rPr>
                      <w:rFonts w:hint="eastAsia" w:cs="Times New Roman"/>
                      <w:color w:val="auto"/>
                      <w:sz w:val="21"/>
                      <w:szCs w:val="21"/>
                      <w:lang w:eastAsia="zh-CN"/>
                    </w:rPr>
                    <w:t>。</w:t>
                  </w:r>
                </w:p>
              </w:tc>
              <w:tc>
                <w:tcPr>
                  <w:tcW w:w="2039" w:type="pct"/>
                  <w:vAlign w:val="center"/>
                </w:tcPr>
                <w:p w14:paraId="47B7EA4E">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项目选用的含VOCs原料均满足相关文件要求；项目对有机废气进行收集处理，能够实现达标排放；项目建设符合《挥发性有机物无组织排放控制标准》中相关要求</w:t>
                  </w:r>
                </w:p>
              </w:tc>
              <w:tc>
                <w:tcPr>
                  <w:tcW w:w="481" w:type="pct"/>
                  <w:vAlign w:val="center"/>
                </w:tcPr>
                <w:p w14:paraId="4291D5A9">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362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pct"/>
                  <w:vAlign w:val="center"/>
                </w:tcPr>
                <w:p w14:paraId="4C09A45F">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狠抓工业污染防治。加大工业园区整治力度，全面推进工业园区污水处理设施建设和污水管网排查整治，加快涉化园区化工废水“分类收集、分质处理、一企一管”建设。对工业园区、企业聚集区污水处理厂、重点行业废水处理设施产生污泥危险废物属性不明的，开展危险特性鉴别工作。实现市级和县级及以下涉水工业园区污水管网覆盖、污水集中处理设施稳定达标运行，加强在线监控设施监管力度。推进工业园区内部废弃物的交换利用和资源化利用、水的循环利用和梯级利用任务。</w:t>
                  </w:r>
                </w:p>
              </w:tc>
              <w:tc>
                <w:tcPr>
                  <w:tcW w:w="2039" w:type="pct"/>
                  <w:vAlign w:val="center"/>
                </w:tcPr>
                <w:p w14:paraId="112E9A46">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企业厂区实行雨污分流，生活污水经</w:t>
                  </w:r>
                  <w:r>
                    <w:rPr>
                      <w:rFonts w:hint="default" w:ascii="Times New Roman" w:hAnsi="Times New Roman" w:eastAsia="宋体" w:cs="Times New Roman"/>
                      <w:color w:val="auto"/>
                      <w:sz w:val="21"/>
                      <w:szCs w:val="21"/>
                      <w:lang w:eastAsia="zh-CN"/>
                    </w:rPr>
                    <w:t>化粪池</w:t>
                  </w:r>
                  <w:r>
                    <w:rPr>
                      <w:rFonts w:hint="default" w:ascii="Times New Roman" w:hAnsi="Times New Roman" w:eastAsia="宋体" w:cs="Times New Roman"/>
                      <w:color w:val="auto"/>
                      <w:sz w:val="21"/>
                      <w:szCs w:val="21"/>
                    </w:rPr>
                    <w:t>处理后通过污水总排口纳管进入</w:t>
                  </w:r>
                  <w:r>
                    <w:rPr>
                      <w:rFonts w:hint="default" w:ascii="Times New Roman" w:hAnsi="Times New Roman" w:eastAsia="宋体" w:cs="Times New Roman"/>
                      <w:color w:val="auto"/>
                      <w:sz w:val="21"/>
                      <w:szCs w:val="21"/>
                      <w:lang w:eastAsia="zh-CN"/>
                    </w:rPr>
                    <w:t>宿州市曹村污水处理厂</w:t>
                  </w:r>
                  <w:r>
                    <w:rPr>
                      <w:rFonts w:hint="default" w:ascii="Times New Roman" w:hAnsi="Times New Roman" w:eastAsia="宋体" w:cs="Times New Roman"/>
                      <w:color w:val="auto"/>
                      <w:sz w:val="21"/>
                      <w:szCs w:val="21"/>
                    </w:rPr>
                    <w:t>处理，生产废水经自建污水处理站处理后通过污水总排口纳管进入</w:t>
                  </w:r>
                  <w:r>
                    <w:rPr>
                      <w:rFonts w:hint="default" w:ascii="Times New Roman" w:hAnsi="Times New Roman" w:eastAsia="宋体" w:cs="Times New Roman"/>
                      <w:color w:val="auto"/>
                      <w:sz w:val="21"/>
                      <w:szCs w:val="21"/>
                      <w:lang w:eastAsia="zh-CN"/>
                    </w:rPr>
                    <w:t>宿州市曹村污水处理厂</w:t>
                  </w:r>
                  <w:r>
                    <w:rPr>
                      <w:rFonts w:hint="default" w:ascii="Times New Roman" w:hAnsi="Times New Roman" w:eastAsia="宋体" w:cs="Times New Roman"/>
                      <w:color w:val="auto"/>
                      <w:sz w:val="21"/>
                      <w:szCs w:val="21"/>
                    </w:rPr>
                    <w:t>处理，纯水制备浓水通过污水总排口进入</w:t>
                  </w:r>
                  <w:r>
                    <w:rPr>
                      <w:rFonts w:hint="default" w:ascii="Times New Roman" w:hAnsi="Times New Roman" w:eastAsia="宋体" w:cs="Times New Roman"/>
                      <w:color w:val="auto"/>
                      <w:sz w:val="21"/>
                      <w:szCs w:val="21"/>
                      <w:lang w:eastAsia="zh-CN"/>
                    </w:rPr>
                    <w:t>宿州市曹村污水处理厂</w:t>
                  </w:r>
                  <w:r>
                    <w:rPr>
                      <w:rFonts w:hint="default" w:ascii="Times New Roman" w:hAnsi="Times New Roman" w:eastAsia="宋体" w:cs="Times New Roman"/>
                      <w:color w:val="auto"/>
                      <w:sz w:val="21"/>
                      <w:szCs w:val="21"/>
                    </w:rPr>
                    <w:t>处理，污水处理站产生的污泥交由有资质单位处理</w:t>
                  </w:r>
                </w:p>
              </w:tc>
              <w:tc>
                <w:tcPr>
                  <w:tcW w:w="481" w:type="pct"/>
                  <w:vAlign w:val="center"/>
                </w:tcPr>
                <w:p w14:paraId="09ACB9FE">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7902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pct"/>
                  <w:vAlign w:val="center"/>
                </w:tcPr>
                <w:p w14:paraId="1FF542BD">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水资源综合管理。实施最严格水资源管理制度。落实国家节水行动和水资源刚性约束制度。以水定城、以水定产。严格执行水资源论证制度，严格规范取水许可审批管理，合理分配水资源，确保生态流量。严格保护和合理利用地下水，实行地下水取用水总量控制和水位控制，加快推进地下水压采置换。推动完善水资源调度方案，强化抗旱管理、行蓄洪区管理。加强水资源综合管理支撑能力建设，建立完善水资源综合管理科技创新体系。</w:t>
                  </w:r>
                </w:p>
              </w:tc>
              <w:tc>
                <w:tcPr>
                  <w:tcW w:w="2039" w:type="pct"/>
                  <w:vAlign w:val="center"/>
                </w:tcPr>
                <w:p w14:paraId="0653839E">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本项目用水来自区域供水管网，不开采地下水</w:t>
                  </w:r>
                </w:p>
              </w:tc>
              <w:tc>
                <w:tcPr>
                  <w:tcW w:w="481" w:type="pct"/>
                  <w:vAlign w:val="center"/>
                </w:tcPr>
                <w:p w14:paraId="25AA5127">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bCs/>
                      <w:color w:val="auto"/>
                    </w:rPr>
                    <w:t>符合</w:t>
                  </w:r>
                </w:p>
              </w:tc>
            </w:tr>
            <w:tr w14:paraId="59C3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0" w:type="pct"/>
                  <w:vAlign w:val="center"/>
                </w:tcPr>
                <w:p w14:paraId="0FFAD86C">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控制工业企业噪声</w:t>
                  </w:r>
                </w:p>
                <w:p w14:paraId="18D1463E">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2039" w:type="pct"/>
                  <w:vAlign w:val="center"/>
                </w:tcPr>
                <w:p w14:paraId="5CFC268D">
                  <w:pPr>
                    <w:pStyle w:val="4"/>
                    <w:keepNext w:val="0"/>
                    <w:keepLines w:val="0"/>
                    <w:pageBreakBefore w:val="0"/>
                    <w:widowControl/>
                    <w:kinsoku/>
                    <w:wordWrap/>
                    <w:overflowPunct/>
                    <w:bidi w:val="0"/>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项目选用低噪声设备，采取隔声、减震等措施、加强厂区绿化，采取噪声防治措施后厂界噪声能够达标排放。</w:t>
                  </w:r>
                </w:p>
              </w:tc>
              <w:tc>
                <w:tcPr>
                  <w:tcW w:w="481" w:type="pct"/>
                  <w:vAlign w:val="center"/>
                </w:tcPr>
                <w:p w14:paraId="6B497B63">
                  <w:pPr>
                    <w:keepNext w:val="0"/>
                    <w:keepLines w:val="0"/>
                    <w:pageBreakBefore w:val="0"/>
                    <w:widowControl/>
                    <w:kinsoku/>
                    <w:wordWrap/>
                    <w:overflowPunct/>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7EEDDCC9">
            <w:pPr>
              <w:keepNext w:val="0"/>
              <w:keepLines w:val="0"/>
              <w:pageBreakBefore w:val="0"/>
              <w:widowControl/>
              <w:kinsoku/>
              <w:wordWrap/>
              <w:overflowPunct/>
              <w:bidi w:val="0"/>
              <w:rPr>
                <w:lang w:eastAsia="zh-CN"/>
              </w:rPr>
            </w:pPr>
          </w:p>
        </w:tc>
      </w:tr>
    </w:tbl>
    <w:p w14:paraId="67E52473">
      <w:pPr>
        <w:bidi w:val="0"/>
        <w:rPr>
          <w:rFonts w:hint="eastAsia"/>
          <w:lang w:eastAsia="zh-CN"/>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5E9B2E6">
      <w:pPr>
        <w:bidi w:val="0"/>
        <w:rPr>
          <w:rFonts w:hint="eastAsia"/>
          <w:lang w:eastAsia="zh-CN"/>
        </w:rPr>
      </w:pPr>
    </w:p>
    <w:p w14:paraId="4C7F3A11">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宋体" w:cs="宋体"/>
          <w:b/>
          <w:bCs/>
          <w:sz w:val="30"/>
          <w:szCs w:val="30"/>
        </w:rPr>
      </w:pPr>
      <w:r>
        <w:rPr>
          <w:rFonts w:hint="eastAsia" w:eastAsia="宋体" w:cs="宋体"/>
          <w:b/>
          <w:bCs/>
          <w:sz w:val="30"/>
          <w:szCs w:val="30"/>
          <w:lang w:eastAsia="zh-CN"/>
        </w:rPr>
        <w:t>二</w:t>
      </w:r>
      <w:r>
        <w:rPr>
          <w:rFonts w:hint="eastAsia" w:eastAsia="宋体" w:cs="宋体"/>
          <w:b/>
          <w:bCs/>
          <w:sz w:val="30"/>
          <w:szCs w:val="30"/>
        </w:rPr>
        <w:t>、建设项目工程分析</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9143"/>
      </w:tblGrid>
      <w:tr w14:paraId="5FC74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6" w:hRule="atLeast"/>
          <w:jc w:val="center"/>
        </w:trPr>
        <w:tc>
          <w:tcPr>
            <w:tcW w:w="411" w:type="pct"/>
            <w:vAlign w:val="center"/>
          </w:tcPr>
          <w:p w14:paraId="7CB9B554">
            <w:pPr>
              <w:pStyle w:val="20"/>
              <w:pageBreakBefore w:val="0"/>
              <w:kinsoku/>
              <w:wordWrap/>
              <w:overflowPunct/>
              <w:topLinePunct w:val="0"/>
              <w:bidi w:val="0"/>
              <w:adjustRightInd/>
              <w:snapToGrid/>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9143" w:type="dxa"/>
            <w:vAlign w:val="top"/>
          </w:tcPr>
          <w:p w14:paraId="297C18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yellow"/>
              </w:rPr>
            </w:pPr>
            <w:r>
              <w:rPr>
                <w:rFonts w:hint="default" w:ascii="Times New Roman" w:hAnsi="Times New Roman" w:eastAsia="宋体" w:cs="Times New Roman"/>
                <w:b/>
                <w:bCs/>
                <w:color w:val="auto"/>
                <w:sz w:val="24"/>
                <w:szCs w:val="24"/>
                <w:lang w:val="en-US" w:eastAsia="zh-CN"/>
              </w:rPr>
              <w:t>一、</w:t>
            </w:r>
            <w:r>
              <w:rPr>
                <w:rFonts w:hint="default" w:ascii="Times New Roman" w:hAnsi="Times New Roman" w:eastAsia="宋体" w:cs="Times New Roman"/>
                <w:b/>
                <w:bCs/>
                <w:color w:val="auto"/>
                <w:sz w:val="24"/>
                <w:szCs w:val="24"/>
              </w:rPr>
              <w:t>项目由来</w:t>
            </w:r>
          </w:p>
          <w:p w14:paraId="14398DC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baseline"/>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2023年</w:t>
            </w:r>
            <w:r>
              <w:rPr>
                <w:rFonts w:hint="default" w:ascii="Times New Roman" w:hAnsi="Times New Roman" w:eastAsia="宋体" w:cs="Times New Roman"/>
                <w:color w:val="auto"/>
                <w:sz w:val="24"/>
                <w:szCs w:val="24"/>
              </w:rPr>
              <w:t>安徽博钧机械设备有限公司收购宿州持本机械科技有限公司，继续租赁安徽省宿州市埇桥区宿州徐州现代产业园区埇桥园雁山路与滨河路交叉口西150m宿州鑫隆机电设备有限公司院内东侧</w:t>
            </w:r>
            <w:r>
              <w:rPr>
                <w:rFonts w:hint="default" w:ascii="Times New Roman" w:hAnsi="Times New Roman" w:eastAsia="宋体" w:cs="Times New Roman"/>
                <w:color w:val="auto"/>
                <w:sz w:val="24"/>
                <w:szCs w:val="24"/>
                <w:lang w:val="en-US" w:eastAsia="zh-CN"/>
              </w:rPr>
              <w:t>厂房，</w:t>
            </w:r>
            <w:r>
              <w:rPr>
                <w:rFonts w:hint="default" w:ascii="Times New Roman" w:hAnsi="Times New Roman" w:eastAsia="宋体" w:cs="Times New Roman"/>
                <w:color w:val="auto"/>
                <w:sz w:val="24"/>
                <w:szCs w:val="24"/>
              </w:rPr>
              <w:t>建设安徽博钧机械设备有限公司年加工制造8000套工程机械金属结构件项目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该项目于2023年12月11日期取得《关于安徽博钧机械设备有限公司年加工制造8000套工程机械金属构件项目环境影响报告表的批复》环建字【2023】72号，于2024年5月取得排污许可，排污许可证编号：91341302MA8R01Q042001Z，有效期：2024年05月14日-2029年05月13日。</w:t>
            </w:r>
            <w:r>
              <w:rPr>
                <w:rFonts w:hint="eastAsia" w:ascii="Times New Roman" w:hAnsi="Times New Roman" w:eastAsia="宋体" w:cs="Times New Roman"/>
                <w:color w:val="auto"/>
                <w:sz w:val="24"/>
                <w:szCs w:val="24"/>
                <w:highlight w:val="none"/>
                <w:lang w:val="en-US" w:eastAsia="zh-CN"/>
              </w:rPr>
              <w:t>因喷漆及部分机加工设备未完成建设，</w:t>
            </w:r>
            <w:r>
              <w:rPr>
                <w:rFonts w:hint="eastAsia" w:ascii="Times New Roman" w:hAnsi="Times New Roman" w:eastAsia="宋体" w:cs="Times New Roman"/>
                <w:color w:val="auto"/>
                <w:sz w:val="24"/>
                <w:szCs w:val="24"/>
                <w:lang w:val="en-US" w:eastAsia="zh-CN"/>
              </w:rPr>
              <w:t>项目于2024年10月28日，完成阶段性自主验收。</w:t>
            </w:r>
          </w:p>
          <w:p w14:paraId="5F65431F">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2025年因房租到期，原房东不再续租，企业计划将年加工制造8000套工程机械金属构件项目搬迁至新厂址，新厂址租赁金鸽面粉厂空置厂房2200平方米，</w:t>
            </w:r>
            <w:r>
              <w:rPr>
                <w:rFonts w:hint="default" w:ascii="Times New Roman" w:hAnsi="Times New Roman" w:eastAsia="宋体" w:cs="Times New Roman"/>
                <w:color w:val="auto"/>
                <w:sz w:val="24"/>
                <w:szCs w:val="24"/>
              </w:rPr>
              <w:t>其中生产车间</w:t>
            </w:r>
            <w:r>
              <w:rPr>
                <w:rFonts w:hint="default" w:ascii="Times New Roman" w:hAnsi="Times New Roman" w:eastAsia="宋体" w:cs="Times New Roman"/>
                <w:color w:val="auto"/>
                <w:sz w:val="24"/>
                <w:szCs w:val="24"/>
                <w:lang w:eastAsia="zh-CN"/>
              </w:rPr>
              <w:t>面积</w:t>
            </w:r>
            <w:r>
              <w:rPr>
                <w:rFonts w:hint="default" w:ascii="Times New Roman" w:hAnsi="Times New Roman" w:eastAsia="宋体" w:cs="Times New Roman"/>
                <w:color w:val="auto"/>
                <w:sz w:val="24"/>
                <w:szCs w:val="24"/>
                <w:lang w:val="en-US" w:eastAsia="zh-CN"/>
              </w:rPr>
              <w:t>2000</w:t>
            </w:r>
            <w:r>
              <w:rPr>
                <w:rFonts w:hint="default" w:ascii="Times New Roman" w:hAnsi="Times New Roman" w:eastAsia="宋体" w:cs="Times New Roman"/>
                <w:color w:val="auto"/>
                <w:sz w:val="24"/>
                <w:szCs w:val="24"/>
              </w:rPr>
              <w:t>平方米，办公区</w:t>
            </w:r>
            <w:r>
              <w:rPr>
                <w:rFonts w:hint="default" w:ascii="Times New Roman" w:hAnsi="Times New Roman" w:eastAsia="宋体" w:cs="Times New Roman"/>
                <w:color w:val="auto"/>
                <w:sz w:val="24"/>
                <w:szCs w:val="24"/>
                <w:lang w:eastAsia="zh-CN"/>
              </w:rPr>
              <w:t>面积</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平方米，</w:t>
            </w:r>
            <w:r>
              <w:rPr>
                <w:rFonts w:hint="default" w:ascii="Times New Roman" w:hAnsi="Times New Roman" w:eastAsia="宋体" w:cs="Times New Roman"/>
                <w:color w:val="auto"/>
                <w:sz w:val="24"/>
                <w:szCs w:val="24"/>
                <w:lang w:val="en-US" w:eastAsia="zh-CN"/>
              </w:rPr>
              <w:t>对原有项目进行技术改造并新增酸洗、磷化等工艺，搬迁并购置相应</w:t>
            </w:r>
            <w:r>
              <w:rPr>
                <w:rFonts w:hint="default" w:ascii="Times New Roman" w:hAnsi="Times New Roman" w:eastAsia="宋体" w:cs="Times New Roman"/>
                <w:color w:val="auto"/>
                <w:sz w:val="24"/>
                <w:szCs w:val="24"/>
              </w:rPr>
              <w:t>生产</w:t>
            </w:r>
            <w:r>
              <w:rPr>
                <w:rFonts w:hint="default" w:ascii="Times New Roman" w:hAnsi="Times New Roman" w:eastAsia="宋体" w:cs="Times New Roman"/>
                <w:color w:val="auto"/>
                <w:sz w:val="24"/>
                <w:szCs w:val="24"/>
                <w:lang w:val="en-US" w:eastAsia="zh-CN"/>
              </w:rPr>
              <w:t>及办公</w:t>
            </w:r>
            <w:r>
              <w:rPr>
                <w:rFonts w:hint="default" w:ascii="Times New Roman" w:hAnsi="Times New Roman" w:eastAsia="宋体" w:cs="Times New Roman"/>
                <w:color w:val="auto"/>
                <w:sz w:val="24"/>
                <w:szCs w:val="24"/>
              </w:rPr>
              <w:t>设备，</w:t>
            </w:r>
            <w:r>
              <w:rPr>
                <w:rFonts w:hint="default"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rPr>
              <w:t>配套建设给排水、供配电、消防、环保等辅助设施</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项目实施后可</w:t>
            </w:r>
            <w:r>
              <w:rPr>
                <w:rFonts w:hint="default" w:ascii="Times New Roman" w:hAnsi="Times New Roman" w:eastAsia="宋体" w:cs="Times New Roman"/>
                <w:color w:val="auto"/>
                <w:sz w:val="24"/>
                <w:szCs w:val="24"/>
                <w:lang w:eastAsia="zh-CN"/>
              </w:rPr>
              <w:t>年加工制造8000套工程机械金属构件，</w:t>
            </w:r>
            <w:r>
              <w:rPr>
                <w:rFonts w:hint="default" w:ascii="Times New Roman" w:hAnsi="Times New Roman" w:eastAsia="宋体" w:cs="Times New Roman"/>
                <w:color w:val="auto"/>
                <w:sz w:val="24"/>
                <w:szCs w:val="24"/>
                <w:lang w:val="en-US" w:eastAsia="zh-CN"/>
              </w:rPr>
              <w:t>产能不变。</w:t>
            </w:r>
          </w:p>
          <w:p w14:paraId="34F6457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b w:val="0"/>
                <w:bCs w:val="0"/>
                <w:color w:val="auto"/>
                <w:sz w:val="24"/>
              </w:rPr>
            </w:pPr>
            <w:r>
              <w:rPr>
                <w:rFonts w:hint="eastAsia" w:ascii="Times New Roman" w:hAnsi="Times New Roman" w:eastAsia="宋体" w:cs="Times New Roman"/>
                <w:color w:val="auto"/>
                <w:sz w:val="24"/>
                <w:szCs w:val="24"/>
                <w:lang w:val="en-US" w:eastAsia="zh-CN"/>
              </w:rPr>
              <w:t>本项目为</w:t>
            </w:r>
            <w:r>
              <w:rPr>
                <w:rFonts w:hint="default" w:ascii="Times New Roman" w:hAnsi="Times New Roman" w:eastAsia="宋体" w:cs="Times New Roman"/>
                <w:color w:val="auto"/>
                <w:sz w:val="24"/>
                <w:szCs w:val="24"/>
              </w:rPr>
              <w:t>金属结构制造</w:t>
            </w:r>
            <w:r>
              <w:rPr>
                <w:rFonts w:ascii="Times New Roman" w:hAnsi="Times New Roman" w:eastAsia="宋体" w:cs="Times New Roman"/>
                <w:sz w:val="24"/>
                <w:szCs w:val="24"/>
                <w:lang w:eastAsia="zh-CN"/>
              </w:rPr>
              <w:t>项目，属于《国民经济行业分类》（GB/T 4754-2019）修改单中“【C</w:t>
            </w:r>
            <w:r>
              <w:rPr>
                <w:rFonts w:hint="eastAsia" w:ascii="Times New Roman" w:hAnsi="Times New Roman" w:eastAsia="宋体" w:cs="Times New Roman"/>
                <w:sz w:val="24"/>
                <w:szCs w:val="24"/>
                <w:lang w:val="en-US" w:eastAsia="zh-CN"/>
              </w:rPr>
              <w:t>3311</w:t>
            </w: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金属结构制造</w:t>
            </w:r>
            <w:r>
              <w:rPr>
                <w:rFonts w:ascii="Times New Roman" w:hAnsi="Times New Roman" w:eastAsia="宋体" w:cs="Times New Roman"/>
                <w:sz w:val="24"/>
                <w:szCs w:val="24"/>
                <w:lang w:eastAsia="zh-CN"/>
              </w:rPr>
              <w:t>”。</w:t>
            </w:r>
            <w:r>
              <w:rPr>
                <w:rFonts w:ascii="Times New Roman" w:hAnsi="Times New Roman" w:eastAsia="宋体" w:cs="Times New Roman"/>
                <w:color w:val="000000" w:themeColor="text1"/>
                <w:sz w:val="24"/>
                <w:szCs w:val="24"/>
                <w:lang w:eastAsia="zh-CN"/>
                <w14:textFill>
                  <w14:solidFill>
                    <w14:schemeClr w14:val="tx1"/>
                  </w14:solidFill>
                </w14:textFill>
              </w:rPr>
              <w:t>对应于《建设项目环境影响评价分类管理名录（2021年版）》中</w:t>
            </w:r>
            <w:r>
              <w:rPr>
                <w:rFonts w:hint="eastAsia" w:ascii="Times New Roman" w:hAnsi="Times New Roman" w:eastAsia="宋体" w:cs="Times New Roman"/>
                <w:color w:val="000000" w:themeColor="text1"/>
                <w:sz w:val="24"/>
                <w:szCs w:val="24"/>
                <w:lang w:eastAsia="zh-CN"/>
                <w14:textFill>
                  <w14:solidFill>
                    <w14:schemeClr w14:val="tx1"/>
                  </w14:solidFill>
                </w14:textFill>
              </w:rPr>
              <w:t>三十、金属制品业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33中</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其他（仅分割、焊接、组装的除外；年用非溶剂型低VOCs含量涂料10吨以下的除外）</w:t>
            </w: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应</w:t>
            </w:r>
            <w:r>
              <w:rPr>
                <w:rFonts w:ascii="Times New Roman" w:hAnsi="Times New Roman" w:eastAsia="宋体" w:cs="Times New Roman"/>
                <w:color w:val="000000" w:themeColor="text1"/>
                <w:sz w:val="24"/>
                <w:szCs w:val="24"/>
                <w:lang w:eastAsia="zh-CN"/>
                <w14:textFill>
                  <w14:solidFill>
                    <w14:schemeClr w14:val="tx1"/>
                  </w14:solidFill>
                </w14:textFill>
              </w:rPr>
              <w:t>编制报告表。综上，本项目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需</w:t>
            </w:r>
            <w:r>
              <w:rPr>
                <w:rFonts w:ascii="Times New Roman" w:hAnsi="Times New Roman" w:eastAsia="宋体" w:cs="Times New Roman"/>
                <w:color w:val="000000" w:themeColor="text1"/>
                <w:sz w:val="24"/>
                <w:szCs w:val="24"/>
                <w:lang w:eastAsia="zh-CN"/>
                <w14:textFill>
                  <w14:solidFill>
                    <w14:schemeClr w14:val="tx1"/>
                  </w14:solidFill>
                </w14:textFill>
              </w:rPr>
              <w:t>编制环境影响报告表。</w:t>
            </w:r>
          </w:p>
          <w:p w14:paraId="4EA46B50">
            <w:pPr>
              <w:keepNext w:val="0"/>
              <w:keepLines w:val="0"/>
              <w:pageBreakBefore w:val="0"/>
              <w:widowControl/>
              <w:wordWrap/>
              <w:overflowPunct/>
              <w:topLinePunct w:val="0"/>
              <w:autoSpaceDE w:val="0"/>
              <w:autoSpaceDN w:val="0"/>
              <w:bidi w:val="0"/>
              <w:adjustRightInd/>
              <w:snapToGrid/>
              <w:spacing w:line="360" w:lineRule="auto"/>
              <w:ind w:firstLine="480" w:firstLineChars="200"/>
              <w:jc w:val="left"/>
              <w:textAlignment w:val="baseline"/>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本次在迁建项目</w:t>
            </w:r>
            <w:r>
              <w:rPr>
                <w:rFonts w:hint="default" w:ascii="Times New Roman" w:hAnsi="Times New Roman" w:eastAsia="宋体" w:cs="Times New Roman"/>
                <w:b w:val="0"/>
                <w:bCs w:val="0"/>
                <w:color w:val="auto"/>
                <w:sz w:val="24"/>
              </w:rPr>
              <w:t>属于《</w:t>
            </w:r>
            <w:r>
              <w:rPr>
                <w:rFonts w:hint="eastAsia" w:ascii="Times New Roman" w:hAnsi="Times New Roman" w:eastAsia="宋体" w:cs="Times New Roman"/>
                <w:b w:val="0"/>
                <w:bCs w:val="0"/>
                <w:color w:val="auto"/>
                <w:sz w:val="24"/>
                <w:lang w:eastAsia="zh-CN"/>
              </w:rPr>
              <w:t>固定污染源排污许可分类管理名录（2019年版）</w:t>
            </w:r>
            <w:r>
              <w:rPr>
                <w:rFonts w:hint="default" w:ascii="Times New Roman" w:hAnsi="Times New Roman" w:eastAsia="宋体" w:cs="Times New Roman"/>
                <w:b w:val="0"/>
                <w:bCs w:val="0"/>
                <w:color w:val="auto"/>
                <w:sz w:val="24"/>
              </w:rPr>
              <w:t>》中</w:t>
            </w:r>
            <w:r>
              <w:rPr>
                <w:rFonts w:hint="default" w:ascii="Times New Roman" w:hAnsi="Times New Roman" w:eastAsia="宋体" w:cs="Times New Roman"/>
                <w:color w:val="000000" w:themeColor="text1"/>
                <w:sz w:val="24"/>
                <w:szCs w:val="24"/>
                <w:lang w:eastAsia="zh-CN"/>
                <w14:textFill>
                  <w14:solidFill>
                    <w14:schemeClr w14:val="tx1"/>
                  </w14:solidFill>
                </w14:textFill>
              </w:rPr>
              <w:t>二十八、金属制品业 33，</w:t>
            </w:r>
            <w:r>
              <w:rPr>
                <w:rFonts w:hint="eastAsia" w:ascii="Times New Roman" w:hAnsi="Times New Roman" w:eastAsia="宋体" w:cs="Times New Roman"/>
                <w:color w:val="000000" w:themeColor="text1"/>
                <w:sz w:val="24"/>
                <w:szCs w:val="24"/>
                <w:lang w:eastAsia="zh-CN"/>
                <w14:textFill>
                  <w14:solidFill>
                    <w14:schemeClr w14:val="tx1"/>
                  </w14:solidFill>
                </w14:textFill>
              </w:rPr>
              <w:t>结构性金属制品制造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331</w:t>
            </w:r>
            <w:r>
              <w:rPr>
                <w:rFonts w:hint="default" w:ascii="Times New Roman" w:hAnsi="Times New Roman" w:eastAsia="宋体" w:cs="Times New Roman"/>
                <w:color w:val="000000" w:themeColor="text1"/>
                <w:sz w:val="24"/>
                <w:szCs w:val="24"/>
                <w:lang w:eastAsia="zh-CN"/>
                <w14:textFill>
                  <w14:solidFill>
                    <w14:schemeClr w14:val="tx1"/>
                  </w14:solidFill>
                </w14:textFill>
              </w:rPr>
              <w:t>中“</w:t>
            </w:r>
            <w:r>
              <w:rPr>
                <w:rFonts w:hint="eastAsia" w:ascii="Times New Roman" w:hAnsi="Times New Roman" w:eastAsia="宋体" w:cs="Times New Roman"/>
                <w:b w:val="0"/>
                <w:bCs w:val="0"/>
                <w:color w:val="auto"/>
                <w:sz w:val="24"/>
                <w:lang w:eastAsia="zh-CN"/>
              </w:rPr>
              <w:t>其他</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根据五十一</w:t>
            </w:r>
            <w:r>
              <w:rPr>
                <w:rFonts w:hint="eastAsia" w:ascii="Times New Roman" w:hAnsi="Times New Roman" w:eastAsia="宋体" w:cs="Times New Roman"/>
                <w:color w:val="000000" w:themeColor="text1"/>
                <w:sz w:val="24"/>
                <w:szCs w:val="24"/>
                <w:lang w:eastAsia="zh-CN"/>
                <w14:textFill>
                  <w14:solidFill>
                    <w14:schemeClr w14:val="tx1"/>
                  </w14:solidFill>
                </w14:textFill>
              </w:rPr>
              <w:t>、通用工序，11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1.表面处理</w:t>
            </w:r>
            <w:r>
              <w:rPr>
                <w:rFonts w:hint="eastAsia" w:ascii="Times New Roman" w:hAnsi="Times New Roman" w:eastAsia="宋体" w:cs="Times New Roman"/>
                <w:color w:val="000000" w:themeColor="text1"/>
                <w:sz w:val="24"/>
                <w:szCs w:val="24"/>
                <w:lang w:eastAsia="zh-CN"/>
                <w14:textFill>
                  <w14:solidFill>
                    <w14:schemeClr w14:val="tx1"/>
                  </w14:solidFill>
                </w14:textFill>
              </w:rPr>
              <w:t>中“除纳入重点排污单位名录的，有电镀工序、</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酸洗</w:t>
            </w:r>
            <w:r>
              <w:rPr>
                <w:rFonts w:hint="eastAsia" w:ascii="Times New Roman" w:hAnsi="Times New Roman" w:eastAsia="宋体" w:cs="Times New Roman"/>
                <w:color w:val="000000" w:themeColor="text1"/>
                <w:sz w:val="24"/>
                <w:szCs w:val="24"/>
                <w:lang w:eastAsia="zh-CN"/>
                <w14:textFill>
                  <w14:solidFill>
                    <w14:schemeClr w14:val="tx1"/>
                  </w14:solidFill>
                </w14:textFill>
              </w:rPr>
              <w:t>、抛光（电解抛光和化学抛光）、热浸镀（溶剂法）、淬火或者钝化等工序的、年使用10吨及以上有机溶剂的”，本项目工艺流程中有酸洗工艺，故本项目属于简化管理。</w:t>
            </w:r>
          </w:p>
          <w:p w14:paraId="37884282">
            <w:pPr>
              <w:widowControl w:val="0"/>
              <w:kinsoku/>
              <w:adjustRightInd/>
              <w:snapToGrid/>
              <w:spacing w:line="360" w:lineRule="auto"/>
              <w:ind w:firstLine="480" w:firstLineChars="200"/>
              <w:jc w:val="left"/>
              <w:rPr>
                <w:rFonts w:ascii="Times New Roman" w:hAnsi="Times New Roman" w:eastAsia="宋体" w:cs="Times New Roman"/>
                <w:bCs/>
                <w:sz w:val="24"/>
                <w:lang w:eastAsia="zh-CN"/>
              </w:rPr>
            </w:pPr>
            <w:r>
              <w:rPr>
                <w:rFonts w:ascii="Times New Roman" w:hAnsi="Times New Roman" w:eastAsia="宋体" w:cs="Times New Roman"/>
                <w:sz w:val="24"/>
                <w:szCs w:val="24"/>
                <w:lang w:eastAsia="zh-CN"/>
              </w:rPr>
              <w:t>根据《中华人民共和国环境保护法》（2014修订）、《中华人民共和国环境影响评价法》（2018年修正），凡实施对环境有影响的建设项目都必须执行环境影响评价制度。为此</w:t>
            </w:r>
            <w:r>
              <w:rPr>
                <w:rFonts w:hint="default" w:ascii="Times New Roman" w:hAnsi="Times New Roman" w:eastAsia="宋体" w:cs="Times New Roman"/>
                <w:color w:val="auto"/>
                <w:sz w:val="24"/>
                <w:szCs w:val="24"/>
              </w:rPr>
              <w:t>安徽博钧机械设备有限公司</w:t>
            </w:r>
            <w:r>
              <w:rPr>
                <w:rFonts w:ascii="Times New Roman" w:hAnsi="Times New Roman" w:eastAsia="宋体" w:cs="Times New Roman"/>
                <w:sz w:val="24"/>
                <w:szCs w:val="24"/>
                <w:lang w:eastAsia="zh-CN"/>
              </w:rPr>
              <w:t>根据有关环保法律法规要求，委托我公司进行环境影响评价工作，我公司在接受委托后，随即组织人员到项目建设场地及其周围进行了实地勘查与调研，收集了有关的工程资料，结合该企业提供资料和项目的建设特点，依据有关环评技术规范，编制了本报告表。</w:t>
            </w:r>
          </w:p>
          <w:p w14:paraId="21FA47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bCs/>
                <w:sz w:val="24"/>
                <w:lang w:eastAsia="zh-CN"/>
              </w:rPr>
            </w:pPr>
            <w:r>
              <w:rPr>
                <w:rFonts w:ascii="Times New Roman" w:hAnsi="Times New Roman" w:eastAsia="宋体" w:cs="Times New Roman"/>
                <w:bCs/>
                <w:sz w:val="24"/>
                <w:lang w:eastAsia="zh-CN"/>
              </w:rPr>
              <w:t>二、项目建设内容</w:t>
            </w:r>
          </w:p>
          <w:p w14:paraId="2DAC6B9B">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ascii="Times New Roman" w:hAnsi="Times New Roman" w:eastAsia="宋体" w:cs="Times New Roman"/>
                <w:b/>
                <w:bCs w:val="0"/>
                <w:sz w:val="24"/>
                <w:lang w:eastAsia="zh-CN"/>
              </w:rPr>
            </w:pPr>
            <w:r>
              <w:rPr>
                <w:rFonts w:ascii="Times New Roman" w:hAnsi="Times New Roman" w:eastAsia="宋体" w:cs="Times New Roman"/>
                <w:b/>
                <w:bCs w:val="0"/>
                <w:sz w:val="24"/>
                <w:lang w:eastAsia="zh-CN"/>
              </w:rPr>
              <w:t>1、项目建设主要内容</w:t>
            </w:r>
          </w:p>
          <w:p w14:paraId="7D3C9849">
            <w:pPr>
              <w:jc w:val="center"/>
              <w:rPr>
                <w:rFonts w:hint="eastAsia"/>
                <w:lang w:eastAsia="zh-CN"/>
              </w:rPr>
            </w:pPr>
            <w:r>
              <w:rPr>
                <w:rFonts w:ascii="Times New Roman" w:hAnsi="Times New Roman" w:eastAsia="宋体" w:cs="Times New Roman"/>
                <w:b/>
                <w:bCs/>
                <w:sz w:val="24"/>
                <w:szCs w:val="24"/>
                <w:lang w:eastAsia="zh-CN"/>
              </w:rPr>
              <w:t>表2-</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eastAsia="zh-CN"/>
              </w:rPr>
              <w:t xml:space="preserve"> </w:t>
            </w:r>
            <w:r>
              <w:rPr>
                <w:rFonts w:ascii="Times New Roman" w:hAnsi="Times New Roman" w:eastAsia="宋体" w:cs="Times New Roman"/>
                <w:b/>
                <w:bCs/>
                <w:sz w:val="24"/>
                <w:szCs w:val="24"/>
                <w:lang w:eastAsia="zh-CN"/>
              </w:rPr>
              <w:t>工程建设内容及规模一览表</w:t>
            </w:r>
          </w:p>
          <w:tbl>
            <w:tblPr>
              <w:tblStyle w:val="2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3"/>
              <w:gridCol w:w="707"/>
              <w:gridCol w:w="5602"/>
              <w:gridCol w:w="1925"/>
            </w:tblGrid>
            <w:tr w14:paraId="41AB4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712" w:type="dxa"/>
                  <w:vAlign w:val="center"/>
                </w:tcPr>
                <w:p w14:paraId="1DFA7389">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工程类别</w:t>
                  </w:r>
                </w:p>
              </w:tc>
              <w:tc>
                <w:tcPr>
                  <w:tcW w:w="737" w:type="dxa"/>
                  <w:vAlign w:val="center"/>
                </w:tcPr>
                <w:p w14:paraId="25EF8631">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工程内容</w:t>
                  </w:r>
                </w:p>
              </w:tc>
              <w:tc>
                <w:tcPr>
                  <w:tcW w:w="5828" w:type="dxa"/>
                  <w:vAlign w:val="center"/>
                </w:tcPr>
                <w:p w14:paraId="1AB376F6">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eastAsia="zh-CN"/>
                    </w:rPr>
                    <w:t>搬迁后</w:t>
                  </w:r>
                  <w:r>
                    <w:rPr>
                      <w:rFonts w:hint="default" w:ascii="Times New Roman" w:hAnsi="Times New Roman" w:eastAsia="宋体" w:cs="Times New Roman"/>
                      <w:color w:val="auto"/>
                      <w:sz w:val="21"/>
                      <w:szCs w:val="21"/>
                    </w:rPr>
                    <w:t>项目内容及规模</w:t>
                  </w:r>
                </w:p>
              </w:tc>
              <w:tc>
                <w:tcPr>
                  <w:tcW w:w="2016" w:type="dxa"/>
                  <w:vAlign w:val="center"/>
                </w:tcPr>
                <w:p w14:paraId="068357C7">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14:paraId="69057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Align w:val="center"/>
                </w:tcPr>
                <w:p w14:paraId="120B0297">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737" w:type="dxa"/>
                  <w:vAlign w:val="center"/>
                </w:tcPr>
                <w:p w14:paraId="67C25F76">
                  <w:pPr>
                    <w:pStyle w:val="42"/>
                    <w:keepNext w:val="0"/>
                    <w:keepLines w:val="0"/>
                    <w:pageBreakBefore w:val="0"/>
                    <w:tabs>
                      <w:tab w:val="left" w:pos="7488"/>
                    </w:tabs>
                    <w:kinsoku/>
                    <w:wordWrap/>
                    <w:overflowPunct/>
                    <w:topLinePunct w:val="0"/>
                    <w:autoSpaceDE w:val="0"/>
                    <w:autoSpaceDN w:val="0"/>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w:t>
                  </w:r>
                </w:p>
              </w:tc>
              <w:tc>
                <w:tcPr>
                  <w:tcW w:w="5828" w:type="dxa"/>
                  <w:vAlign w:val="top"/>
                </w:tcPr>
                <w:p w14:paraId="1A318E07">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highlight w:val="none"/>
                    </w:rPr>
                    <w:t>1F，</w:t>
                  </w:r>
                  <w:r>
                    <w:rPr>
                      <w:rFonts w:hint="eastAsia" w:ascii="Times New Roman" w:hAnsi="Times New Roman" w:eastAsia="宋体" w:cs="Times New Roman"/>
                      <w:color w:val="auto"/>
                      <w:highlight w:val="none"/>
                      <w:lang w:val="en-US" w:eastAsia="zh-CN"/>
                    </w:rPr>
                    <w:t>建筑</w:t>
                  </w:r>
                  <w:r>
                    <w:rPr>
                      <w:rFonts w:hint="default" w:ascii="Times New Roman" w:hAnsi="Times New Roman" w:eastAsia="宋体" w:cs="Times New Roman"/>
                      <w:color w:val="auto"/>
                      <w:highlight w:val="none"/>
                    </w:rPr>
                    <w:t>面积约为</w:t>
                  </w:r>
                  <w:r>
                    <w:rPr>
                      <w:rFonts w:hint="eastAsia" w:ascii="Times New Roman" w:hAnsi="Times New Roman" w:eastAsia="宋体" w:cs="Times New Roman"/>
                      <w:color w:val="auto"/>
                      <w:highlight w:val="none"/>
                      <w:lang w:val="en-US" w:eastAsia="zh-CN"/>
                    </w:rPr>
                    <w:t>2000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，高1</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m，设置</w:t>
                  </w:r>
                  <w:r>
                    <w:rPr>
                      <w:rFonts w:hint="eastAsia" w:ascii="Times New Roman" w:hAnsi="Times New Roman" w:eastAsia="宋体" w:cs="Times New Roman"/>
                      <w:color w:val="auto"/>
                      <w:highlight w:val="none"/>
                      <w:lang w:val="en-US" w:eastAsia="zh-CN"/>
                    </w:rPr>
                    <w:t>机加工区</w:t>
                  </w:r>
                  <w:r>
                    <w:rPr>
                      <w:rFonts w:hint="default" w:ascii="Times New Roman" w:hAnsi="Times New Roman" w:eastAsia="宋体" w:cs="Times New Roman"/>
                      <w:color w:val="auto"/>
                      <w:highlight w:val="none"/>
                    </w:rPr>
                    <w:t>（面积120m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电泳线</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条（</w:t>
                  </w:r>
                  <w:r>
                    <w:rPr>
                      <w:rFonts w:hint="default" w:ascii="Times New Roman" w:hAnsi="Times New Roman" w:eastAsia="宋体" w:cs="Times New Roman"/>
                      <w:color w:val="auto"/>
                      <w:sz w:val="21"/>
                      <w:szCs w:val="21"/>
                      <w:highlight w:val="none"/>
                      <w:lang w:val="en-US" w:eastAsia="zh-CN"/>
                    </w:rPr>
                    <w:t>酸洗池</w:t>
                  </w:r>
                  <w:r>
                    <w:rPr>
                      <w:rFonts w:hint="default" w:ascii="Times New Roman" w:hAnsi="Times New Roman" w:eastAsia="宋体" w:cs="Times New Roman"/>
                      <w:color w:val="auto"/>
                      <w:sz w:val="21"/>
                      <w:szCs w:val="21"/>
                      <w:highlight w:val="none"/>
                    </w:rPr>
                    <w:t>+水洗池+水洗池+陶化池+</w:t>
                  </w:r>
                  <w:r>
                    <w:rPr>
                      <w:rFonts w:hint="default" w:ascii="Times New Roman" w:hAnsi="Times New Roman" w:eastAsia="宋体" w:cs="Times New Roman"/>
                      <w:color w:val="auto"/>
                      <w:sz w:val="21"/>
                      <w:szCs w:val="21"/>
                      <w:highlight w:val="none"/>
                      <w:lang w:eastAsia="zh-CN"/>
                    </w:rPr>
                    <w:t>纯水池</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纯水池</w:t>
                  </w:r>
                  <w:r>
                    <w:rPr>
                      <w:rFonts w:hint="default" w:ascii="Times New Roman" w:hAnsi="Times New Roman" w:eastAsia="宋体" w:cs="Times New Roman"/>
                      <w:color w:val="auto"/>
                      <w:sz w:val="21"/>
                      <w:szCs w:val="21"/>
                      <w:highlight w:val="none"/>
                    </w:rPr>
                    <w:t>+电泳涂装池+</w:t>
                  </w:r>
                  <w:r>
                    <w:rPr>
                      <w:rFonts w:hint="default" w:ascii="Times New Roman" w:hAnsi="Times New Roman" w:eastAsia="宋体" w:cs="Times New Roman"/>
                      <w:b w:val="0"/>
                      <w:bCs w:val="0"/>
                      <w:color w:val="auto"/>
                      <w:sz w:val="21"/>
                      <w:szCs w:val="21"/>
                      <w:highlight w:val="none"/>
                      <w:lang w:eastAsia="zh-CN"/>
                    </w:rPr>
                    <w:t>纯水池</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eastAsia="zh-CN"/>
                    </w:rPr>
                    <w:t>纯水池</w:t>
                  </w:r>
                  <w:r>
                    <w:rPr>
                      <w:rFonts w:hint="default" w:ascii="Times New Roman" w:hAnsi="Times New Roman" w:eastAsia="宋体" w:cs="Times New Roman"/>
                      <w:b w:val="0"/>
                      <w:bCs w:val="0"/>
                      <w:color w:val="auto"/>
                      <w:sz w:val="21"/>
                      <w:szCs w:val="21"/>
                      <w:highlight w:val="none"/>
                    </w:rPr>
                    <w:t>+沥干池，共11个池体电泳涂装线单个池体均为：5.5</w:t>
                  </w:r>
                  <w:r>
                    <w:rPr>
                      <w:rFonts w:hint="eastAsia"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2.5</w:t>
                  </w:r>
                  <w:r>
                    <w:rPr>
                      <w:rFonts w:hint="eastAsia"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2m、电泳涂装烘干室尺寸：10</w:t>
                  </w:r>
                  <w:r>
                    <w:rPr>
                      <w:rFonts w:hint="eastAsia"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2.5</w:t>
                  </w:r>
                  <w:r>
                    <w:rPr>
                      <w:rFonts w:hint="eastAsia"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2.2m</w:t>
                  </w:r>
                  <w:r>
                    <w:rPr>
                      <w:rFonts w:hint="default" w:ascii="Times New Roman" w:hAnsi="Times New Roman" w:eastAsia="宋体" w:cs="Times New Roman"/>
                      <w:b w:val="0"/>
                      <w:bCs w:val="0"/>
                      <w:color w:val="auto"/>
                      <w:highlight w:val="none"/>
                    </w:rPr>
                    <w:t>）、</w:t>
                  </w:r>
                  <w:r>
                    <w:rPr>
                      <w:rFonts w:hint="eastAsia" w:ascii="Times New Roman" w:hAnsi="Times New Roman" w:eastAsia="宋体" w:cs="Times New Roman"/>
                      <w:b w:val="0"/>
                      <w:bCs w:val="0"/>
                      <w:color w:val="auto"/>
                      <w:sz w:val="21"/>
                      <w:szCs w:val="21"/>
                      <w:highlight w:val="none"/>
                      <w:lang w:eastAsia="zh-CN"/>
                    </w:rPr>
                    <w:t>喷塑</w:t>
                  </w:r>
                  <w:r>
                    <w:rPr>
                      <w:rFonts w:hint="eastAsia" w:ascii="Times New Roman" w:hAnsi="Times New Roman" w:eastAsia="宋体" w:cs="Times New Roman"/>
                      <w:b w:val="0"/>
                      <w:bCs w:val="0"/>
                      <w:color w:val="auto"/>
                      <w:sz w:val="21"/>
                      <w:szCs w:val="21"/>
                      <w:highlight w:val="none"/>
                      <w:lang w:val="en-US" w:eastAsia="zh-CN"/>
                    </w:rPr>
                    <w:t>及</w:t>
                  </w:r>
                  <w:r>
                    <w:rPr>
                      <w:rFonts w:hint="eastAsia" w:ascii="Times New Roman" w:hAnsi="Times New Roman" w:eastAsia="宋体" w:cs="Times New Roman"/>
                      <w:b w:val="0"/>
                      <w:bCs w:val="0"/>
                      <w:color w:val="auto"/>
                      <w:sz w:val="21"/>
                      <w:szCs w:val="21"/>
                      <w:highlight w:val="none"/>
                      <w:lang w:eastAsia="zh-CN"/>
                    </w:rPr>
                    <w:t>固化</w:t>
                  </w:r>
                  <w:r>
                    <w:rPr>
                      <w:rFonts w:hint="default" w:ascii="Times New Roman" w:hAnsi="Times New Roman" w:eastAsia="宋体" w:cs="Times New Roman"/>
                      <w:b w:val="0"/>
                      <w:bCs w:val="0"/>
                      <w:color w:val="auto"/>
                      <w:sz w:val="21"/>
                      <w:szCs w:val="21"/>
                      <w:highlight w:val="none"/>
                    </w:rPr>
                    <w:t>室</w:t>
                  </w:r>
                  <w:r>
                    <w:rPr>
                      <w:rFonts w:hint="default" w:ascii="Times New Roman" w:hAnsi="Times New Roman" w:eastAsia="宋体" w:cs="Times New Roman"/>
                      <w:b w:val="0"/>
                      <w:bCs w:val="0"/>
                      <w:color w:val="auto"/>
                      <w:highlight w:val="none"/>
                    </w:rPr>
                    <w:t>（</w:t>
                  </w:r>
                  <w:r>
                    <w:rPr>
                      <w:rFonts w:hint="eastAsia" w:ascii="Times New Roman" w:hAnsi="Times New Roman" w:eastAsia="宋体" w:cs="Times New Roman"/>
                      <w:b w:val="0"/>
                      <w:bCs w:val="0"/>
                      <w:color w:val="auto"/>
                      <w:highlight w:val="none"/>
                      <w:lang w:val="en-US" w:eastAsia="zh-CN"/>
                    </w:rPr>
                    <w:t>喷塑间6</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b w:val="0"/>
                      <w:bCs w:val="0"/>
                      <w:color w:val="auto"/>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rPr>
                    <w:t>m</w:t>
                  </w:r>
                  <w:r>
                    <w:rPr>
                      <w:rFonts w:hint="eastAsia" w:ascii="Times New Roman" w:hAnsi="Times New Roman" w:eastAsia="宋体"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val="en-US" w:eastAsia="zh-CN"/>
                    </w:rPr>
                    <w:t>固化室10</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b w:val="0"/>
                      <w:bCs w:val="0"/>
                      <w:color w:val="auto"/>
                      <w:highlight w:val="none"/>
                      <w:lang w:val="en-US" w:eastAsia="zh-CN"/>
                    </w:rPr>
                    <w:t>4</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b w:val="0"/>
                      <w:bCs w:val="0"/>
                      <w:color w:val="auto"/>
                      <w:highlight w:val="none"/>
                      <w:lang w:val="en-US" w:eastAsia="zh-CN"/>
                    </w:rPr>
                    <w:t>4m</w:t>
                  </w:r>
                  <w:r>
                    <w:rPr>
                      <w:rFonts w:hint="default" w:ascii="Times New Roman" w:hAnsi="Times New Roman" w:eastAsia="宋体" w:cs="Times New Roman"/>
                      <w:b w:val="0"/>
                      <w:bCs w:val="0"/>
                      <w:color w:val="auto"/>
                      <w:highlight w:val="none"/>
                    </w:rPr>
                    <w:t>）、</w:t>
                  </w:r>
                  <w:r>
                    <w:rPr>
                      <w:rFonts w:hint="eastAsia" w:ascii="Times New Roman" w:hAnsi="Times New Roman" w:eastAsia="宋体" w:cs="Times New Roman"/>
                      <w:b w:val="0"/>
                      <w:bCs w:val="0"/>
                      <w:color w:val="auto"/>
                      <w:highlight w:val="none"/>
                      <w:lang w:val="en-US" w:eastAsia="zh-CN"/>
                    </w:rPr>
                    <w:t>表面处理线2条</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1#表面处理：</w:t>
                  </w:r>
                  <w:r>
                    <w:rPr>
                      <w:rFonts w:hint="eastAsia" w:ascii="Times New Roman" w:hAnsi="Times New Roman" w:eastAsia="宋体" w:cs="Times New Roman"/>
                      <w:color w:val="auto"/>
                      <w:sz w:val="21"/>
                      <w:szCs w:val="21"/>
                      <w:highlight w:val="none"/>
                      <w:lang w:val="en-US" w:eastAsia="zh-CN"/>
                    </w:rPr>
                    <w:t>二合一</w:t>
                  </w:r>
                  <w:r>
                    <w:rPr>
                      <w:rFonts w:hint="default" w:ascii="Times New Roman" w:hAnsi="Times New Roman" w:eastAsia="宋体" w:cs="Times New Roman"/>
                      <w:color w:val="auto"/>
                      <w:sz w:val="21"/>
                      <w:szCs w:val="21"/>
                      <w:highlight w:val="none"/>
                      <w:lang w:val="en-US" w:eastAsia="zh-CN"/>
                    </w:rPr>
                    <w:t>酸洗池+</w:t>
                  </w:r>
                  <w:r>
                    <w:rPr>
                      <w:rFonts w:hint="eastAsia" w:ascii="Times New Roman" w:hAnsi="Times New Roman" w:eastAsia="宋体" w:cs="Times New Roman"/>
                      <w:color w:val="auto"/>
                      <w:sz w:val="21"/>
                      <w:szCs w:val="21"/>
                      <w:highlight w:val="none"/>
                      <w:lang w:val="en-US" w:eastAsia="zh-CN"/>
                    </w:rPr>
                    <w:t>水洗池</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中和</w:t>
                  </w:r>
                  <w:r>
                    <w:rPr>
                      <w:rFonts w:hint="default" w:ascii="Times New Roman" w:hAnsi="Times New Roman" w:eastAsia="宋体" w:cs="Times New Roman"/>
                      <w:color w:val="auto"/>
                      <w:sz w:val="21"/>
                      <w:szCs w:val="21"/>
                      <w:highlight w:val="none"/>
                      <w:lang w:val="en-US" w:eastAsia="zh-CN"/>
                    </w:rPr>
                    <w:t>池+</w:t>
                  </w:r>
                  <w:r>
                    <w:rPr>
                      <w:rFonts w:hint="eastAsia" w:ascii="Times New Roman" w:hAnsi="Times New Roman" w:eastAsia="宋体" w:cs="Times New Roman"/>
                      <w:color w:val="auto"/>
                      <w:sz w:val="21"/>
                      <w:szCs w:val="21"/>
                      <w:highlight w:val="none"/>
                      <w:lang w:val="en-US" w:eastAsia="zh-CN"/>
                    </w:rPr>
                    <w:t>水洗池+表调池+</w:t>
                  </w:r>
                  <w:r>
                    <w:rPr>
                      <w:rFonts w:hint="default" w:ascii="Times New Roman" w:hAnsi="Times New Roman" w:eastAsia="宋体" w:cs="Times New Roman"/>
                      <w:color w:val="auto"/>
                      <w:sz w:val="21"/>
                      <w:szCs w:val="21"/>
                      <w:highlight w:val="none"/>
                      <w:lang w:val="en-US" w:eastAsia="zh-CN"/>
                    </w:rPr>
                    <w:t>磷化池+</w:t>
                  </w:r>
                  <w:r>
                    <w:rPr>
                      <w:rFonts w:hint="eastAsia" w:ascii="Times New Roman" w:hAnsi="Times New Roman" w:eastAsia="宋体" w:cs="Times New Roman"/>
                      <w:color w:val="auto"/>
                      <w:sz w:val="21"/>
                      <w:szCs w:val="21"/>
                      <w:highlight w:val="none"/>
                      <w:lang w:val="en-US" w:eastAsia="zh-CN"/>
                    </w:rPr>
                    <w:t>水洗</w:t>
                  </w:r>
                  <w:r>
                    <w:rPr>
                      <w:rFonts w:hint="default" w:ascii="Times New Roman" w:hAnsi="Times New Roman" w:eastAsia="宋体" w:cs="Times New Roman"/>
                      <w:color w:val="auto"/>
                      <w:sz w:val="21"/>
                      <w:szCs w:val="21"/>
                      <w:highlight w:val="none"/>
                      <w:lang w:val="en-US" w:eastAsia="zh-CN"/>
                    </w:rPr>
                    <w:t>池+</w:t>
                  </w:r>
                  <w:r>
                    <w:rPr>
                      <w:rFonts w:hint="eastAsia" w:ascii="Times New Roman" w:hAnsi="Times New Roman" w:eastAsia="宋体" w:cs="Times New Roman"/>
                      <w:color w:val="auto"/>
                      <w:sz w:val="21"/>
                      <w:szCs w:val="21"/>
                      <w:highlight w:val="none"/>
                      <w:lang w:val="en-US" w:eastAsia="zh-CN"/>
                    </w:rPr>
                    <w:t>钝化</w:t>
                  </w:r>
                  <w:r>
                    <w:rPr>
                      <w:rFonts w:hint="default" w:ascii="Times New Roman" w:hAnsi="Times New Roman" w:eastAsia="宋体" w:cs="Times New Roman"/>
                      <w:color w:val="auto"/>
                      <w:sz w:val="21"/>
                      <w:szCs w:val="21"/>
                      <w:highlight w:val="none"/>
                      <w:lang w:val="en-US" w:eastAsia="zh-CN"/>
                    </w:rPr>
                    <w:t>池</w:t>
                  </w:r>
                  <w:r>
                    <w:rPr>
                      <w:rFonts w:hint="default" w:ascii="Times New Roman" w:hAnsi="Times New Roman" w:eastAsia="宋体" w:cs="Times New Roman"/>
                      <w:b w:val="0"/>
                      <w:bCs w:val="0"/>
                      <w:color w:val="auto"/>
                      <w:sz w:val="21"/>
                      <w:szCs w:val="21"/>
                      <w:highlight w:val="none"/>
                    </w:rPr>
                    <w:t>，共</w:t>
                  </w:r>
                  <w:r>
                    <w:rPr>
                      <w:rFonts w:hint="eastAsia" w:ascii="Times New Roman" w:hAnsi="Times New Roman" w:eastAsia="宋体"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rPr>
                    <w:t>个池体</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单个池体均为：</w:t>
                  </w:r>
                  <w:r>
                    <w:rPr>
                      <w:rFonts w:hint="default" w:ascii="Times New Roman" w:hAnsi="Times New Roman" w:eastAsia="宋体" w:cs="Times New Roman"/>
                      <w:color w:val="auto"/>
                      <w:sz w:val="21"/>
                      <w:szCs w:val="21"/>
                      <w:highlight w:val="none"/>
                      <w:lang w:val="en-US" w:eastAsia="zh-CN"/>
                    </w:rPr>
                    <w:t>4.2</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lang w:val="en-US" w:eastAsia="zh-CN"/>
                    </w:rPr>
                    <w:t>2#表面处理</w:t>
                  </w:r>
                  <w:r>
                    <w:rPr>
                      <w:rFonts w:hint="default" w:ascii="Times New Roman" w:hAnsi="Times New Roman" w:eastAsia="宋体" w:cs="Times New Roman"/>
                      <w:b w:val="0"/>
                      <w:bCs w:val="0"/>
                      <w:color w:val="auto"/>
                      <w:sz w:val="21"/>
                      <w:szCs w:val="21"/>
                      <w:highlight w:val="none"/>
                    </w:rPr>
                    <w:t>单个池体均为：</w:t>
                  </w:r>
                  <w:r>
                    <w:rPr>
                      <w:rFonts w:hint="eastAsia" w:ascii="Times New Roman" w:hAnsi="Times New Roman" w:eastAsia="宋体" w:cs="Times New Roman"/>
                      <w:color w:val="auto"/>
                      <w:sz w:val="21"/>
                      <w:szCs w:val="21"/>
                      <w:highlight w:val="none"/>
                      <w:lang w:val="en-US" w:eastAsia="zh-CN"/>
                    </w:rPr>
                    <w:t>酸洗池</w:t>
                  </w:r>
                  <w:r>
                    <w:rPr>
                      <w:rFonts w:hint="default" w:ascii="Times New Roman" w:hAnsi="Times New Roman" w:eastAsia="宋体" w:cs="Times New Roman"/>
                      <w:color w:val="auto"/>
                      <w:sz w:val="21"/>
                      <w:szCs w:val="21"/>
                      <w:highlight w:val="none"/>
                      <w:lang w:val="en-US" w:eastAsia="zh-CN"/>
                    </w:rPr>
                    <w:t>+水洗池+</w:t>
                  </w:r>
                  <w:r>
                    <w:rPr>
                      <w:rFonts w:hint="eastAsia" w:ascii="Times New Roman" w:hAnsi="Times New Roman" w:eastAsia="宋体" w:cs="Times New Roman"/>
                      <w:color w:val="auto"/>
                      <w:sz w:val="21"/>
                      <w:szCs w:val="21"/>
                      <w:highlight w:val="none"/>
                      <w:lang w:val="en-US" w:eastAsia="zh-CN"/>
                    </w:rPr>
                    <w:t>表调</w:t>
                  </w:r>
                  <w:r>
                    <w:rPr>
                      <w:rFonts w:hint="default" w:ascii="Times New Roman" w:hAnsi="Times New Roman" w:eastAsia="宋体" w:cs="Times New Roman"/>
                      <w:color w:val="auto"/>
                      <w:sz w:val="21"/>
                      <w:szCs w:val="21"/>
                      <w:highlight w:val="none"/>
                      <w:lang w:val="en-US" w:eastAsia="zh-CN"/>
                    </w:rPr>
                    <w:t>池+</w:t>
                  </w:r>
                  <w:r>
                    <w:rPr>
                      <w:rFonts w:hint="eastAsia" w:ascii="Times New Roman" w:hAnsi="Times New Roman" w:eastAsia="宋体" w:cs="Times New Roman"/>
                      <w:color w:val="auto"/>
                      <w:sz w:val="21"/>
                      <w:szCs w:val="21"/>
                      <w:highlight w:val="none"/>
                      <w:lang w:val="en-US" w:eastAsia="zh-CN"/>
                    </w:rPr>
                    <w:t>水洗</w:t>
                  </w:r>
                  <w:r>
                    <w:rPr>
                      <w:rFonts w:hint="default" w:ascii="Times New Roman" w:hAnsi="Times New Roman" w:eastAsia="宋体" w:cs="Times New Roman"/>
                      <w:color w:val="auto"/>
                      <w:sz w:val="21"/>
                      <w:szCs w:val="21"/>
                      <w:highlight w:val="none"/>
                      <w:lang w:val="en-US" w:eastAsia="zh-CN"/>
                    </w:rPr>
                    <w:t>池+磷化池+水洗池</w:t>
                  </w:r>
                  <w:r>
                    <w:rPr>
                      <w:rFonts w:hint="default" w:ascii="Times New Roman" w:hAnsi="Times New Roman" w:eastAsia="宋体" w:cs="Times New Roman"/>
                      <w:b w:val="0"/>
                      <w:bCs w:val="0"/>
                      <w:color w:val="auto"/>
                      <w:sz w:val="21"/>
                      <w:szCs w:val="21"/>
                      <w:highlight w:val="none"/>
                    </w:rPr>
                    <w:t>，共</w:t>
                  </w:r>
                  <w:r>
                    <w:rPr>
                      <w:rFonts w:hint="eastAsia" w:ascii="Times New Roman" w:hAnsi="Times New Roman" w:eastAsia="宋体"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rPr>
                    <w:t>个池体</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×2.1</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highlight w:val="none"/>
                    </w:rPr>
                    <w:t>）</w:t>
                  </w:r>
                </w:p>
              </w:tc>
              <w:tc>
                <w:tcPr>
                  <w:tcW w:w="2016" w:type="dxa"/>
                  <w:vAlign w:val="center"/>
                </w:tcPr>
                <w:p w14:paraId="70F531BA">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auto"/>
                      <w:lang w:val="en-US" w:eastAsia="zh-CN"/>
                    </w:rPr>
                    <w:t>将原有脱脂池改为</w:t>
                  </w:r>
                  <w:r>
                    <w:rPr>
                      <w:rFonts w:hint="eastAsia" w:ascii="Times New Roman" w:hAnsi="Times New Roman" w:eastAsia="宋体" w:cs="Times New Roman"/>
                      <w:color w:val="auto"/>
                      <w:sz w:val="21"/>
                      <w:szCs w:val="21"/>
                      <w:highlight w:val="none"/>
                      <w:lang w:val="en-US" w:eastAsia="zh-CN"/>
                    </w:rPr>
                    <w:t>二合一</w:t>
                  </w:r>
                  <w:r>
                    <w:rPr>
                      <w:rFonts w:hint="default" w:ascii="Times New Roman" w:hAnsi="Times New Roman" w:eastAsia="宋体" w:cs="Times New Roman"/>
                      <w:color w:val="auto"/>
                      <w:sz w:val="21"/>
                      <w:szCs w:val="21"/>
                      <w:highlight w:val="none"/>
                      <w:lang w:val="en-US" w:eastAsia="zh-CN"/>
                    </w:rPr>
                    <w:t>酸洗池</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新增</w:t>
                  </w:r>
                  <w:r>
                    <w:rPr>
                      <w:rFonts w:hint="eastAsia" w:ascii="Times New Roman" w:hAnsi="Times New Roman" w:eastAsia="宋体" w:cs="Times New Roman"/>
                      <w:color w:val="auto"/>
                      <w:lang w:val="en-US" w:eastAsia="zh-CN"/>
                    </w:rPr>
                    <w:t>表面处理工艺，减少打磨及喷漆工艺</w:t>
                  </w:r>
                </w:p>
              </w:tc>
            </w:tr>
            <w:tr w14:paraId="0D0C9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712" w:type="dxa"/>
                  <w:vAlign w:val="center"/>
                </w:tcPr>
                <w:p w14:paraId="735365BB">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辅助工程</w:t>
                  </w:r>
                </w:p>
              </w:tc>
              <w:tc>
                <w:tcPr>
                  <w:tcW w:w="737" w:type="dxa"/>
                  <w:tcBorders>
                    <w:bottom w:val="single" w:color="auto" w:sz="4" w:space="0"/>
                  </w:tcBorders>
                  <w:vAlign w:val="center"/>
                </w:tcPr>
                <w:p w14:paraId="146A8B35">
                  <w:pPr>
                    <w:pStyle w:val="42"/>
                    <w:keepNext w:val="0"/>
                    <w:keepLines w:val="0"/>
                    <w:pageBreakBefore w:val="0"/>
                    <w:tabs>
                      <w:tab w:val="left" w:pos="7488"/>
                    </w:tabs>
                    <w:kinsoku/>
                    <w:wordWrap/>
                    <w:overflowPunct/>
                    <w:topLinePunct w:val="0"/>
                    <w:autoSpaceDE w:val="0"/>
                    <w:autoSpaceDN w:val="0"/>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rPr>
                    <w:t>办公区</w:t>
                  </w:r>
                </w:p>
              </w:tc>
              <w:tc>
                <w:tcPr>
                  <w:tcW w:w="5828" w:type="dxa"/>
                  <w:tcBorders>
                    <w:bottom w:val="single" w:color="auto" w:sz="4" w:space="0"/>
                  </w:tcBorders>
                  <w:vAlign w:val="center"/>
                </w:tcPr>
                <w:p w14:paraId="005474FC">
                  <w:pPr>
                    <w:wordWrap w:val="0"/>
                    <w:snapToGrid w:val="0"/>
                    <w:spacing w:line="276"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位于</w:t>
                  </w:r>
                  <w:r>
                    <w:rPr>
                      <w:rFonts w:hint="eastAsia" w:ascii="Times New Roman" w:hAnsi="Times New Roman" w:eastAsia="宋体" w:cs="Times New Roman"/>
                      <w:color w:val="000000" w:themeColor="text1"/>
                      <w:lang w:val="en-US" w:eastAsia="zh-CN"/>
                      <w14:textFill>
                        <w14:solidFill>
                          <w14:schemeClr w14:val="tx1"/>
                        </w14:solidFill>
                      </w14:textFill>
                    </w:rPr>
                    <w:t>金鸽面粉厂</w:t>
                  </w:r>
                  <w:r>
                    <w:rPr>
                      <w:rFonts w:hint="eastAsia" w:ascii="Times New Roman" w:hAnsi="Times New Roman" w:eastAsia="宋体" w:cs="Times New Roman"/>
                      <w:color w:val="000000" w:themeColor="text1"/>
                      <w:lang w:eastAsia="zh-CN"/>
                      <w14:textFill>
                        <w14:solidFill>
                          <w14:schemeClr w14:val="tx1"/>
                        </w14:solidFill>
                      </w14:textFill>
                    </w:rPr>
                    <w:t>入口</w:t>
                  </w:r>
                  <w:r>
                    <w:rPr>
                      <w:rFonts w:hint="eastAsia" w:ascii="Times New Roman" w:hAnsi="Times New Roman" w:eastAsia="宋体" w:cs="Times New Roman"/>
                      <w:color w:val="000000" w:themeColor="text1"/>
                      <w:lang w:val="en-US" w:eastAsia="zh-CN"/>
                      <w14:textFill>
                        <w14:solidFill>
                          <w14:schemeClr w14:val="tx1"/>
                        </w14:solidFill>
                      </w14:textFill>
                    </w:rPr>
                    <w:t>处</w:t>
                  </w:r>
                  <w:r>
                    <w:rPr>
                      <w:rFonts w:hint="eastAsia" w:ascii="Times New Roman" w:hAnsi="Times New Roman" w:eastAsia="宋体" w:cs="Times New Roman"/>
                      <w:color w:val="000000" w:themeColor="text1"/>
                      <w:lang w:eastAsia="zh-CN"/>
                      <w14:textFill>
                        <w14:solidFill>
                          <w14:schemeClr w14:val="tx1"/>
                        </w14:solidFill>
                      </w14:textFill>
                    </w:rPr>
                    <w:t>办公楼</w:t>
                  </w:r>
                  <w:r>
                    <w:rPr>
                      <w:rFonts w:hint="default" w:ascii="Times New Roman" w:hAnsi="Times New Roman" w:eastAsia="宋体" w:cs="Times New Roman"/>
                      <w:color w:val="000000" w:themeColor="text1"/>
                      <w14:textFill>
                        <w14:solidFill>
                          <w14:schemeClr w14:val="tx1"/>
                        </w14:solidFill>
                      </w14:textFill>
                    </w:rPr>
                    <w:t>，面积约</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00m</w:t>
                  </w:r>
                  <w:r>
                    <w:rPr>
                      <w:rFonts w:hint="default" w:ascii="Times New Roman" w:hAnsi="Times New Roman" w:eastAsia="宋体" w:cs="Times New Roman"/>
                      <w:color w:val="000000" w:themeColor="text1"/>
                      <w:vertAlign w:val="superscript"/>
                      <w14:textFill>
                        <w14:solidFill>
                          <w14:schemeClr w14:val="tx1"/>
                        </w14:solidFill>
                      </w14:textFill>
                    </w:rPr>
                    <w:t>2</w:t>
                  </w:r>
                </w:p>
              </w:tc>
              <w:tc>
                <w:tcPr>
                  <w:tcW w:w="2016" w:type="dxa"/>
                  <w:tcBorders>
                    <w:bottom w:val="single" w:color="auto" w:sz="4" w:space="0"/>
                  </w:tcBorders>
                  <w:vAlign w:val="center"/>
                </w:tcPr>
                <w:p w14:paraId="246688F2">
                  <w:pPr>
                    <w:pStyle w:val="42"/>
                    <w:keepNext w:val="0"/>
                    <w:keepLines w:val="0"/>
                    <w:pageBreakBefore w:val="0"/>
                    <w:tabs>
                      <w:tab w:val="left" w:pos="7488"/>
                    </w:tabs>
                    <w:kinsoku/>
                    <w:wordWrap/>
                    <w:overflowPunct/>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利用金鸽面粉厂现有办公楼</w:t>
                  </w:r>
                </w:p>
              </w:tc>
            </w:tr>
            <w:tr w14:paraId="60B5B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712" w:type="dxa"/>
                  <w:vMerge w:val="restart"/>
                  <w:vAlign w:val="center"/>
                </w:tcPr>
                <w:p w14:paraId="040BCA2C">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储运工程</w:t>
                  </w:r>
                </w:p>
              </w:tc>
              <w:tc>
                <w:tcPr>
                  <w:tcW w:w="737" w:type="dxa"/>
                  <w:tcBorders>
                    <w:bottom w:val="single" w:color="auto" w:sz="4" w:space="0"/>
                  </w:tcBorders>
                  <w:vAlign w:val="center"/>
                </w:tcPr>
                <w:p w14:paraId="51019DB6">
                  <w:pPr>
                    <w:pStyle w:val="42"/>
                    <w:keepNext w:val="0"/>
                    <w:keepLines w:val="0"/>
                    <w:pageBreakBefore w:val="0"/>
                    <w:tabs>
                      <w:tab w:val="left" w:pos="7488"/>
                    </w:tabs>
                    <w:kinsoku/>
                    <w:wordWrap/>
                    <w:overflowPunct/>
                    <w:topLinePunct w:val="0"/>
                    <w:autoSpaceDE w:val="0"/>
                    <w:autoSpaceDN w:val="0"/>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原料仓库</w:t>
                  </w:r>
                </w:p>
              </w:tc>
              <w:tc>
                <w:tcPr>
                  <w:tcW w:w="5828" w:type="dxa"/>
                  <w:tcBorders>
                    <w:bottom w:val="single" w:color="auto" w:sz="4" w:space="0"/>
                  </w:tcBorders>
                  <w:vAlign w:val="center"/>
                </w:tcPr>
                <w:p w14:paraId="69A4A950">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车间内西</w:t>
                  </w:r>
                  <w:r>
                    <w:rPr>
                      <w:rFonts w:hint="eastAsia" w:ascii="Times New Roman" w:hAnsi="Times New Roman" w:eastAsia="宋体" w:cs="Times New Roman"/>
                      <w:sz w:val="21"/>
                      <w:szCs w:val="21"/>
                      <w:lang w:eastAsia="zh-CN"/>
                    </w:rPr>
                    <w:t>北</w:t>
                  </w:r>
                  <w:r>
                    <w:rPr>
                      <w:rFonts w:hint="default" w:ascii="Times New Roman" w:hAnsi="Times New Roman" w:eastAsia="宋体" w:cs="Times New Roman"/>
                      <w:sz w:val="21"/>
                      <w:szCs w:val="21"/>
                      <w:lang w:eastAsia="zh-CN"/>
                    </w:rPr>
                    <w:t>部设置原料仓储区约</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00</w:t>
                  </w:r>
                  <w:r>
                    <w:rPr>
                      <w:rFonts w:hint="default" w:ascii="Times New Roman" w:hAnsi="Times New Roman" w:eastAsia="宋体" w:cs="Times New Roman"/>
                      <w:sz w:val="21"/>
                      <w:szCs w:val="21"/>
                      <w:lang w:eastAsia="zh-CN"/>
                    </w:rPr>
                    <w:t>m</w:t>
                  </w:r>
                  <w:r>
                    <w:rPr>
                      <w:rFonts w:hint="default" w:ascii="Times New Roman" w:hAnsi="Times New Roman" w:eastAsia="宋体" w:cs="Times New Roman"/>
                      <w:sz w:val="21"/>
                      <w:szCs w:val="21"/>
                      <w:vertAlign w:val="superscript"/>
                      <w:lang w:eastAsia="zh-CN"/>
                    </w:rPr>
                    <w:t>2</w:t>
                  </w:r>
                </w:p>
              </w:tc>
              <w:tc>
                <w:tcPr>
                  <w:tcW w:w="2016" w:type="dxa"/>
                  <w:tcBorders>
                    <w:bottom w:val="single" w:color="auto" w:sz="4" w:space="0"/>
                  </w:tcBorders>
                  <w:vAlign w:val="center"/>
                </w:tcPr>
                <w:p w14:paraId="770AD962">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利用租用厂房</w:t>
                  </w:r>
                </w:p>
              </w:tc>
            </w:tr>
            <w:tr w14:paraId="5F1C5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712" w:type="dxa"/>
                  <w:vMerge w:val="continue"/>
                  <w:vAlign w:val="center"/>
                </w:tcPr>
                <w:p w14:paraId="23C1D028">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tcBorders>
                    <w:top w:val="single" w:color="auto" w:sz="4" w:space="0"/>
                  </w:tcBorders>
                  <w:vAlign w:val="center"/>
                </w:tcPr>
                <w:p w14:paraId="2F6981EC">
                  <w:pPr>
                    <w:pStyle w:val="42"/>
                    <w:keepNext w:val="0"/>
                    <w:keepLines w:val="0"/>
                    <w:pageBreakBefore w:val="0"/>
                    <w:tabs>
                      <w:tab w:val="left" w:pos="7488"/>
                    </w:tabs>
                    <w:kinsoku/>
                    <w:wordWrap/>
                    <w:overflowPunct/>
                    <w:topLinePunct w:val="0"/>
                    <w:autoSpaceDE w:val="0"/>
                    <w:autoSpaceDN w:val="0"/>
                    <w:bidi w:val="0"/>
                    <w:adjustRightInd/>
                    <w:snapToGrid/>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Cs/>
                      <w:color w:val="auto"/>
                      <w:sz w:val="21"/>
                      <w:szCs w:val="21"/>
                      <w:lang w:eastAsia="zh-CN"/>
                    </w:rPr>
                    <w:t>液化气</w:t>
                  </w:r>
                  <w:r>
                    <w:rPr>
                      <w:rFonts w:hint="default" w:ascii="Times New Roman" w:hAnsi="Times New Roman" w:eastAsia="宋体" w:cs="Times New Roman"/>
                      <w:bCs/>
                      <w:color w:val="auto"/>
                      <w:sz w:val="21"/>
                      <w:szCs w:val="21"/>
                      <w:lang w:eastAsia="zh-CN"/>
                    </w:rPr>
                    <w:t>库房</w:t>
                  </w:r>
                </w:p>
              </w:tc>
              <w:tc>
                <w:tcPr>
                  <w:tcW w:w="5828" w:type="dxa"/>
                  <w:tcBorders>
                    <w:top w:val="single" w:color="auto" w:sz="4" w:space="0"/>
                  </w:tcBorders>
                  <w:shd w:val="clear" w:color="auto" w:fill="auto"/>
                  <w:vAlign w:val="center"/>
                </w:tcPr>
                <w:p w14:paraId="1F8A4A8E">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位于生产</w:t>
                  </w:r>
                  <w:r>
                    <w:rPr>
                      <w:rFonts w:hint="eastAsia" w:ascii="Times New Roman" w:hAnsi="Times New Roman" w:eastAsia="宋体" w:cs="Times New Roman"/>
                      <w:color w:val="auto"/>
                      <w:sz w:val="21"/>
                      <w:szCs w:val="21"/>
                      <w:lang w:val="en-US" w:eastAsia="zh-CN"/>
                    </w:rPr>
                    <w:t>厂房</w:t>
                  </w:r>
                  <w:r>
                    <w:rPr>
                      <w:rFonts w:hint="eastAsia" w:ascii="Times New Roman" w:hAnsi="Times New Roman" w:eastAsia="宋体" w:cs="Times New Roman"/>
                      <w:color w:val="auto"/>
                      <w:sz w:val="21"/>
                      <w:szCs w:val="21"/>
                      <w:lang w:eastAsia="zh-CN"/>
                    </w:rPr>
                    <w:t>北侧</w:t>
                  </w:r>
                  <w:r>
                    <w:rPr>
                      <w:rFonts w:hint="default" w:ascii="Times New Roman" w:hAnsi="Times New Roman" w:eastAsia="宋体" w:cs="Times New Roman"/>
                      <w:color w:val="auto"/>
                      <w:sz w:val="21"/>
                      <w:szCs w:val="21"/>
                    </w:rPr>
                    <w:t>，暂存50kg瓶装液化石油气，面积8m</w:t>
                  </w:r>
                  <w:r>
                    <w:rPr>
                      <w:rFonts w:hint="default" w:ascii="Times New Roman" w:hAnsi="Times New Roman" w:eastAsia="宋体" w:cs="Times New Roman"/>
                      <w:color w:val="auto"/>
                      <w:sz w:val="21"/>
                      <w:szCs w:val="21"/>
                      <w:vertAlign w:val="superscript"/>
                    </w:rPr>
                    <w:t>2</w:t>
                  </w:r>
                </w:p>
              </w:tc>
              <w:tc>
                <w:tcPr>
                  <w:tcW w:w="2016" w:type="dxa"/>
                  <w:tcBorders>
                    <w:top w:val="single" w:color="auto" w:sz="4" w:space="0"/>
                  </w:tcBorders>
                  <w:vAlign w:val="center"/>
                </w:tcPr>
                <w:p w14:paraId="10D163C3">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新建</w:t>
                  </w:r>
                </w:p>
              </w:tc>
            </w:tr>
            <w:tr w14:paraId="12906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712" w:type="dxa"/>
                  <w:vMerge w:val="continue"/>
                  <w:vAlign w:val="center"/>
                </w:tcPr>
                <w:p w14:paraId="2605D466">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tcBorders>
                    <w:top w:val="single" w:color="auto" w:sz="4" w:space="0"/>
                  </w:tcBorders>
                  <w:vAlign w:val="center"/>
                </w:tcPr>
                <w:p w14:paraId="43B3C6A3">
                  <w:pPr>
                    <w:pStyle w:val="42"/>
                    <w:keepNext w:val="0"/>
                    <w:keepLines w:val="0"/>
                    <w:pageBreakBefore w:val="0"/>
                    <w:tabs>
                      <w:tab w:val="left" w:pos="7488"/>
                    </w:tabs>
                    <w:kinsoku/>
                    <w:wordWrap/>
                    <w:overflowPunct/>
                    <w:topLinePunct w:val="0"/>
                    <w:autoSpaceDE w:val="0"/>
                    <w:autoSpaceDN w:val="0"/>
                    <w:bidi w:val="0"/>
                    <w:adjustRightInd/>
                    <w:snapToGrid/>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产品仓库</w:t>
                  </w:r>
                </w:p>
              </w:tc>
              <w:tc>
                <w:tcPr>
                  <w:tcW w:w="5828" w:type="dxa"/>
                  <w:tcBorders>
                    <w:top w:val="single" w:color="auto" w:sz="4" w:space="0"/>
                  </w:tcBorders>
                  <w:vAlign w:val="center"/>
                </w:tcPr>
                <w:p w14:paraId="29104F28">
                  <w:pPr>
                    <w:wordWrap w:val="0"/>
                    <w:snapToGrid w:val="0"/>
                    <w:spacing w:line="27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厂房内</w:t>
                  </w:r>
                  <w:r>
                    <w:rPr>
                      <w:rFonts w:hint="eastAsia" w:ascii="Times New Roman" w:hAnsi="Times New Roman" w:eastAsia="宋体" w:cs="Times New Roman"/>
                      <w:color w:val="000000" w:themeColor="text1"/>
                      <w:lang w:eastAsia="zh-CN"/>
                      <w14:textFill>
                        <w14:solidFill>
                          <w14:schemeClr w14:val="tx1"/>
                        </w14:solidFill>
                      </w14:textFill>
                    </w:rPr>
                    <w:t>西部</w:t>
                  </w:r>
                  <w:r>
                    <w:rPr>
                      <w:rFonts w:hint="default" w:ascii="Times New Roman" w:hAnsi="Times New Roman" w:eastAsia="宋体" w:cs="Times New Roman"/>
                      <w:color w:val="000000" w:themeColor="text1"/>
                      <w14:textFill>
                        <w14:solidFill>
                          <w14:schemeClr w14:val="tx1"/>
                        </w14:solidFill>
                      </w14:textFill>
                    </w:rPr>
                    <w:t>，面积约600m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，用于储存成品</w:t>
                  </w:r>
                </w:p>
              </w:tc>
              <w:tc>
                <w:tcPr>
                  <w:tcW w:w="2016" w:type="dxa"/>
                  <w:tcBorders>
                    <w:top w:val="single" w:color="auto" w:sz="4" w:space="0"/>
                  </w:tcBorders>
                  <w:vAlign w:val="center"/>
                </w:tcPr>
                <w:p w14:paraId="24CA0E52">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利用租用厂房</w:t>
                  </w:r>
                </w:p>
              </w:tc>
            </w:tr>
            <w:tr w14:paraId="0CE3B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restart"/>
                  <w:vAlign w:val="center"/>
                </w:tcPr>
                <w:p w14:paraId="3A0050F2">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737" w:type="dxa"/>
                  <w:vAlign w:val="center"/>
                </w:tcPr>
                <w:p w14:paraId="141DC653">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供水工程</w:t>
                  </w:r>
                </w:p>
              </w:tc>
              <w:tc>
                <w:tcPr>
                  <w:tcW w:w="5828" w:type="dxa"/>
                  <w:vAlign w:val="center"/>
                </w:tcPr>
                <w:p w14:paraId="1099B269">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园区供水系统，用水量为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20654.67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2016" w:type="dxa"/>
                  <w:vAlign w:val="center"/>
                </w:tcPr>
                <w:p w14:paraId="6C35537D">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依托园区</w:t>
                  </w:r>
                </w:p>
              </w:tc>
            </w:tr>
            <w:tr w14:paraId="0301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12" w:type="dxa"/>
                  <w:vMerge w:val="continue"/>
                  <w:vAlign w:val="center"/>
                </w:tcPr>
                <w:p w14:paraId="701A663B">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401A0E09">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排水工程</w:t>
                  </w:r>
                </w:p>
              </w:tc>
              <w:tc>
                <w:tcPr>
                  <w:tcW w:w="5828" w:type="dxa"/>
                  <w:vAlign w:val="center"/>
                </w:tcPr>
                <w:p w14:paraId="0E60EE79">
                  <w:pPr>
                    <w:pStyle w:val="43"/>
                    <w:keepNext w:val="0"/>
                    <w:keepLines w:val="0"/>
                    <w:pageBreakBefore w:val="0"/>
                    <w:kinsoku/>
                    <w:wordWrap/>
                    <w:overflowPunct/>
                    <w:topLinePunct w:val="0"/>
                    <w:autoSpaceDE w:val="0"/>
                    <w:autoSpaceDN w:val="0"/>
                    <w:bidi w:val="0"/>
                    <w:ind w:firstLine="0"/>
                    <w:jc w:val="center"/>
                    <w:rPr>
                      <w:rFonts w:hint="default" w:ascii="Times New Roman" w:hAnsi="Times New Roman" w:eastAsia="宋体" w:cs="Times New Roman"/>
                      <w:sz w:val="21"/>
                      <w:szCs w:val="21"/>
                      <w:highlight w:val="yellow"/>
                      <w:lang w:eastAsia="zh-CN"/>
                    </w:rPr>
                  </w:pPr>
                  <w:r>
                    <w:rPr>
                      <w:rFonts w:hint="default" w:ascii="Times New Roman" w:hAnsi="Times New Roman" w:eastAsia="宋体" w:cs="Times New Roman"/>
                      <w:w w:val="100"/>
                      <w:sz w:val="21"/>
                      <w:szCs w:val="21"/>
                      <w:lang w:eastAsia="zh-CN"/>
                    </w:rPr>
                    <w:t>项目排水实行雨污分流制，雨水进入市政雨水管网。生活污水经化粪池处理后排入园区污水管网</w:t>
                  </w:r>
                  <w:r>
                    <w:rPr>
                      <w:rFonts w:hint="eastAsia" w:ascii="Times New Roman" w:hAnsi="Times New Roman" w:eastAsia="宋体" w:cs="Times New Roman"/>
                      <w:w w:val="100"/>
                      <w:sz w:val="21"/>
                      <w:szCs w:val="21"/>
                      <w:lang w:eastAsia="zh-CN"/>
                    </w:rPr>
                    <w:t>，生产废水经自建污水处理站处理后排入宿州市埇桥区曹村污水处理有限公司</w:t>
                  </w:r>
                </w:p>
              </w:tc>
              <w:tc>
                <w:tcPr>
                  <w:tcW w:w="2016" w:type="dxa"/>
                  <w:vAlign w:val="center"/>
                </w:tcPr>
                <w:p w14:paraId="74F0F585">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依托园区</w:t>
                  </w:r>
                </w:p>
              </w:tc>
            </w:tr>
            <w:tr w14:paraId="57F12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12" w:type="dxa"/>
                  <w:vMerge w:val="continue"/>
                  <w:vAlign w:val="center"/>
                </w:tcPr>
                <w:p w14:paraId="71B8A701">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308C2B44">
                  <w:pPr>
                    <w:pStyle w:val="41"/>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rPr>
                    <w:t>供气</w:t>
                  </w:r>
                  <w:r>
                    <w:rPr>
                      <w:rFonts w:hint="eastAsia" w:ascii="Times New Roman" w:hAnsi="Times New Roman" w:eastAsia="宋体" w:cs="Times New Roman"/>
                      <w:color w:val="auto"/>
                      <w:sz w:val="21"/>
                      <w:szCs w:val="21"/>
                      <w:lang w:eastAsia="zh-CN"/>
                    </w:rPr>
                    <w:t>工程</w:t>
                  </w:r>
                </w:p>
              </w:tc>
              <w:tc>
                <w:tcPr>
                  <w:tcW w:w="5828" w:type="dxa"/>
                  <w:vAlign w:val="center"/>
                </w:tcPr>
                <w:p w14:paraId="2298724E">
                  <w:pPr>
                    <w:wordWrap w:val="0"/>
                    <w:snapToGrid w:val="0"/>
                    <w:spacing w:line="276" w:lineRule="auto"/>
                    <w:jc w:val="center"/>
                    <w:rPr>
                      <w:rFonts w:hint="default" w:ascii="Times New Roman" w:hAnsi="Times New Roman" w:eastAsia="宋体" w:cs="Times New Roman"/>
                      <w:w w:val="100"/>
                      <w:sz w:val="21"/>
                      <w:szCs w:val="21"/>
                      <w:lang w:eastAsia="zh-CN"/>
                    </w:rPr>
                  </w:pPr>
                  <w:r>
                    <w:rPr>
                      <w:rFonts w:hint="default" w:ascii="Times New Roman" w:hAnsi="Times New Roman" w:eastAsia="宋体" w:cs="Times New Roman"/>
                      <w:color w:val="auto"/>
                      <w:sz w:val="21"/>
                      <w:szCs w:val="21"/>
                    </w:rPr>
                    <w:t>外购50kg瓶装液化石油气，暂存于液化石油气暂存库；最多暂存</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瓶</w:t>
                  </w:r>
                </w:p>
              </w:tc>
              <w:tc>
                <w:tcPr>
                  <w:tcW w:w="2016" w:type="dxa"/>
                  <w:vAlign w:val="center"/>
                </w:tcPr>
                <w:p w14:paraId="77622B7F">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外购</w:t>
                  </w:r>
                </w:p>
              </w:tc>
            </w:tr>
            <w:tr w14:paraId="40513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jc w:val="center"/>
              </w:trPr>
              <w:tc>
                <w:tcPr>
                  <w:tcW w:w="712" w:type="dxa"/>
                  <w:vMerge w:val="continue"/>
                  <w:vAlign w:val="center"/>
                </w:tcPr>
                <w:p w14:paraId="224629E0">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0BC72374">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供电工程</w:t>
                  </w:r>
                </w:p>
              </w:tc>
              <w:tc>
                <w:tcPr>
                  <w:tcW w:w="5828" w:type="dxa"/>
                  <w:vAlign w:val="center"/>
                </w:tcPr>
                <w:p w14:paraId="1139661C">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园区供电系统</w:t>
                  </w:r>
                </w:p>
              </w:tc>
              <w:tc>
                <w:tcPr>
                  <w:tcW w:w="2016" w:type="dxa"/>
                  <w:vAlign w:val="center"/>
                </w:tcPr>
                <w:p w14:paraId="103C35B8">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依托园区</w:t>
                  </w:r>
                </w:p>
              </w:tc>
            </w:tr>
            <w:tr w14:paraId="2483E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12" w:type="dxa"/>
                  <w:vMerge w:val="restart"/>
                  <w:vAlign w:val="center"/>
                </w:tcPr>
                <w:p w14:paraId="389C4DA6">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737" w:type="dxa"/>
                  <w:vMerge w:val="restart"/>
                  <w:vAlign w:val="center"/>
                </w:tcPr>
                <w:p w14:paraId="36C25D1A">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w:t>
                  </w:r>
                </w:p>
              </w:tc>
              <w:tc>
                <w:tcPr>
                  <w:tcW w:w="5828" w:type="dxa"/>
                  <w:vAlign w:val="center"/>
                </w:tcPr>
                <w:p w14:paraId="5EAAAA27">
                  <w:pPr>
                    <w:wordWrap w:val="0"/>
                    <w:autoSpaceDE w:val="0"/>
                    <w:autoSpaceDN w:val="0"/>
                    <w:snapToGrid w:val="0"/>
                    <w:spacing w:line="27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rPr>
                    <w:t>切割、焊接</w:t>
                  </w:r>
                  <w:r>
                    <w:rPr>
                      <w:rFonts w:hint="default" w:ascii="Times New Roman" w:hAnsi="Times New Roman" w:eastAsia="宋体" w:cs="Times New Roman"/>
                      <w:color w:val="auto"/>
                      <w:lang w:val="en-US" w:eastAsia="zh-CN"/>
                    </w:rPr>
                    <w:t>废气</w:t>
                  </w:r>
                  <w:r>
                    <w:rPr>
                      <w:rFonts w:hint="eastAsia" w:ascii="Times New Roman" w:hAnsi="Times New Roman" w:eastAsia="宋体" w:cs="Times New Roman"/>
                      <w:color w:val="auto"/>
                      <w:lang w:val="en-US" w:eastAsia="zh-CN"/>
                    </w:rPr>
                    <w:t>、抛丸废气</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切割、焊接</w:t>
                  </w:r>
                  <w:r>
                    <w:rPr>
                      <w:rFonts w:hint="eastAsia" w:ascii="Times New Roman" w:hAnsi="Times New Roman" w:eastAsia="宋体" w:cs="Times New Roman"/>
                      <w:color w:val="auto"/>
                      <w:lang w:val="en-US" w:eastAsia="zh-CN"/>
                    </w:rPr>
                    <w:t>废气</w:t>
                  </w:r>
                  <w:r>
                    <w:rPr>
                      <w:rFonts w:hint="default" w:ascii="Times New Roman" w:hAnsi="Times New Roman" w:eastAsia="宋体" w:cs="Times New Roman"/>
                      <w:color w:val="auto"/>
                      <w:lang w:val="en-US" w:eastAsia="zh-CN"/>
                    </w:rPr>
                    <w:t>分别</w:t>
                  </w:r>
                  <w:r>
                    <w:rPr>
                      <w:rFonts w:hint="default" w:ascii="Times New Roman" w:hAnsi="Times New Roman" w:eastAsia="宋体" w:cs="Times New Roman"/>
                      <w:color w:val="auto"/>
                    </w:rPr>
                    <w:t>由集气罩收集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抛丸废气由抛丸机内部收集后</w:t>
                  </w:r>
                  <w:r>
                    <w:rPr>
                      <w:rFonts w:hint="default" w:ascii="Times New Roman" w:hAnsi="Times New Roman" w:eastAsia="宋体" w:cs="Times New Roman"/>
                      <w:color w:val="auto"/>
                    </w:rPr>
                    <w:t>经袋式除尘器处理后由1根</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m高的DA001排气筒排放</w:t>
                  </w:r>
                </w:p>
              </w:tc>
              <w:tc>
                <w:tcPr>
                  <w:tcW w:w="2016" w:type="dxa"/>
                  <w:tcBorders>
                    <w:bottom w:val="single" w:color="auto" w:sz="4" w:space="0"/>
                  </w:tcBorders>
                  <w:vAlign w:val="center"/>
                </w:tcPr>
                <w:p w14:paraId="72111362">
                  <w:pPr>
                    <w:wordWrap w:val="0"/>
                    <w:autoSpaceDE w:val="0"/>
                    <w:autoSpaceDN w:val="0"/>
                    <w:snapToGrid w:val="0"/>
                    <w:spacing w:line="276"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B996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jc w:val="center"/>
              </w:trPr>
              <w:tc>
                <w:tcPr>
                  <w:tcW w:w="712" w:type="dxa"/>
                  <w:vMerge w:val="continue"/>
                  <w:vAlign w:val="center"/>
                </w:tcPr>
                <w:p w14:paraId="60DBCFD3">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Merge w:val="continue"/>
                  <w:vAlign w:val="center"/>
                </w:tcPr>
                <w:p w14:paraId="350618C1">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5828" w:type="dxa"/>
                  <w:tcBorders>
                    <w:bottom w:val="single" w:color="auto" w:sz="4" w:space="0"/>
                  </w:tcBorders>
                  <w:vAlign w:val="center"/>
                </w:tcPr>
                <w:p w14:paraId="0AD1C63E">
                  <w:pPr>
                    <w:wordWrap w:val="0"/>
                    <w:autoSpaceDE w:val="0"/>
                    <w:autoSpaceDN w:val="0"/>
                    <w:snapToGrid w:val="0"/>
                    <w:spacing w:line="27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kern w:val="0"/>
                      <w:sz w:val="21"/>
                      <w:szCs w:val="21"/>
                    </w:rPr>
                    <w:t>电泳涂装及烘干有机废气、烘干用燃料燃烧废气：电泳槽设置侧</w:t>
                  </w:r>
                  <w:r>
                    <w:rPr>
                      <w:rFonts w:hint="eastAsia" w:ascii="Times New Roman" w:hAnsi="Times New Roman" w:eastAsia="宋体" w:cs="Times New Roman"/>
                      <w:color w:val="auto"/>
                      <w:kern w:val="0"/>
                      <w:sz w:val="21"/>
                      <w:szCs w:val="21"/>
                      <w:lang w:eastAsia="zh-CN"/>
                    </w:rPr>
                    <w:t>集气罩</w:t>
                  </w:r>
                  <w:r>
                    <w:rPr>
                      <w:rFonts w:hint="default" w:ascii="Times New Roman" w:hAnsi="Times New Roman" w:eastAsia="宋体" w:cs="Times New Roman"/>
                      <w:color w:val="auto"/>
                      <w:kern w:val="0"/>
                      <w:sz w:val="21"/>
                      <w:szCs w:val="21"/>
                    </w:rPr>
                    <w:t>收集，电泳烘干房废气负压收集，共同引入一套过滤棉+二级活性炭处理后经1根15m高DA00</w:t>
                  </w:r>
                  <w:r>
                    <w:rPr>
                      <w:rFonts w:hint="eastAsia"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排气筒排放；近期烘干燃料为瓶装液化石油气，远期接入园区天然气</w:t>
                  </w:r>
                </w:p>
              </w:tc>
              <w:tc>
                <w:tcPr>
                  <w:tcW w:w="2016" w:type="dxa"/>
                  <w:tcBorders>
                    <w:bottom w:val="single" w:color="auto" w:sz="4" w:space="0"/>
                  </w:tcBorders>
                  <w:vAlign w:val="center"/>
                </w:tcPr>
                <w:p w14:paraId="5176B535">
                  <w:pPr>
                    <w:wordWrap w:val="0"/>
                    <w:autoSpaceDE w:val="0"/>
                    <w:autoSpaceDN w:val="0"/>
                    <w:snapToGrid w:val="0"/>
                    <w:spacing w:line="276" w:lineRule="auto"/>
                    <w:jc w:val="center"/>
                    <w:rPr>
                      <w:rFonts w:hint="default" w:ascii="Times New Roman" w:hAnsi="Times New Roman" w:eastAsia="宋体" w:cs="Times New Roman"/>
                      <w:sz w:val="21"/>
                      <w:szCs w:val="21"/>
                    </w:rPr>
                  </w:pPr>
                </w:p>
              </w:tc>
            </w:tr>
            <w:tr w14:paraId="3E181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712" w:type="dxa"/>
                  <w:vMerge w:val="continue"/>
                  <w:vAlign w:val="center"/>
                </w:tcPr>
                <w:p w14:paraId="7F083622">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Merge w:val="continue"/>
                  <w:vAlign w:val="center"/>
                </w:tcPr>
                <w:p w14:paraId="0F044F3C">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5828" w:type="dxa"/>
                  <w:tcBorders>
                    <w:top w:val="single" w:color="auto" w:sz="4" w:space="0"/>
                  </w:tcBorders>
                  <w:vAlign w:val="center"/>
                </w:tcPr>
                <w:p w14:paraId="1305D68A">
                  <w:pPr>
                    <w:wordWrap w:val="0"/>
                    <w:autoSpaceDE w:val="0"/>
                    <w:autoSpaceDN w:val="0"/>
                    <w:snapToGrid w:val="0"/>
                    <w:spacing w:line="276" w:lineRule="auto"/>
                    <w:jc w:val="center"/>
                    <w:rPr>
                      <w:rFonts w:hint="default" w:ascii="Times New Roman" w:hAnsi="Times New Roman" w:eastAsia="宋体" w:cs="Times New Roman"/>
                      <w:color w:val="E54C5E" w:themeColor="accent6"/>
                      <w:sz w:val="21"/>
                      <w:szCs w:val="21"/>
                      <w:lang w:eastAsia="zh-CN"/>
                      <w14:textFill>
                        <w14:solidFill>
                          <w14:schemeClr w14:val="accent6"/>
                        </w14:solidFill>
                      </w14:textFill>
                    </w:rPr>
                  </w:pPr>
                  <w:r>
                    <w:rPr>
                      <w:rFonts w:hint="eastAsia" w:ascii="Times New Roman" w:hAnsi="Times New Roman" w:eastAsia="宋体" w:cs="Times New Roman"/>
                      <w:bCs/>
                      <w:color w:val="auto"/>
                      <w:kern w:val="0"/>
                      <w:sz w:val="21"/>
                      <w:szCs w:val="21"/>
                      <w:lang w:eastAsia="zh-CN"/>
                    </w:rPr>
                    <w:t>喷塑</w:t>
                  </w:r>
                  <w:r>
                    <w:rPr>
                      <w:rFonts w:hint="default" w:ascii="Times New Roman" w:hAnsi="Times New Roman" w:eastAsia="宋体" w:cs="Times New Roman"/>
                      <w:bCs/>
                      <w:color w:val="auto"/>
                      <w:kern w:val="0"/>
                      <w:sz w:val="21"/>
                      <w:szCs w:val="21"/>
                    </w:rPr>
                    <w:t>废气、</w:t>
                  </w:r>
                  <w:r>
                    <w:rPr>
                      <w:rFonts w:hint="eastAsia" w:ascii="Times New Roman" w:hAnsi="Times New Roman" w:eastAsia="宋体" w:cs="Times New Roman"/>
                      <w:bCs/>
                      <w:color w:val="auto"/>
                      <w:kern w:val="0"/>
                      <w:sz w:val="21"/>
                      <w:szCs w:val="21"/>
                      <w:lang w:eastAsia="zh-CN"/>
                    </w:rPr>
                    <w:t>固化</w:t>
                  </w:r>
                  <w:r>
                    <w:rPr>
                      <w:rFonts w:hint="default" w:ascii="Times New Roman" w:hAnsi="Times New Roman" w:eastAsia="宋体" w:cs="Times New Roman"/>
                      <w:bCs/>
                      <w:color w:val="auto"/>
                      <w:kern w:val="0"/>
                      <w:sz w:val="21"/>
                      <w:szCs w:val="21"/>
                    </w:rPr>
                    <w:t>有机废气、烘干用燃料燃烧废气：</w:t>
                  </w:r>
                  <w:r>
                    <w:rPr>
                      <w:rFonts w:hint="eastAsia" w:ascii="Times New Roman" w:hAnsi="Times New Roman" w:eastAsia="宋体" w:cs="Times New Roman"/>
                      <w:bCs/>
                      <w:color w:val="auto"/>
                      <w:kern w:val="0"/>
                      <w:sz w:val="21"/>
                      <w:szCs w:val="21"/>
                      <w:lang w:val="en-US" w:eastAsia="zh-CN"/>
                    </w:rPr>
                    <w:t>密闭</w:t>
                  </w:r>
                  <w:r>
                    <w:rPr>
                      <w:rFonts w:hint="eastAsia" w:ascii="Times New Roman" w:hAnsi="Times New Roman" w:eastAsia="宋体" w:cs="Times New Roman"/>
                      <w:bCs/>
                      <w:color w:val="auto"/>
                      <w:kern w:val="0"/>
                      <w:sz w:val="21"/>
                      <w:szCs w:val="21"/>
                      <w:lang w:eastAsia="zh-CN"/>
                    </w:rPr>
                    <w:t>喷塑</w:t>
                  </w:r>
                  <w:r>
                    <w:rPr>
                      <w:rFonts w:hint="default" w:ascii="Times New Roman" w:hAnsi="Times New Roman" w:eastAsia="宋体" w:cs="Times New Roman"/>
                      <w:bCs/>
                      <w:color w:val="auto"/>
                      <w:kern w:val="0"/>
                      <w:sz w:val="21"/>
                      <w:szCs w:val="21"/>
                    </w:rPr>
                    <w:t>室废气</w:t>
                  </w:r>
                  <w:r>
                    <w:rPr>
                      <w:rFonts w:hint="eastAsia" w:ascii="Times New Roman" w:hAnsi="Times New Roman" w:eastAsia="宋体" w:cs="Times New Roman"/>
                      <w:bCs/>
                      <w:color w:val="auto"/>
                      <w:kern w:val="0"/>
                      <w:sz w:val="21"/>
                      <w:szCs w:val="21"/>
                      <w:lang w:eastAsia="zh-CN"/>
                    </w:rPr>
                    <w:t>负压收集后经设备自带旋风回收设备处理后接入布袋除尘器处理后经</w:t>
                  </w:r>
                  <w:r>
                    <w:rPr>
                      <w:rFonts w:hint="default" w:ascii="Times New Roman" w:hAnsi="Times New Roman" w:eastAsia="宋体" w:cs="Times New Roman"/>
                      <w:color w:val="auto"/>
                      <w:kern w:val="0"/>
                      <w:sz w:val="21"/>
                      <w:szCs w:val="21"/>
                    </w:rPr>
                    <w:t>1根15m高DA00</w:t>
                  </w: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排气筒排放；</w:t>
                  </w:r>
                  <w:r>
                    <w:rPr>
                      <w:rFonts w:hint="eastAsia" w:ascii="Times New Roman" w:hAnsi="Times New Roman" w:eastAsia="宋体" w:cs="Times New Roman"/>
                      <w:color w:val="auto"/>
                      <w:kern w:val="0"/>
                      <w:sz w:val="21"/>
                      <w:szCs w:val="21"/>
                      <w:lang w:val="en-US" w:eastAsia="zh-CN"/>
                    </w:rPr>
                    <w:t>固化室</w:t>
                  </w:r>
                  <w:r>
                    <w:rPr>
                      <w:rFonts w:hint="default" w:ascii="Times New Roman" w:hAnsi="Times New Roman" w:eastAsia="宋体" w:cs="Times New Roman"/>
                      <w:bCs/>
                      <w:color w:val="auto"/>
                      <w:kern w:val="0"/>
                      <w:sz w:val="21"/>
                      <w:szCs w:val="21"/>
                    </w:rPr>
                    <w:t>废气经</w:t>
                  </w:r>
                  <w:r>
                    <w:rPr>
                      <w:rFonts w:hint="eastAsia" w:ascii="Times New Roman" w:hAnsi="Times New Roman" w:eastAsia="宋体" w:cs="Times New Roman"/>
                      <w:bCs/>
                      <w:color w:val="auto"/>
                      <w:kern w:val="0"/>
                      <w:sz w:val="21"/>
                      <w:szCs w:val="21"/>
                      <w:lang w:val="en-US" w:eastAsia="zh-CN"/>
                    </w:rPr>
                    <w:t>集气罩收集并入电泳废气二级活性炭处理后经</w:t>
                  </w:r>
                  <w:r>
                    <w:rPr>
                      <w:rFonts w:hint="default" w:ascii="Times New Roman" w:hAnsi="Times New Roman" w:eastAsia="宋体" w:cs="Times New Roman"/>
                      <w:bCs/>
                      <w:color w:val="auto"/>
                      <w:kern w:val="0"/>
                      <w:sz w:val="21"/>
                      <w:szCs w:val="21"/>
                    </w:rPr>
                    <w:t>DA00</w:t>
                  </w:r>
                  <w:r>
                    <w:rPr>
                      <w:rFonts w:hint="eastAsia" w:ascii="Times New Roman" w:hAnsi="Times New Roman" w:eastAsia="宋体" w:cs="Times New Roman"/>
                      <w:bCs/>
                      <w:color w:val="auto"/>
                      <w:kern w:val="0"/>
                      <w:sz w:val="21"/>
                      <w:szCs w:val="21"/>
                      <w:lang w:val="en-US" w:eastAsia="zh-CN"/>
                    </w:rPr>
                    <w:t>3</w:t>
                  </w:r>
                  <w:r>
                    <w:rPr>
                      <w:rFonts w:hint="default" w:ascii="Times New Roman" w:hAnsi="Times New Roman" w:eastAsia="宋体" w:cs="Times New Roman"/>
                      <w:bCs/>
                      <w:color w:val="auto"/>
                      <w:kern w:val="0"/>
                      <w:sz w:val="21"/>
                      <w:szCs w:val="21"/>
                    </w:rPr>
                    <w:t>排气筒排放；近期烘干燃料为瓶装液化石油气，远期接入园区天然气</w:t>
                  </w:r>
                </w:p>
              </w:tc>
              <w:tc>
                <w:tcPr>
                  <w:tcW w:w="2016" w:type="dxa"/>
                  <w:tcBorders>
                    <w:top w:val="single" w:color="auto" w:sz="4" w:space="0"/>
                  </w:tcBorders>
                  <w:vAlign w:val="center"/>
                </w:tcPr>
                <w:p w14:paraId="745BCA97">
                  <w:pPr>
                    <w:wordWrap w:val="0"/>
                    <w:autoSpaceDE w:val="0"/>
                    <w:autoSpaceDN w:val="0"/>
                    <w:snapToGrid w:val="0"/>
                    <w:spacing w:line="276"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喷塑废气单独排放，固化废气与电泳废气经同一套处理设备处理后经同一根排气筒排放</w:t>
                  </w:r>
                </w:p>
              </w:tc>
            </w:tr>
            <w:tr w14:paraId="25F55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712" w:type="dxa"/>
                  <w:vMerge w:val="continue"/>
                  <w:vAlign w:val="center"/>
                </w:tcPr>
                <w:p w14:paraId="6E21E8B6">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Merge w:val="continue"/>
                  <w:vAlign w:val="center"/>
                </w:tcPr>
                <w:p w14:paraId="10D1DB58">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5828" w:type="dxa"/>
                  <w:tcBorders>
                    <w:top w:val="single" w:color="auto" w:sz="4" w:space="0"/>
                  </w:tcBorders>
                  <w:vAlign w:val="center"/>
                </w:tcPr>
                <w:p w14:paraId="300C9EC7">
                  <w:pPr>
                    <w:wordWrap w:val="0"/>
                    <w:autoSpaceDE w:val="0"/>
                    <w:autoSpaceDN w:val="0"/>
                    <w:snapToGrid w:val="0"/>
                    <w:spacing w:line="276" w:lineRule="auto"/>
                    <w:jc w:val="center"/>
                    <w:rPr>
                      <w:rFonts w:hint="default" w:ascii="Times New Roman" w:hAnsi="Times New Roman" w:eastAsia="宋体" w:cs="Times New Roman"/>
                      <w:color w:val="E54C5E" w:themeColor="accent6"/>
                      <w:sz w:val="21"/>
                      <w:szCs w:val="21"/>
                      <w:lang w:eastAsia="zh-CN"/>
                      <w14:textFill>
                        <w14:solidFill>
                          <w14:schemeClr w14:val="accent6"/>
                        </w14:solidFill>
                      </w14:textFill>
                    </w:rPr>
                  </w:pPr>
                  <w:r>
                    <w:rPr>
                      <w:rFonts w:hint="default" w:ascii="Times New Roman" w:hAnsi="Times New Roman" w:eastAsia="宋体" w:cs="Times New Roman"/>
                      <w:color w:val="auto"/>
                    </w:rPr>
                    <w:t>酸洗产生的硫酸雾由</w:t>
                  </w:r>
                  <w:r>
                    <w:rPr>
                      <w:rFonts w:hint="default" w:ascii="Times New Roman" w:hAnsi="Times New Roman" w:eastAsia="宋体" w:cs="Times New Roman"/>
                      <w:color w:val="auto"/>
                      <w:lang w:val="en-US" w:eastAsia="zh-CN"/>
                    </w:rPr>
                    <w:t>侧吸收集后</w:t>
                  </w:r>
                  <w:r>
                    <w:rPr>
                      <w:rFonts w:hint="default" w:ascii="Times New Roman" w:hAnsi="Times New Roman" w:eastAsia="宋体" w:cs="Times New Roman"/>
                      <w:color w:val="auto"/>
                    </w:rPr>
                    <w:t>经</w:t>
                  </w:r>
                  <w:r>
                    <w:rPr>
                      <w:rFonts w:hint="default" w:ascii="Times New Roman" w:hAnsi="Times New Roman" w:eastAsia="宋体" w:cs="Times New Roman"/>
                      <w:color w:val="auto"/>
                      <w:lang w:eastAsia="zh-CN"/>
                    </w:rPr>
                    <w:t>碱液喷淋</w:t>
                  </w:r>
                  <w:r>
                    <w:rPr>
                      <w:rFonts w:hint="default" w:ascii="Times New Roman" w:hAnsi="Times New Roman" w:eastAsia="宋体" w:cs="Times New Roman"/>
                      <w:color w:val="auto"/>
                    </w:rPr>
                    <w:t>处理后由1根</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m高的DA00</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排气筒排放</w:t>
                  </w:r>
                </w:p>
              </w:tc>
              <w:tc>
                <w:tcPr>
                  <w:tcW w:w="2016" w:type="dxa"/>
                  <w:tcBorders>
                    <w:top w:val="single" w:color="auto" w:sz="4" w:space="0"/>
                  </w:tcBorders>
                  <w:vAlign w:val="center"/>
                </w:tcPr>
                <w:p w14:paraId="20FF589C">
                  <w:pPr>
                    <w:wordWrap w:val="0"/>
                    <w:autoSpaceDE w:val="0"/>
                    <w:autoSpaceDN w:val="0"/>
                    <w:snapToGrid w:val="0"/>
                    <w:spacing w:line="276"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lang w:val="en-US" w:eastAsia="zh-CN"/>
                    </w:rPr>
                    <w:t>新建</w:t>
                  </w:r>
                </w:p>
              </w:tc>
            </w:tr>
            <w:tr w14:paraId="753B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continue"/>
                  <w:vAlign w:val="center"/>
                </w:tcPr>
                <w:p w14:paraId="6F9FD2FA">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35B73B53">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废水处理</w:t>
                  </w:r>
                </w:p>
              </w:tc>
              <w:tc>
                <w:tcPr>
                  <w:tcW w:w="5828" w:type="dxa"/>
                  <w:vAlign w:val="center"/>
                </w:tcPr>
                <w:p w14:paraId="29B46606">
                  <w:pPr>
                    <w:wordWrap w:val="0"/>
                    <w:spacing w:line="276"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rPr>
                    <w:t>生活污水经</w:t>
                  </w:r>
                  <w:r>
                    <w:rPr>
                      <w:rFonts w:hint="default" w:ascii="Times New Roman" w:hAnsi="Times New Roman" w:eastAsia="宋体" w:cs="Times New Roman"/>
                      <w:color w:val="auto"/>
                      <w:kern w:val="0"/>
                      <w:lang w:eastAsia="zh-CN"/>
                    </w:rPr>
                    <w:t>化粪池</w:t>
                  </w:r>
                  <w:r>
                    <w:rPr>
                      <w:rFonts w:hint="default" w:ascii="Times New Roman" w:hAnsi="Times New Roman" w:eastAsia="宋体" w:cs="Times New Roman"/>
                      <w:color w:val="auto"/>
                      <w:kern w:val="0"/>
                    </w:rPr>
                    <w:t>预处理，生产废水经自建污水处理站（处理能力</w:t>
                  </w:r>
                  <w:r>
                    <w:rPr>
                      <w:rFonts w:hint="default" w:ascii="Times New Roman" w:hAnsi="Times New Roman" w:eastAsia="宋体" w:cs="Times New Roman"/>
                      <w:color w:val="auto"/>
                      <w:kern w:val="0"/>
                      <w:lang w:val="en-US" w:eastAsia="zh-CN"/>
                    </w:rPr>
                    <w:t>40</w:t>
                  </w:r>
                  <w:r>
                    <w:rPr>
                      <w:rFonts w:hint="default" w:ascii="Times New Roman" w:hAnsi="Times New Roman" w:eastAsia="宋体" w:cs="Times New Roman"/>
                      <w:color w:val="auto"/>
                      <w:kern w:val="0"/>
                    </w:rPr>
                    <w:t>t/d，</w:t>
                  </w:r>
                  <w:r>
                    <w:rPr>
                      <w:rFonts w:hint="default" w:ascii="Times New Roman" w:hAnsi="Times New Roman" w:eastAsia="宋体" w:cs="Times New Roman"/>
                      <w:color w:val="auto"/>
                      <w:kern w:val="0"/>
                      <w:sz w:val="21"/>
                      <w:szCs w:val="21"/>
                    </w:rPr>
                    <w:t>pH调节+混凝沉淀+A/O工艺</w:t>
                  </w:r>
                  <w:r>
                    <w:rPr>
                      <w:rFonts w:hint="default" w:ascii="Times New Roman" w:hAnsi="Times New Roman" w:eastAsia="宋体" w:cs="Times New Roman"/>
                      <w:color w:val="auto"/>
                      <w:kern w:val="0"/>
                    </w:rPr>
                    <w:t>）预处理，经预处理后汇同浓水纳管进入</w:t>
                  </w:r>
                  <w:r>
                    <w:rPr>
                      <w:rFonts w:hint="default" w:ascii="Times New Roman" w:hAnsi="Times New Roman" w:eastAsia="宋体" w:cs="Times New Roman"/>
                      <w:color w:val="auto"/>
                      <w:kern w:val="0"/>
                      <w:lang w:eastAsia="zh-CN"/>
                    </w:rPr>
                    <w:t>宿州市曹村污水处理厂</w:t>
                  </w:r>
                  <w:r>
                    <w:rPr>
                      <w:rFonts w:hint="default" w:ascii="Times New Roman" w:hAnsi="Times New Roman" w:eastAsia="宋体" w:cs="Times New Roman"/>
                      <w:color w:val="auto"/>
                      <w:kern w:val="0"/>
                    </w:rPr>
                    <w:t>处理</w:t>
                  </w:r>
                </w:p>
              </w:tc>
              <w:tc>
                <w:tcPr>
                  <w:tcW w:w="2016" w:type="dxa"/>
                  <w:vAlign w:val="center"/>
                </w:tcPr>
                <w:p w14:paraId="581321E7">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利旧</w:t>
                  </w:r>
                </w:p>
              </w:tc>
            </w:tr>
            <w:tr w14:paraId="7A967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12" w:type="dxa"/>
                  <w:vMerge w:val="continue"/>
                  <w:vAlign w:val="center"/>
                </w:tcPr>
                <w:p w14:paraId="2183B0E7">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Merge w:val="restart"/>
                  <w:vAlign w:val="center"/>
                </w:tcPr>
                <w:p w14:paraId="749B2474">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5828" w:type="dxa"/>
                  <w:vAlign w:val="center"/>
                </w:tcPr>
                <w:p w14:paraId="7EB21169">
                  <w:pPr>
                    <w:spacing w:line="240" w:lineRule="auto"/>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highlight w:val="none"/>
                      <w:lang w:eastAsia="zh-CN"/>
                    </w:rPr>
                    <w:t>设置一般固体废物暂存间，</w:t>
                  </w:r>
                  <w:r>
                    <w:rPr>
                      <w:rFonts w:hint="default" w:ascii="Times New Roman" w:hAnsi="Times New Roman" w:eastAsia="宋体" w:cs="Times New Roman"/>
                      <w:color w:val="auto"/>
                      <w:highlight w:val="none"/>
                      <w:lang w:val="en-US" w:eastAsia="zh-CN"/>
                    </w:rPr>
                    <w:t>位于</w:t>
                  </w:r>
                  <w:r>
                    <w:rPr>
                      <w:rFonts w:hint="eastAsia" w:ascii="Times New Roman" w:hAnsi="Times New Roman" w:eastAsia="宋体" w:cs="Times New Roman"/>
                      <w:color w:val="auto"/>
                      <w:highlight w:val="none"/>
                      <w:lang w:val="en-US" w:eastAsia="zh-CN"/>
                    </w:rPr>
                    <w:t>厂房西侧</w:t>
                  </w:r>
                  <w:r>
                    <w:rPr>
                      <w:rFonts w:hint="default" w:ascii="Times New Roman" w:hAnsi="Times New Roman" w:eastAsia="宋体" w:cs="Times New Roman"/>
                      <w:color w:val="auto"/>
                      <w:highlight w:val="none"/>
                      <w:lang w:val="en-US" w:eastAsia="zh-CN"/>
                    </w:rPr>
                    <w:t>，约</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p>
              </w:tc>
              <w:tc>
                <w:tcPr>
                  <w:tcW w:w="2016" w:type="dxa"/>
                  <w:vAlign w:val="center"/>
                </w:tcPr>
                <w:p w14:paraId="08159CF3">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p>
              </w:tc>
            </w:tr>
            <w:tr w14:paraId="30531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continue"/>
                  <w:vAlign w:val="center"/>
                </w:tcPr>
                <w:p w14:paraId="1477D4CE">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Merge w:val="continue"/>
                  <w:vAlign w:val="center"/>
                </w:tcPr>
                <w:p w14:paraId="663654ED">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5828" w:type="dxa"/>
                  <w:vAlign w:val="center"/>
                </w:tcPr>
                <w:p w14:paraId="2D5F055B">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auto"/>
                      <w:sz w:val="21"/>
                      <w:szCs w:val="21"/>
                      <w:highlight w:val="none"/>
                    </w:rPr>
                    <w:t>危废暂存间位于生产车间</w:t>
                  </w:r>
                  <w:r>
                    <w:rPr>
                      <w:rFonts w:hint="eastAsia" w:ascii="Times New Roman" w:hAnsi="Times New Roman" w:eastAsia="宋体" w:cs="Times New Roman"/>
                      <w:color w:val="auto"/>
                      <w:sz w:val="21"/>
                      <w:szCs w:val="21"/>
                      <w:highlight w:val="none"/>
                      <w:lang w:eastAsia="zh-CN"/>
                    </w:rPr>
                    <w:t>南</w:t>
                  </w:r>
                  <w:r>
                    <w:rPr>
                      <w:rFonts w:hint="default" w:ascii="Times New Roman" w:hAnsi="Times New Roman" w:eastAsia="宋体" w:cs="Times New Roman"/>
                      <w:color w:val="auto"/>
                      <w:sz w:val="21"/>
                      <w:szCs w:val="21"/>
                      <w:highlight w:val="none"/>
                    </w:rPr>
                    <w:t>侧，约20m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，危废分类收集分区暂存，定期委托有危废资质公司处理</w:t>
                  </w:r>
                </w:p>
              </w:tc>
              <w:tc>
                <w:tcPr>
                  <w:tcW w:w="2016" w:type="dxa"/>
                  <w:vAlign w:val="center"/>
                </w:tcPr>
                <w:p w14:paraId="51EB7DD8">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p>
              </w:tc>
            </w:tr>
            <w:tr w14:paraId="7CA60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continue"/>
                  <w:vAlign w:val="center"/>
                </w:tcPr>
                <w:p w14:paraId="1ABE2161">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Merge w:val="continue"/>
                  <w:vAlign w:val="center"/>
                </w:tcPr>
                <w:p w14:paraId="6C51E804">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5828" w:type="dxa"/>
                  <w:vAlign w:val="center"/>
                </w:tcPr>
                <w:p w14:paraId="2FDE8569">
                  <w:pPr>
                    <w:wordWrap w:val="0"/>
                    <w:snapToGrid w:val="0"/>
                    <w:spacing w:line="276"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rPr>
                    <w:t>收集后委托环卫部门统一处理</w:t>
                  </w:r>
                </w:p>
              </w:tc>
              <w:tc>
                <w:tcPr>
                  <w:tcW w:w="2016" w:type="dxa"/>
                  <w:vAlign w:val="center"/>
                </w:tcPr>
                <w:p w14:paraId="56EC33E4">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7F398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continue"/>
                  <w:vAlign w:val="center"/>
                </w:tcPr>
                <w:p w14:paraId="556BA83E">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725069BB">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5828" w:type="dxa"/>
                  <w:vAlign w:val="center"/>
                </w:tcPr>
                <w:p w14:paraId="6F52369E">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对产噪设备采取隔声减震、绿化吸声等措施</w:t>
                  </w:r>
                </w:p>
              </w:tc>
              <w:tc>
                <w:tcPr>
                  <w:tcW w:w="2016" w:type="dxa"/>
                  <w:vAlign w:val="center"/>
                </w:tcPr>
                <w:p w14:paraId="6DBBCA9B">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14:paraId="684E4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continue"/>
                  <w:vAlign w:val="center"/>
                </w:tcPr>
                <w:p w14:paraId="55752CFD">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52272E07">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土壤与地下水</w:t>
                  </w:r>
                </w:p>
              </w:tc>
              <w:tc>
                <w:tcPr>
                  <w:tcW w:w="5828" w:type="dxa"/>
                  <w:vAlign w:val="top"/>
                </w:tcPr>
                <w:p w14:paraId="51A43DEB">
                  <w:pPr>
                    <w:wordWrap w:val="0"/>
                    <w:snapToGrid w:val="0"/>
                    <w:spacing w:line="276"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2"/>
                      <w:sz w:val="21"/>
                      <w:szCs w:val="21"/>
                    </w:rPr>
                    <w:t>源头控制与分区防渗，其中危废暂存间、液化气暂存库、自建污水处理站、应急事故池、生产车间电泳涂装线</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lang w:val="en-US" w:eastAsia="zh-CN"/>
                    </w:rPr>
                    <w:t>表面处理区</w:t>
                  </w:r>
                  <w:r>
                    <w:rPr>
                      <w:rFonts w:hint="default" w:ascii="Times New Roman" w:hAnsi="Times New Roman" w:eastAsia="宋体" w:cs="Times New Roman"/>
                      <w:color w:val="auto"/>
                      <w:kern w:val="2"/>
                      <w:sz w:val="21"/>
                      <w:szCs w:val="21"/>
                    </w:rPr>
                    <w:t>为重点防渗区；生产车间其它区域为一般防渗区；办公区及厂区道路为简单防渗区</w:t>
                  </w:r>
                </w:p>
              </w:tc>
              <w:tc>
                <w:tcPr>
                  <w:tcW w:w="2016" w:type="dxa"/>
                  <w:vAlign w:val="center"/>
                </w:tcPr>
                <w:p w14:paraId="14E477E2">
                  <w:pPr>
                    <w:wordWrap w:val="0"/>
                    <w:snapToGrid w:val="0"/>
                    <w:spacing w:line="276"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新增</w:t>
                  </w:r>
                </w:p>
              </w:tc>
            </w:tr>
            <w:tr w14:paraId="65FEF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2" w:type="dxa"/>
                  <w:vMerge w:val="continue"/>
                  <w:vAlign w:val="center"/>
                </w:tcPr>
                <w:p w14:paraId="22BDC0B8">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737" w:type="dxa"/>
                  <w:vAlign w:val="center"/>
                </w:tcPr>
                <w:p w14:paraId="03FBDC58">
                  <w:pPr>
                    <w:pStyle w:val="41"/>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环境风险防控</w:t>
                  </w:r>
                </w:p>
              </w:tc>
              <w:tc>
                <w:tcPr>
                  <w:tcW w:w="5828" w:type="dxa"/>
                  <w:vAlign w:val="top"/>
                </w:tcPr>
                <w:p w14:paraId="283CE3FA">
                  <w:pPr>
                    <w:wordWrap w:val="0"/>
                    <w:snapToGrid w:val="0"/>
                    <w:spacing w:line="276"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①消防、火灾报警系统；②火灾防范措施；③固体废物事故风险防范措施；④总图布置防范措施；⑤废气事故应急措施；⑥泄露事故防范措施；⑦液化气收集及使用过程防范措施；⑧废水事故风险防范措施：一座容积</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144</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应急事故池；</w:t>
                  </w:r>
                </w:p>
              </w:tc>
              <w:tc>
                <w:tcPr>
                  <w:tcW w:w="2016" w:type="dxa"/>
                  <w:vAlign w:val="center"/>
                </w:tcPr>
                <w:p w14:paraId="5543792B">
                  <w:pPr>
                    <w:wordWrap w:val="0"/>
                    <w:snapToGrid w:val="0"/>
                    <w:spacing w:line="276" w:lineRule="auto"/>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highlight w:val="none"/>
                      <w:lang w:val="en-US" w:eastAsia="zh-CN"/>
                    </w:rPr>
                    <w:t>加强环境风险防范</w:t>
                  </w:r>
                </w:p>
              </w:tc>
            </w:tr>
          </w:tbl>
          <w:p w14:paraId="13D74E3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宋体" w:hAnsi="宋体" w:eastAsia="宋体" w:cs="宋体"/>
                <w:b/>
                <w:bCs w:val="0"/>
                <w:sz w:val="24"/>
                <w:lang w:eastAsia="zh-CN"/>
              </w:rPr>
            </w:pPr>
            <w:r>
              <w:rPr>
                <w:rFonts w:hint="default" w:ascii="Times New Roman" w:hAnsi="Times New Roman" w:eastAsia="宋体" w:cs="Times New Roman"/>
                <w:b/>
                <w:bCs w:val="0"/>
                <w:sz w:val="24"/>
                <w:lang w:eastAsia="zh-CN"/>
              </w:rPr>
              <w:t>2</w:t>
            </w:r>
            <w:r>
              <w:rPr>
                <w:rFonts w:hint="eastAsia" w:ascii="宋体" w:hAnsi="宋体" w:eastAsia="宋体" w:cs="宋体"/>
                <w:b/>
                <w:bCs w:val="0"/>
                <w:sz w:val="24"/>
                <w:lang w:eastAsia="zh-CN"/>
              </w:rPr>
              <w:t>、产品方案</w:t>
            </w:r>
          </w:p>
          <w:p w14:paraId="7D5705AE">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sz w:val="24"/>
                <w:szCs w:val="24"/>
                <w:lang w:eastAsia="zh-CN"/>
              </w:rPr>
            </w:pPr>
            <w:r>
              <w:rPr>
                <w:rFonts w:ascii="Times New Roman" w:hAnsi="Times New Roman" w:eastAsia="宋体" w:cs="Times New Roman"/>
                <w:b/>
                <w:sz w:val="24"/>
                <w:szCs w:val="24"/>
                <w:lang w:eastAsia="zh-CN"/>
              </w:rPr>
              <w:t>表2-</w:t>
            </w:r>
            <w:r>
              <w:rPr>
                <w:rFonts w:hint="eastAsia" w:ascii="Times New Roman" w:hAnsi="Times New Roman" w:eastAsia="宋体" w:cs="Times New Roman"/>
                <w:b/>
                <w:sz w:val="24"/>
                <w:szCs w:val="24"/>
                <w:lang w:val="en-US" w:eastAsia="zh-CN"/>
              </w:rPr>
              <w:t>2</w:t>
            </w:r>
            <w:r>
              <w:rPr>
                <w:rFonts w:hint="eastAsia" w:ascii="Times New Roman" w:hAnsi="Times New Roman" w:eastAsia="宋体" w:cs="Times New Roman"/>
                <w:b/>
                <w:sz w:val="24"/>
                <w:szCs w:val="24"/>
                <w:lang w:eastAsia="zh-CN"/>
              </w:rPr>
              <w:t xml:space="preserve"> </w:t>
            </w:r>
            <w:r>
              <w:rPr>
                <w:rFonts w:ascii="Times New Roman" w:hAnsi="Times New Roman" w:eastAsia="宋体" w:cs="Times New Roman"/>
                <w:b/>
                <w:sz w:val="24"/>
                <w:szCs w:val="24"/>
                <w:lang w:eastAsia="zh-CN"/>
              </w:rPr>
              <w:t>生产规模及产品方案一览表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688"/>
              <w:gridCol w:w="1782"/>
              <w:gridCol w:w="2421"/>
              <w:gridCol w:w="2255"/>
            </w:tblGrid>
            <w:tr w14:paraId="6A8E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32" w:type="pct"/>
                  <w:noWrap w:val="0"/>
                  <w:vAlign w:val="center"/>
                </w:tcPr>
                <w:p w14:paraId="64DFFD6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45" w:type="pct"/>
                  <w:noWrap w:val="0"/>
                  <w:vAlign w:val="center"/>
                </w:tcPr>
                <w:p w14:paraId="5295F02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产品名称</w:t>
                  </w:r>
                </w:p>
              </w:tc>
              <w:tc>
                <w:tcPr>
                  <w:tcW w:w="999" w:type="pct"/>
                  <w:noWrap w:val="0"/>
                  <w:vAlign w:val="center"/>
                </w:tcPr>
                <w:p w14:paraId="3E7AA22E">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搬迁前</w:t>
                  </w:r>
                  <w:r>
                    <w:rPr>
                      <w:rFonts w:hint="default" w:ascii="Times New Roman" w:hAnsi="Times New Roman" w:eastAsia="宋体" w:cs="Times New Roman"/>
                      <w:color w:val="auto"/>
                      <w:sz w:val="21"/>
                      <w:szCs w:val="21"/>
                    </w:rPr>
                    <w:t>年产量（套/a）</w:t>
                  </w:r>
                </w:p>
              </w:tc>
              <w:tc>
                <w:tcPr>
                  <w:tcW w:w="1357" w:type="pct"/>
                  <w:noWrap w:val="0"/>
                  <w:vAlign w:val="center"/>
                </w:tcPr>
                <w:p w14:paraId="28F0DBBB">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搬迁后</w:t>
                  </w:r>
                  <w:r>
                    <w:rPr>
                      <w:rFonts w:hint="default" w:ascii="Times New Roman" w:hAnsi="Times New Roman" w:eastAsia="宋体" w:cs="Times New Roman"/>
                      <w:color w:val="auto"/>
                      <w:sz w:val="21"/>
                      <w:szCs w:val="21"/>
                    </w:rPr>
                    <w:t>年产量（套/a）</w:t>
                  </w:r>
                </w:p>
              </w:tc>
              <w:tc>
                <w:tcPr>
                  <w:tcW w:w="1264" w:type="pct"/>
                  <w:noWrap w:val="0"/>
                  <w:vAlign w:val="center"/>
                </w:tcPr>
                <w:p w14:paraId="63A0D919">
                  <w:pPr>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lang w:val="en-US" w:eastAsia="zh-CN"/>
                    </w:rPr>
                    <w:t>备注</w:t>
                  </w:r>
                </w:p>
              </w:tc>
            </w:tr>
            <w:tr w14:paraId="77FE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2" w:type="pct"/>
                  <w:noWrap w:val="0"/>
                  <w:vAlign w:val="center"/>
                </w:tcPr>
                <w:p w14:paraId="3A23FAFE">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5" w:type="pct"/>
                  <w:noWrap w:val="0"/>
                  <w:vAlign w:val="center"/>
                </w:tcPr>
                <w:p w14:paraId="3B2064EA">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电机箱</w:t>
                  </w:r>
                </w:p>
              </w:tc>
              <w:tc>
                <w:tcPr>
                  <w:tcW w:w="999" w:type="pct"/>
                  <w:noWrap w:val="0"/>
                  <w:vAlign w:val="center"/>
                </w:tcPr>
                <w:p w14:paraId="1A23225F">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357" w:type="pct"/>
                  <w:shd w:val="clear" w:color="auto" w:fill="auto"/>
                  <w:noWrap w:val="0"/>
                  <w:vAlign w:val="center"/>
                </w:tcPr>
                <w:p w14:paraId="2177F178">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1264" w:type="pct"/>
                  <w:vMerge w:val="restart"/>
                  <w:noWrap w:val="0"/>
                  <w:vAlign w:val="center"/>
                </w:tcPr>
                <w:p w14:paraId="3CFED8F6">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生产工艺：机加工-电泳涂装</w:t>
                  </w:r>
                  <w:r>
                    <w:rPr>
                      <w:rFonts w:hint="eastAsia" w:ascii="Times New Roman" w:hAnsi="Times New Roman" w:eastAsia="宋体" w:cs="Times New Roman"/>
                      <w:color w:val="auto"/>
                      <w:sz w:val="21"/>
                      <w:szCs w:val="21"/>
                      <w:highlight w:val="none"/>
                      <w:lang w:val="en-US" w:eastAsia="zh-CN"/>
                    </w:rPr>
                    <w:t>-喷塑</w:t>
                  </w:r>
                </w:p>
              </w:tc>
            </w:tr>
            <w:tr w14:paraId="5F12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2" w:type="pct"/>
                  <w:noWrap w:val="0"/>
                  <w:vAlign w:val="center"/>
                </w:tcPr>
                <w:p w14:paraId="2C940D2A">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45" w:type="pct"/>
                  <w:noWrap w:val="0"/>
                  <w:vAlign w:val="center"/>
                </w:tcPr>
                <w:p w14:paraId="47F377D1">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挡风板</w:t>
                  </w:r>
                </w:p>
              </w:tc>
              <w:tc>
                <w:tcPr>
                  <w:tcW w:w="999" w:type="pct"/>
                  <w:noWrap w:val="0"/>
                  <w:vAlign w:val="center"/>
                </w:tcPr>
                <w:p w14:paraId="5C992B4C">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357" w:type="pct"/>
                  <w:shd w:val="clear" w:color="auto" w:fill="auto"/>
                  <w:noWrap w:val="0"/>
                  <w:vAlign w:val="center"/>
                </w:tcPr>
                <w:p w14:paraId="3FF7A422">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1264" w:type="pct"/>
                  <w:vMerge w:val="continue"/>
                  <w:noWrap w:val="0"/>
                  <w:vAlign w:val="center"/>
                </w:tcPr>
                <w:p w14:paraId="03DCE4A4">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16F3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2" w:type="pct"/>
                  <w:noWrap w:val="0"/>
                  <w:vAlign w:val="center"/>
                </w:tcPr>
                <w:p w14:paraId="11182327">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45" w:type="pct"/>
                  <w:noWrap w:val="0"/>
                  <w:vAlign w:val="center"/>
                </w:tcPr>
                <w:p w14:paraId="5A5FB966">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防护壳</w:t>
                  </w:r>
                </w:p>
              </w:tc>
              <w:tc>
                <w:tcPr>
                  <w:tcW w:w="999" w:type="pct"/>
                  <w:noWrap w:val="0"/>
                  <w:vAlign w:val="center"/>
                </w:tcPr>
                <w:p w14:paraId="33C453E1">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357" w:type="pct"/>
                  <w:shd w:val="clear" w:color="auto" w:fill="auto"/>
                  <w:noWrap w:val="0"/>
                  <w:vAlign w:val="center"/>
                </w:tcPr>
                <w:p w14:paraId="5A9F2999">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1264" w:type="pct"/>
                  <w:vMerge w:val="continue"/>
                  <w:noWrap w:val="0"/>
                  <w:vAlign w:val="center"/>
                </w:tcPr>
                <w:p w14:paraId="0320E323">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5B2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2" w:type="pct"/>
                  <w:noWrap w:val="0"/>
                  <w:vAlign w:val="center"/>
                </w:tcPr>
                <w:p w14:paraId="550BA0F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45" w:type="pct"/>
                  <w:shd w:val="clear" w:color="auto" w:fill="auto"/>
                  <w:noWrap w:val="0"/>
                  <w:vAlign w:val="center"/>
                </w:tcPr>
                <w:p w14:paraId="20F5F776">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挖机发动机罩</w:t>
                  </w:r>
                </w:p>
              </w:tc>
              <w:tc>
                <w:tcPr>
                  <w:tcW w:w="999" w:type="pct"/>
                  <w:shd w:val="clear" w:color="auto" w:fill="auto"/>
                  <w:noWrap w:val="0"/>
                  <w:vAlign w:val="center"/>
                </w:tcPr>
                <w:p w14:paraId="2266ED03">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1500</w:t>
                  </w:r>
                </w:p>
              </w:tc>
              <w:tc>
                <w:tcPr>
                  <w:tcW w:w="1357" w:type="pct"/>
                  <w:shd w:val="clear" w:color="auto" w:fill="auto"/>
                  <w:noWrap w:val="0"/>
                  <w:vAlign w:val="center"/>
                </w:tcPr>
                <w:p w14:paraId="377F7104">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1500</w:t>
                  </w:r>
                </w:p>
              </w:tc>
              <w:tc>
                <w:tcPr>
                  <w:tcW w:w="1264" w:type="pct"/>
                  <w:vMerge w:val="continue"/>
                  <w:noWrap w:val="0"/>
                  <w:vAlign w:val="center"/>
                </w:tcPr>
                <w:p w14:paraId="0FD9945C">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4880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noWrap w:val="0"/>
                  <w:vAlign w:val="center"/>
                </w:tcPr>
                <w:p w14:paraId="2C653BC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45" w:type="pct"/>
                  <w:noWrap w:val="0"/>
                  <w:vAlign w:val="center"/>
                </w:tcPr>
                <w:p w14:paraId="2E9A3576">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滤清器支架</w:t>
                  </w:r>
                </w:p>
              </w:tc>
              <w:tc>
                <w:tcPr>
                  <w:tcW w:w="999" w:type="pct"/>
                  <w:noWrap w:val="0"/>
                  <w:vAlign w:val="center"/>
                </w:tcPr>
                <w:p w14:paraId="5EEB7A6B">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357" w:type="pct"/>
                  <w:shd w:val="clear" w:color="auto" w:fill="auto"/>
                  <w:noWrap w:val="0"/>
                  <w:vAlign w:val="center"/>
                </w:tcPr>
                <w:p w14:paraId="402DC184">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1264" w:type="pct"/>
                  <w:vMerge w:val="restart"/>
                  <w:noWrap w:val="0"/>
                  <w:vAlign w:val="center"/>
                </w:tcPr>
                <w:p w14:paraId="714B6052">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生产工艺：机加工-表面处理</w:t>
                  </w:r>
                </w:p>
              </w:tc>
            </w:tr>
            <w:tr w14:paraId="3070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2" w:type="pct"/>
                  <w:noWrap w:val="0"/>
                  <w:vAlign w:val="center"/>
                </w:tcPr>
                <w:p w14:paraId="1CDBF4D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45" w:type="pct"/>
                  <w:noWrap w:val="0"/>
                  <w:vAlign w:val="center"/>
                </w:tcPr>
                <w:p w14:paraId="39D2127C">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装载机顶棚</w:t>
                  </w:r>
                </w:p>
              </w:tc>
              <w:tc>
                <w:tcPr>
                  <w:tcW w:w="999" w:type="pct"/>
                  <w:noWrap w:val="0"/>
                  <w:vAlign w:val="center"/>
                </w:tcPr>
                <w:p w14:paraId="5F48346E">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357" w:type="pct"/>
                  <w:shd w:val="clear" w:color="auto" w:fill="auto"/>
                  <w:noWrap w:val="0"/>
                  <w:vAlign w:val="center"/>
                </w:tcPr>
                <w:p w14:paraId="2243C1C5">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2000</w:t>
                  </w:r>
                </w:p>
              </w:tc>
              <w:tc>
                <w:tcPr>
                  <w:tcW w:w="1264" w:type="pct"/>
                  <w:vMerge w:val="continue"/>
                  <w:noWrap w:val="0"/>
                  <w:vAlign w:val="top"/>
                </w:tcPr>
                <w:p w14:paraId="0B87FC02">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648A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noWrap w:val="0"/>
                  <w:vAlign w:val="center"/>
                </w:tcPr>
                <w:p w14:paraId="402F2799">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945" w:type="pct"/>
                  <w:noWrap w:val="0"/>
                  <w:vAlign w:val="center"/>
                </w:tcPr>
                <w:p w14:paraId="17D7C9E2">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电池保护罩</w:t>
                  </w:r>
                </w:p>
              </w:tc>
              <w:tc>
                <w:tcPr>
                  <w:tcW w:w="999" w:type="pct"/>
                  <w:noWrap w:val="0"/>
                  <w:vAlign w:val="center"/>
                </w:tcPr>
                <w:p w14:paraId="57417601">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357" w:type="pct"/>
                  <w:shd w:val="clear" w:color="auto" w:fill="auto"/>
                  <w:noWrap w:val="0"/>
                  <w:vAlign w:val="center"/>
                </w:tcPr>
                <w:p w14:paraId="13EA159C">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2000</w:t>
                  </w:r>
                </w:p>
              </w:tc>
              <w:tc>
                <w:tcPr>
                  <w:tcW w:w="1264" w:type="pct"/>
                  <w:vMerge w:val="continue"/>
                  <w:noWrap w:val="0"/>
                  <w:vAlign w:val="top"/>
                </w:tcPr>
                <w:p w14:paraId="570B2B38">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11A3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2" w:type="pct"/>
                  <w:noWrap w:val="0"/>
                  <w:vAlign w:val="center"/>
                </w:tcPr>
                <w:p w14:paraId="40E4301B">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945" w:type="pct"/>
                  <w:shd w:val="clear" w:color="auto" w:fill="auto"/>
                  <w:noWrap w:val="0"/>
                  <w:vAlign w:val="center"/>
                </w:tcPr>
                <w:p w14:paraId="1941EB24">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防撞梁</w:t>
                  </w:r>
                </w:p>
              </w:tc>
              <w:tc>
                <w:tcPr>
                  <w:tcW w:w="999" w:type="pct"/>
                  <w:shd w:val="clear" w:color="auto" w:fill="auto"/>
                  <w:noWrap w:val="0"/>
                  <w:vAlign w:val="center"/>
                </w:tcPr>
                <w:p w14:paraId="68B2C4E9">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500</w:t>
                  </w:r>
                </w:p>
              </w:tc>
              <w:tc>
                <w:tcPr>
                  <w:tcW w:w="1357" w:type="pct"/>
                  <w:shd w:val="clear" w:color="auto" w:fill="auto"/>
                  <w:noWrap w:val="0"/>
                  <w:vAlign w:val="center"/>
                </w:tcPr>
                <w:p w14:paraId="3AF42935">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1264" w:type="pct"/>
                  <w:vMerge w:val="continue"/>
                  <w:noWrap w:val="0"/>
                  <w:vAlign w:val="top"/>
                </w:tcPr>
                <w:p w14:paraId="7ABB6296">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0C46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378" w:type="pct"/>
                  <w:gridSpan w:val="2"/>
                  <w:noWrap w:val="0"/>
                  <w:vAlign w:val="top"/>
                </w:tcPr>
                <w:p w14:paraId="137BE329">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c>
                <w:tcPr>
                  <w:tcW w:w="999" w:type="pct"/>
                  <w:noWrap w:val="0"/>
                  <w:vAlign w:val="center"/>
                </w:tcPr>
                <w:p w14:paraId="496C8112">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w:t>
                  </w:r>
                </w:p>
              </w:tc>
              <w:tc>
                <w:tcPr>
                  <w:tcW w:w="1357" w:type="pct"/>
                  <w:noWrap w:val="0"/>
                  <w:vAlign w:val="top"/>
                </w:tcPr>
                <w:p w14:paraId="54EBD812">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8000</w:t>
                  </w:r>
                </w:p>
              </w:tc>
              <w:tc>
                <w:tcPr>
                  <w:tcW w:w="1264" w:type="pct"/>
                  <w:shd w:val="clear" w:color="auto" w:fill="auto"/>
                  <w:noWrap w:val="0"/>
                  <w:vAlign w:val="center"/>
                </w:tcPr>
                <w:p w14:paraId="607BBEB4">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bl>
          <w:p w14:paraId="76565D06">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0" w:firstLineChars="0"/>
              <w:jc w:val="left"/>
              <w:textAlignment w:val="baseline"/>
              <w:rPr>
                <w:rFonts w:ascii="Times New Roman" w:hAnsi="Times New Roman" w:eastAsia="宋体" w:cs="Times New Roman"/>
                <w:b/>
                <w:bCs w:val="0"/>
                <w:sz w:val="24"/>
                <w:lang w:eastAsia="zh-CN"/>
              </w:rPr>
            </w:pPr>
            <w:r>
              <w:rPr>
                <w:rFonts w:ascii="Times New Roman" w:hAnsi="Times New Roman" w:eastAsia="宋体" w:cs="Times New Roman"/>
                <w:b/>
                <w:bCs w:val="0"/>
                <w:kern w:val="2"/>
                <w:sz w:val="24"/>
                <w:szCs w:val="21"/>
                <w:lang w:val="en-US" w:eastAsia="zh-CN" w:bidi="ar-SA"/>
              </w:rPr>
              <w:t>3、</w:t>
            </w:r>
            <w:r>
              <w:rPr>
                <w:rFonts w:ascii="Times New Roman" w:hAnsi="Times New Roman" w:eastAsia="宋体" w:cs="Times New Roman"/>
                <w:b/>
                <w:bCs w:val="0"/>
                <w:sz w:val="24"/>
                <w:lang w:eastAsia="zh-CN"/>
              </w:rPr>
              <w:t>主要生产设备</w:t>
            </w:r>
          </w:p>
          <w:p w14:paraId="7D624ADE">
            <w:pPr>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lang w:val="en-US" w:eastAsia="zh-CN"/>
              </w:rPr>
              <w:t xml:space="preserve">3 </w:t>
            </w:r>
            <w:r>
              <w:rPr>
                <w:rFonts w:hint="default" w:ascii="Times New Roman" w:hAnsi="Times New Roman" w:eastAsia="宋体" w:cs="Times New Roman"/>
                <w:b/>
                <w:bCs/>
                <w:color w:val="auto"/>
                <w:sz w:val="24"/>
                <w:szCs w:val="24"/>
              </w:rPr>
              <w:t xml:space="preserve"> 建设项目主要生产设备一览表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08" w:type="dxa"/>
                <w:bottom w:w="15" w:type="dxa"/>
                <w:right w:w="108" w:type="dxa"/>
              </w:tblCellMar>
            </w:tblPr>
            <w:tblGrid>
              <w:gridCol w:w="451"/>
              <w:gridCol w:w="1388"/>
              <w:gridCol w:w="1562"/>
              <w:gridCol w:w="1254"/>
              <w:gridCol w:w="1431"/>
              <w:gridCol w:w="1047"/>
              <w:gridCol w:w="1784"/>
            </w:tblGrid>
            <w:tr w14:paraId="6D1A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noWrap w:val="0"/>
                  <w:vAlign w:val="center"/>
                </w:tcPr>
                <w:p w14:paraId="294B0E6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93" w:type="pct"/>
                  <w:noWrap w:val="0"/>
                  <w:vAlign w:val="center"/>
                </w:tcPr>
                <w:p w14:paraId="0865D32C">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840" w:type="pct"/>
                  <w:noWrap w:val="0"/>
                  <w:vAlign w:val="center"/>
                </w:tcPr>
                <w:p w14:paraId="1CEBD7C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设备规格及型号</w:t>
                  </w:r>
                </w:p>
              </w:tc>
              <w:tc>
                <w:tcPr>
                  <w:tcW w:w="718" w:type="pct"/>
                  <w:noWrap w:val="0"/>
                  <w:vAlign w:val="center"/>
                </w:tcPr>
                <w:p w14:paraId="7B9D260C">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搬迁前</w:t>
                  </w:r>
                  <w:r>
                    <w:rPr>
                      <w:rFonts w:hint="default" w:ascii="Times New Roman" w:hAnsi="Times New Roman" w:eastAsia="宋体" w:cs="Times New Roman"/>
                      <w:color w:val="auto"/>
                      <w:sz w:val="21"/>
                      <w:szCs w:val="21"/>
                    </w:rPr>
                    <w:t>数量（个/套）</w:t>
                  </w:r>
                </w:p>
              </w:tc>
              <w:tc>
                <w:tcPr>
                  <w:tcW w:w="817" w:type="pct"/>
                  <w:noWrap w:val="0"/>
                  <w:vAlign w:val="center"/>
                </w:tcPr>
                <w:p w14:paraId="636C62FD">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搬迁后</w:t>
                  </w:r>
                  <w:r>
                    <w:rPr>
                      <w:rFonts w:hint="default" w:ascii="Times New Roman" w:hAnsi="Times New Roman" w:eastAsia="宋体" w:cs="Times New Roman"/>
                      <w:color w:val="auto"/>
                      <w:sz w:val="21"/>
                      <w:szCs w:val="21"/>
                    </w:rPr>
                    <w:t>数量（个/套）</w:t>
                  </w:r>
                </w:p>
              </w:tc>
              <w:tc>
                <w:tcPr>
                  <w:tcW w:w="602" w:type="pct"/>
                  <w:noWrap w:val="0"/>
                  <w:vAlign w:val="center"/>
                </w:tcPr>
                <w:p w14:paraId="176C00A1">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变化数量（个/套）</w:t>
                  </w:r>
                </w:p>
              </w:tc>
              <w:tc>
                <w:tcPr>
                  <w:tcW w:w="959" w:type="pct"/>
                  <w:noWrap w:val="0"/>
                  <w:vAlign w:val="center"/>
                </w:tcPr>
                <w:p w14:paraId="515DF88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773B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268" w:type="pct"/>
                  <w:noWrap w:val="0"/>
                  <w:vAlign w:val="center"/>
                </w:tcPr>
                <w:p w14:paraId="766FAE78">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93" w:type="pct"/>
                  <w:noWrap w:val="0"/>
                  <w:vAlign w:val="center"/>
                </w:tcPr>
                <w:p w14:paraId="29E733A7">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激光</w:t>
                  </w:r>
                  <w:r>
                    <w:rPr>
                      <w:rFonts w:hint="default" w:ascii="Times New Roman" w:hAnsi="Times New Roman" w:eastAsia="宋体" w:cs="Times New Roman"/>
                      <w:color w:val="auto"/>
                      <w:sz w:val="21"/>
                      <w:szCs w:val="21"/>
                      <w:highlight w:val="none"/>
                    </w:rPr>
                    <w:t>切割机</w:t>
                  </w:r>
                </w:p>
              </w:tc>
              <w:tc>
                <w:tcPr>
                  <w:tcW w:w="840" w:type="pct"/>
                  <w:noWrap w:val="0"/>
                  <w:vAlign w:val="center"/>
                </w:tcPr>
                <w:p w14:paraId="46A3DCFB">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18" w:type="pct"/>
                  <w:noWrap w:val="0"/>
                  <w:vAlign w:val="center"/>
                </w:tcPr>
                <w:p w14:paraId="7695B2C0">
                  <w:pPr>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0</w:t>
                  </w:r>
                </w:p>
              </w:tc>
              <w:tc>
                <w:tcPr>
                  <w:tcW w:w="817" w:type="pct"/>
                  <w:shd w:val="clear" w:color="auto" w:fill="auto"/>
                  <w:noWrap w:val="0"/>
                  <w:vAlign w:val="center"/>
                </w:tcPr>
                <w:p w14:paraId="1FF16120">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602" w:type="pct"/>
                  <w:noWrap w:val="0"/>
                  <w:vAlign w:val="center"/>
                </w:tcPr>
                <w:p w14:paraId="06F24651">
                  <w:pPr>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959" w:type="pct"/>
                  <w:noWrap w:val="0"/>
                  <w:vAlign w:val="center"/>
                </w:tcPr>
                <w:p w14:paraId="33EB0021">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增加1台</w:t>
                  </w:r>
                </w:p>
              </w:tc>
            </w:tr>
            <w:tr w14:paraId="3F44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noWrap w:val="0"/>
                  <w:vAlign w:val="center"/>
                </w:tcPr>
                <w:p w14:paraId="60589270">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93" w:type="pct"/>
                  <w:noWrap w:val="0"/>
                  <w:vAlign w:val="center"/>
                </w:tcPr>
                <w:p w14:paraId="72D79C9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弯管机</w:t>
                  </w:r>
                </w:p>
              </w:tc>
              <w:tc>
                <w:tcPr>
                  <w:tcW w:w="840" w:type="pct"/>
                  <w:noWrap w:val="0"/>
                  <w:vAlign w:val="center"/>
                </w:tcPr>
                <w:p w14:paraId="1A44506A">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18" w:type="pct"/>
                  <w:noWrap w:val="0"/>
                  <w:vAlign w:val="center"/>
                </w:tcPr>
                <w:p w14:paraId="3C856512">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w:t>
                  </w:r>
                </w:p>
              </w:tc>
              <w:tc>
                <w:tcPr>
                  <w:tcW w:w="817" w:type="pct"/>
                  <w:shd w:val="clear" w:color="auto" w:fill="auto"/>
                  <w:noWrap w:val="0"/>
                  <w:vAlign w:val="center"/>
                </w:tcPr>
                <w:p w14:paraId="2542C7FA">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02" w:type="pct"/>
                  <w:noWrap w:val="0"/>
                  <w:vAlign w:val="center"/>
                </w:tcPr>
                <w:p w14:paraId="1BA0ECE2">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1</w:t>
                  </w:r>
                </w:p>
              </w:tc>
              <w:tc>
                <w:tcPr>
                  <w:tcW w:w="959" w:type="pct"/>
                  <w:noWrap w:val="0"/>
                  <w:vAlign w:val="center"/>
                </w:tcPr>
                <w:p w14:paraId="74407C7A">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增加1台</w:t>
                  </w:r>
                </w:p>
              </w:tc>
            </w:tr>
            <w:tr w14:paraId="0003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noWrap w:val="0"/>
                  <w:vAlign w:val="center"/>
                </w:tcPr>
                <w:p w14:paraId="765E633B">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93" w:type="pct"/>
                  <w:noWrap w:val="0"/>
                  <w:vAlign w:val="center"/>
                </w:tcPr>
                <w:p w14:paraId="371481BA">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台钻</w:t>
                  </w:r>
                </w:p>
              </w:tc>
              <w:tc>
                <w:tcPr>
                  <w:tcW w:w="840" w:type="pct"/>
                  <w:noWrap w:val="0"/>
                  <w:vAlign w:val="center"/>
                </w:tcPr>
                <w:p w14:paraId="71467CE2">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18" w:type="pct"/>
                  <w:noWrap w:val="0"/>
                  <w:vAlign w:val="center"/>
                </w:tcPr>
                <w:p w14:paraId="6E132532">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w:t>
                  </w:r>
                </w:p>
              </w:tc>
              <w:tc>
                <w:tcPr>
                  <w:tcW w:w="817" w:type="pct"/>
                  <w:shd w:val="clear" w:color="auto" w:fill="auto"/>
                  <w:noWrap w:val="0"/>
                  <w:vAlign w:val="center"/>
                </w:tcPr>
                <w:p w14:paraId="44989576">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02" w:type="pct"/>
                  <w:noWrap w:val="0"/>
                  <w:vAlign w:val="center"/>
                </w:tcPr>
                <w:p w14:paraId="252E358D">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1</w:t>
                  </w:r>
                </w:p>
              </w:tc>
              <w:tc>
                <w:tcPr>
                  <w:tcW w:w="959" w:type="pct"/>
                  <w:noWrap w:val="0"/>
                  <w:vAlign w:val="center"/>
                </w:tcPr>
                <w:p w14:paraId="41480EFD">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增加1台</w:t>
                  </w:r>
                </w:p>
              </w:tc>
            </w:tr>
            <w:tr w14:paraId="733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noWrap w:val="0"/>
                  <w:vAlign w:val="center"/>
                </w:tcPr>
                <w:p w14:paraId="16261B78">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93" w:type="pct"/>
                  <w:noWrap w:val="0"/>
                  <w:vAlign w:val="center"/>
                </w:tcPr>
                <w:p w14:paraId="0ED6DC70">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氩弧焊机</w:t>
                  </w:r>
                </w:p>
              </w:tc>
              <w:tc>
                <w:tcPr>
                  <w:tcW w:w="840" w:type="pct"/>
                  <w:noWrap w:val="0"/>
                  <w:vAlign w:val="center"/>
                </w:tcPr>
                <w:p w14:paraId="2C5F2686">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18" w:type="pct"/>
                  <w:noWrap w:val="0"/>
                  <w:vAlign w:val="center"/>
                </w:tcPr>
                <w:p w14:paraId="63010E1A">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w:t>
                  </w:r>
                </w:p>
              </w:tc>
              <w:tc>
                <w:tcPr>
                  <w:tcW w:w="817" w:type="pct"/>
                  <w:shd w:val="clear" w:color="auto" w:fill="auto"/>
                  <w:noWrap w:val="0"/>
                  <w:vAlign w:val="center"/>
                </w:tcPr>
                <w:p w14:paraId="50FEDA43">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02" w:type="pct"/>
                  <w:noWrap w:val="0"/>
                  <w:vAlign w:val="center"/>
                </w:tcPr>
                <w:p w14:paraId="183652AE">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4</w:t>
                  </w:r>
                </w:p>
              </w:tc>
              <w:tc>
                <w:tcPr>
                  <w:tcW w:w="959" w:type="pct"/>
                  <w:noWrap w:val="0"/>
                  <w:vAlign w:val="center"/>
                </w:tcPr>
                <w:p w14:paraId="6CDBD746">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增加4台</w:t>
                  </w:r>
                </w:p>
              </w:tc>
            </w:tr>
            <w:tr w14:paraId="30E6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noWrap w:val="0"/>
                  <w:vAlign w:val="center"/>
                </w:tcPr>
                <w:p w14:paraId="1900219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93" w:type="pct"/>
                  <w:noWrap w:val="0"/>
                  <w:vAlign w:val="center"/>
                </w:tcPr>
                <w:p w14:paraId="391F355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抛丸机</w:t>
                  </w:r>
                </w:p>
              </w:tc>
              <w:tc>
                <w:tcPr>
                  <w:tcW w:w="840" w:type="pct"/>
                  <w:noWrap w:val="0"/>
                  <w:vAlign w:val="center"/>
                </w:tcPr>
                <w:p w14:paraId="5DB682B4">
                  <w:pPr>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718" w:type="pct"/>
                  <w:noWrap w:val="0"/>
                  <w:vAlign w:val="center"/>
                </w:tcPr>
                <w:p w14:paraId="6E43A50F">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17" w:type="pct"/>
                  <w:noWrap w:val="0"/>
                  <w:vAlign w:val="center"/>
                </w:tcPr>
                <w:p w14:paraId="0A9F7E5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02" w:type="pct"/>
                  <w:noWrap w:val="0"/>
                  <w:vAlign w:val="center"/>
                </w:tcPr>
                <w:p w14:paraId="108079C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959" w:type="pct"/>
                  <w:noWrap w:val="0"/>
                  <w:vAlign w:val="center"/>
                </w:tcPr>
                <w:p w14:paraId="6AC66FB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不变</w:t>
                  </w:r>
                </w:p>
              </w:tc>
            </w:tr>
            <w:tr w14:paraId="4D1F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268" w:type="pct"/>
                  <w:shd w:val="clear" w:color="auto" w:fill="auto"/>
                  <w:noWrap w:val="0"/>
                  <w:vAlign w:val="center"/>
                </w:tcPr>
                <w:p w14:paraId="2BD204E6">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793" w:type="pct"/>
                  <w:noWrap w:val="0"/>
                  <w:vAlign w:val="center"/>
                </w:tcPr>
                <w:p w14:paraId="56CAF595">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燃烧机</w:t>
                  </w:r>
                </w:p>
              </w:tc>
              <w:tc>
                <w:tcPr>
                  <w:tcW w:w="840" w:type="pct"/>
                  <w:noWrap w:val="0"/>
                  <w:vAlign w:val="center"/>
                </w:tcPr>
                <w:p w14:paraId="29E4F0AC">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18" w:type="pct"/>
                  <w:noWrap w:val="0"/>
                  <w:vAlign w:val="center"/>
                </w:tcPr>
                <w:p w14:paraId="6142FC41">
                  <w:pPr>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817" w:type="pct"/>
                  <w:shd w:val="clear" w:color="auto" w:fill="auto"/>
                  <w:noWrap w:val="0"/>
                  <w:vAlign w:val="center"/>
                </w:tcPr>
                <w:p w14:paraId="152D79D5">
                  <w:pPr>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02" w:type="pct"/>
                  <w:noWrap w:val="0"/>
                  <w:vAlign w:val="center"/>
                </w:tcPr>
                <w:p w14:paraId="0863F164">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w:t>
                  </w:r>
                </w:p>
              </w:tc>
              <w:tc>
                <w:tcPr>
                  <w:tcW w:w="959" w:type="pct"/>
                  <w:noWrap w:val="0"/>
                  <w:vAlign w:val="center"/>
                </w:tcPr>
                <w:p w14:paraId="7A823C3A">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减少一个</w:t>
                  </w:r>
                </w:p>
              </w:tc>
            </w:tr>
            <w:tr w14:paraId="51DF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shd w:val="clear" w:color="auto" w:fill="auto"/>
                  <w:noWrap w:val="0"/>
                  <w:vAlign w:val="center"/>
                </w:tcPr>
                <w:p w14:paraId="69E9E378">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793" w:type="pct"/>
                  <w:noWrap w:val="0"/>
                  <w:vAlign w:val="center"/>
                </w:tcPr>
                <w:p w14:paraId="197607D4">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喷塑室</w:t>
                  </w:r>
                </w:p>
              </w:tc>
              <w:tc>
                <w:tcPr>
                  <w:tcW w:w="840" w:type="pct"/>
                  <w:noWrap w:val="0"/>
                  <w:vAlign w:val="center"/>
                </w:tcPr>
                <w:p w14:paraId="0D2C646E">
                  <w:pPr>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搬迁前</w:t>
                  </w: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2.5m</w:t>
                  </w:r>
                  <w:r>
                    <w:rPr>
                      <w:rFonts w:hint="eastAsia" w:ascii="Times New Roman" w:hAnsi="Times New Roman" w:eastAsia="宋体" w:cs="Times New Roman"/>
                      <w:color w:val="auto"/>
                      <w:sz w:val="21"/>
                      <w:szCs w:val="21"/>
                      <w:highlight w:val="none"/>
                      <w:lang w:eastAsia="zh-CN"/>
                    </w:rPr>
                    <w:t>搬迁后</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w:t>
                  </w:r>
                </w:p>
              </w:tc>
              <w:tc>
                <w:tcPr>
                  <w:tcW w:w="718" w:type="pct"/>
                  <w:noWrap w:val="0"/>
                  <w:vAlign w:val="center"/>
                </w:tcPr>
                <w:p w14:paraId="69557628">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817" w:type="pct"/>
                  <w:noWrap w:val="0"/>
                  <w:vAlign w:val="center"/>
                </w:tcPr>
                <w:p w14:paraId="3FFB2EED">
                  <w:pPr>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602" w:type="pct"/>
                  <w:noWrap w:val="0"/>
                  <w:vAlign w:val="center"/>
                </w:tcPr>
                <w:p w14:paraId="67DC1806">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p>
              </w:tc>
              <w:tc>
                <w:tcPr>
                  <w:tcW w:w="959" w:type="pct"/>
                  <w:noWrap w:val="0"/>
                  <w:vAlign w:val="center"/>
                </w:tcPr>
                <w:p w14:paraId="76CA74AE">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喷塑室变大，数量减少一个</w:t>
                  </w:r>
                </w:p>
              </w:tc>
            </w:tr>
            <w:tr w14:paraId="75C8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shd w:val="clear" w:color="auto" w:fill="auto"/>
                  <w:noWrap w:val="0"/>
                  <w:vAlign w:val="center"/>
                </w:tcPr>
                <w:p w14:paraId="094EB1DD">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793" w:type="pct"/>
                  <w:noWrap w:val="0"/>
                  <w:vAlign w:val="center"/>
                </w:tcPr>
                <w:p w14:paraId="13032658">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热固化烘道</w:t>
                  </w:r>
                </w:p>
              </w:tc>
              <w:tc>
                <w:tcPr>
                  <w:tcW w:w="840" w:type="pct"/>
                  <w:noWrap w:val="0"/>
                  <w:vAlign w:val="center"/>
                </w:tcPr>
                <w:p w14:paraId="2D820EDB">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4.5m，架空2m</w:t>
                  </w:r>
                </w:p>
              </w:tc>
              <w:tc>
                <w:tcPr>
                  <w:tcW w:w="718" w:type="pct"/>
                  <w:noWrap w:val="0"/>
                  <w:vAlign w:val="center"/>
                </w:tcPr>
                <w:p w14:paraId="1369912F">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17" w:type="pct"/>
                  <w:noWrap w:val="0"/>
                  <w:vAlign w:val="center"/>
                </w:tcPr>
                <w:p w14:paraId="0BE9CDA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02" w:type="pct"/>
                  <w:noWrap w:val="0"/>
                  <w:vAlign w:val="center"/>
                </w:tcPr>
                <w:p w14:paraId="17AE58F2">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59" w:type="pct"/>
                  <w:noWrap w:val="0"/>
                  <w:vAlign w:val="center"/>
                </w:tcPr>
                <w:p w14:paraId="1EB24145">
                  <w:pPr>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由烘道（</w:t>
                  </w:r>
                  <w:r>
                    <w:rPr>
                      <w:rFonts w:hint="default" w:ascii="Times New Roman" w:hAnsi="Times New Roman" w:eastAsia="宋体" w:cs="Times New Roman"/>
                      <w:color w:val="auto"/>
                      <w:sz w:val="21"/>
                      <w:szCs w:val="21"/>
                    </w:rPr>
                    <w:t>34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4.5m，架空2m</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改为固化室（</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lang w:eastAsia="zh-CN"/>
                    </w:rPr>
                    <w:t>）</w:t>
                  </w:r>
                </w:p>
              </w:tc>
            </w:tr>
            <w:tr w14:paraId="2AF8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shd w:val="clear" w:color="auto" w:fill="auto"/>
                  <w:noWrap w:val="0"/>
                  <w:vAlign w:val="center"/>
                </w:tcPr>
                <w:p w14:paraId="582E13E6">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793" w:type="pct"/>
                  <w:shd w:val="clear" w:color="auto" w:fill="auto"/>
                  <w:noWrap w:val="0"/>
                  <w:vAlign w:val="center"/>
                </w:tcPr>
                <w:p w14:paraId="24AD5039">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电泳涂装线</w:t>
                  </w:r>
                </w:p>
              </w:tc>
              <w:tc>
                <w:tcPr>
                  <w:tcW w:w="840" w:type="pct"/>
                  <w:shd w:val="clear" w:color="auto" w:fill="auto"/>
                  <w:noWrap w:val="0"/>
                  <w:vAlign w:val="center"/>
                </w:tcPr>
                <w:p w14:paraId="73A93E2D">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highlight w:val="none"/>
                    </w:rPr>
                    <w:t>共11个池体，其中1个备用；单个池体尺寸</w:t>
                  </w:r>
                  <w:r>
                    <w:rPr>
                      <w:rFonts w:hint="default" w:ascii="Times New Roman" w:hAnsi="Times New Roman" w:eastAsia="宋体" w:cs="Times New Roman"/>
                      <w:sz w:val="21"/>
                      <w:szCs w:val="21"/>
                      <w:highlight w:val="none"/>
                      <w:lang w:val="en-US" w:eastAsia="zh-CN"/>
                    </w:rPr>
                    <w:t>均为</w:t>
                  </w:r>
                  <w:r>
                    <w:rPr>
                      <w:rFonts w:hint="default" w:ascii="Times New Roman" w:hAnsi="Times New Roman" w:eastAsia="宋体" w:cs="Times New Roman"/>
                      <w:sz w:val="21"/>
                      <w:szCs w:val="21"/>
                      <w:highlight w:val="none"/>
                    </w:rPr>
                    <w:t>：5.5</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2.5</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2m；烘干室尺寸：10</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2.5</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2.2m</w:t>
                  </w:r>
                </w:p>
              </w:tc>
              <w:tc>
                <w:tcPr>
                  <w:tcW w:w="718" w:type="pct"/>
                  <w:noWrap w:val="0"/>
                  <w:vAlign w:val="center"/>
                </w:tcPr>
                <w:p w14:paraId="7EC669FD">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rPr>
                    <w:t>脱脂池+水洗池+水洗池+陶化池+纯水洗池+纯水洗池+电泳涂装池+纯水洗池+纯水洗池+沥干池</w:t>
                  </w:r>
                  <w:r>
                    <w:rPr>
                      <w:rFonts w:hint="default" w:ascii="Times New Roman" w:hAnsi="Times New Roman" w:eastAsia="宋体" w:cs="Times New Roman"/>
                      <w:sz w:val="21"/>
                      <w:szCs w:val="21"/>
                      <w:lang w:val="en-US" w:eastAsia="zh-CN"/>
                    </w:rPr>
                    <w:t>+烘干室</w:t>
                  </w:r>
                </w:p>
              </w:tc>
              <w:tc>
                <w:tcPr>
                  <w:tcW w:w="817" w:type="pct"/>
                  <w:noWrap w:val="0"/>
                  <w:vAlign w:val="center"/>
                </w:tcPr>
                <w:p w14:paraId="10035D80">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z w:val="21"/>
                      <w:szCs w:val="21"/>
                      <w:lang w:val="en-US" w:eastAsia="zh-CN"/>
                    </w:rPr>
                    <w:t>酸洗</w:t>
                  </w:r>
                  <w:r>
                    <w:rPr>
                      <w:rFonts w:hint="default" w:ascii="Times New Roman" w:hAnsi="Times New Roman" w:eastAsia="宋体" w:cs="Times New Roman"/>
                      <w:sz w:val="21"/>
                      <w:szCs w:val="21"/>
                    </w:rPr>
                    <w:t>池+水洗池+水洗池+</w:t>
                  </w:r>
                  <w:r>
                    <w:rPr>
                      <w:rFonts w:hint="eastAsia" w:ascii="Times New Roman" w:hAnsi="Times New Roman" w:eastAsia="宋体" w:cs="Times New Roman"/>
                      <w:sz w:val="21"/>
                      <w:szCs w:val="21"/>
                      <w:lang w:eastAsia="zh-CN"/>
                    </w:rPr>
                    <w:t>磷化池</w:t>
                  </w:r>
                  <w:r>
                    <w:rPr>
                      <w:rFonts w:hint="default" w:ascii="Times New Roman" w:hAnsi="Times New Roman" w:eastAsia="宋体" w:cs="Times New Roman"/>
                      <w:sz w:val="21"/>
                      <w:szCs w:val="21"/>
                    </w:rPr>
                    <w:t>+纯水</w:t>
                  </w:r>
                  <w:r>
                    <w:rPr>
                      <w:rFonts w:hint="default" w:ascii="Times New Roman" w:hAnsi="Times New Roman" w:eastAsia="宋体" w:cs="Times New Roman"/>
                      <w:sz w:val="21"/>
                      <w:szCs w:val="21"/>
                      <w:lang w:val="en-US" w:eastAsia="zh-CN"/>
                    </w:rPr>
                    <w:t>水</w:t>
                  </w:r>
                  <w:r>
                    <w:rPr>
                      <w:rFonts w:hint="default" w:ascii="Times New Roman" w:hAnsi="Times New Roman" w:eastAsia="宋体" w:cs="Times New Roman"/>
                      <w:sz w:val="21"/>
                      <w:szCs w:val="21"/>
                    </w:rPr>
                    <w:t>洗池+纯水</w:t>
                  </w:r>
                  <w:r>
                    <w:rPr>
                      <w:rFonts w:hint="default" w:ascii="Times New Roman" w:hAnsi="Times New Roman" w:eastAsia="宋体" w:cs="Times New Roman"/>
                      <w:sz w:val="21"/>
                      <w:szCs w:val="21"/>
                      <w:lang w:val="en-US" w:eastAsia="zh-CN"/>
                    </w:rPr>
                    <w:t>水</w:t>
                  </w:r>
                  <w:r>
                    <w:rPr>
                      <w:rFonts w:hint="default" w:ascii="Times New Roman" w:hAnsi="Times New Roman" w:eastAsia="宋体" w:cs="Times New Roman"/>
                      <w:sz w:val="21"/>
                      <w:szCs w:val="21"/>
                    </w:rPr>
                    <w:t>洗池+电泳涂装池+纯水</w:t>
                  </w:r>
                  <w:r>
                    <w:rPr>
                      <w:rFonts w:hint="default" w:ascii="Times New Roman" w:hAnsi="Times New Roman" w:eastAsia="宋体" w:cs="Times New Roman"/>
                      <w:sz w:val="21"/>
                      <w:szCs w:val="21"/>
                      <w:lang w:val="en-US" w:eastAsia="zh-CN"/>
                    </w:rPr>
                    <w:t>水</w:t>
                  </w:r>
                  <w:r>
                    <w:rPr>
                      <w:rFonts w:hint="default" w:ascii="Times New Roman" w:hAnsi="Times New Roman" w:eastAsia="宋体" w:cs="Times New Roman"/>
                      <w:sz w:val="21"/>
                      <w:szCs w:val="21"/>
                    </w:rPr>
                    <w:t>洗池+纯水</w:t>
                  </w:r>
                  <w:r>
                    <w:rPr>
                      <w:rFonts w:hint="default" w:ascii="Times New Roman" w:hAnsi="Times New Roman" w:eastAsia="宋体" w:cs="Times New Roman"/>
                      <w:sz w:val="21"/>
                      <w:szCs w:val="21"/>
                      <w:lang w:val="en-US" w:eastAsia="zh-CN"/>
                    </w:rPr>
                    <w:t>水</w:t>
                  </w:r>
                  <w:r>
                    <w:rPr>
                      <w:rFonts w:hint="default" w:ascii="Times New Roman" w:hAnsi="Times New Roman" w:eastAsia="宋体" w:cs="Times New Roman"/>
                      <w:sz w:val="21"/>
                      <w:szCs w:val="21"/>
                    </w:rPr>
                    <w:t>洗池+沥干池</w:t>
                  </w:r>
                  <w:r>
                    <w:rPr>
                      <w:rFonts w:hint="default" w:ascii="Times New Roman" w:hAnsi="Times New Roman" w:eastAsia="宋体" w:cs="Times New Roman"/>
                      <w:sz w:val="21"/>
                      <w:szCs w:val="21"/>
                      <w:lang w:val="en-US" w:eastAsia="zh-CN"/>
                    </w:rPr>
                    <w:t>+烘干室</w:t>
                  </w:r>
                </w:p>
              </w:tc>
              <w:tc>
                <w:tcPr>
                  <w:tcW w:w="602" w:type="pct"/>
                  <w:noWrap w:val="0"/>
                  <w:vAlign w:val="center"/>
                </w:tcPr>
                <w:p w14:paraId="08BF0684">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59" w:type="pct"/>
                  <w:noWrap w:val="0"/>
                  <w:vAlign w:val="center"/>
                </w:tcPr>
                <w:p w14:paraId="023EA872">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脱脂、陶化工艺改为酸洗、磷化工艺</w:t>
                  </w:r>
                </w:p>
              </w:tc>
            </w:tr>
            <w:tr w14:paraId="3832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shd w:val="clear" w:color="auto" w:fill="auto"/>
                  <w:noWrap w:val="0"/>
                  <w:vAlign w:val="center"/>
                </w:tcPr>
                <w:p w14:paraId="56E3C0DB">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p>
              </w:tc>
              <w:tc>
                <w:tcPr>
                  <w:tcW w:w="793" w:type="pct"/>
                  <w:noWrap w:val="0"/>
                  <w:vAlign w:val="center"/>
                </w:tcPr>
                <w:p w14:paraId="0665B888">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纯水机</w:t>
                  </w:r>
                </w:p>
              </w:tc>
              <w:tc>
                <w:tcPr>
                  <w:tcW w:w="840" w:type="pct"/>
                  <w:noWrap w:val="0"/>
                  <w:vAlign w:val="center"/>
                </w:tcPr>
                <w:p w14:paraId="6DFE8A8C">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制备能力40t/d，制备率70%</w:t>
                  </w:r>
                </w:p>
              </w:tc>
              <w:tc>
                <w:tcPr>
                  <w:tcW w:w="718" w:type="pct"/>
                  <w:noWrap w:val="0"/>
                  <w:vAlign w:val="center"/>
                </w:tcPr>
                <w:p w14:paraId="3E1F6F6C">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17" w:type="pct"/>
                  <w:noWrap w:val="0"/>
                  <w:vAlign w:val="center"/>
                </w:tcPr>
                <w:p w14:paraId="3F605DDC">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02" w:type="pct"/>
                  <w:noWrap w:val="0"/>
                  <w:vAlign w:val="center"/>
                </w:tcPr>
                <w:p w14:paraId="5AE2603F">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959" w:type="pct"/>
                  <w:noWrap w:val="0"/>
                  <w:vAlign w:val="center"/>
                </w:tcPr>
                <w:p w14:paraId="41706911">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不变</w:t>
                  </w:r>
                </w:p>
              </w:tc>
            </w:tr>
            <w:tr w14:paraId="7E94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96" w:hRule="atLeast"/>
                <w:jc w:val="center"/>
              </w:trPr>
              <w:tc>
                <w:tcPr>
                  <w:tcW w:w="268" w:type="pct"/>
                  <w:shd w:val="clear" w:color="auto" w:fill="auto"/>
                  <w:noWrap w:val="0"/>
                  <w:vAlign w:val="center"/>
                </w:tcPr>
                <w:p w14:paraId="6A8798B6">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p>
              </w:tc>
              <w:tc>
                <w:tcPr>
                  <w:tcW w:w="793" w:type="pct"/>
                  <w:noWrap w:val="0"/>
                  <w:vAlign w:val="center"/>
                </w:tcPr>
                <w:p w14:paraId="372B149C">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表面处理线</w:t>
                  </w:r>
                </w:p>
              </w:tc>
              <w:tc>
                <w:tcPr>
                  <w:tcW w:w="840" w:type="pct"/>
                  <w:noWrap w:val="0"/>
                  <w:vAlign w:val="center"/>
                </w:tcPr>
                <w:p w14:paraId="0EB12E92">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rPr>
                    <w:t>共</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rPr>
                    <w:t>个池体，单个池体尺寸</w:t>
                  </w:r>
                  <w:r>
                    <w:rPr>
                      <w:rFonts w:hint="default" w:ascii="Times New Roman" w:hAnsi="Times New Roman" w:eastAsia="宋体" w:cs="Times New Roman"/>
                      <w:sz w:val="21"/>
                      <w:szCs w:val="21"/>
                      <w:highlight w:val="none"/>
                      <w:lang w:val="en-US" w:eastAsia="zh-CN"/>
                    </w:rPr>
                    <w:t>均为</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color w:val="auto"/>
                      <w:sz w:val="21"/>
                      <w:szCs w:val="21"/>
                      <w:highlight w:val="none"/>
                      <w:lang w:val="en-US" w:eastAsia="zh-CN"/>
                    </w:rPr>
                    <w:t>4.2×2.5×2</w:t>
                  </w:r>
                  <w:r>
                    <w:rPr>
                      <w:rFonts w:hint="default" w:ascii="Times New Roman" w:hAnsi="Times New Roman" w:eastAsia="宋体" w:cs="Times New Roman"/>
                      <w:sz w:val="21"/>
                      <w:szCs w:val="21"/>
                      <w:highlight w:val="none"/>
                    </w:rPr>
                    <w:t>m；</w:t>
                  </w:r>
                </w:p>
              </w:tc>
              <w:tc>
                <w:tcPr>
                  <w:tcW w:w="718" w:type="pct"/>
                  <w:noWrap w:val="0"/>
                  <w:vAlign w:val="center"/>
                </w:tcPr>
                <w:p w14:paraId="5B552402">
                  <w:pPr>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z w:val="21"/>
                      <w:szCs w:val="21"/>
                      <w:highlight w:val="none"/>
                      <w:lang w:val="en-US" w:eastAsia="zh-CN"/>
                    </w:rPr>
                    <w:t>0</w:t>
                  </w:r>
                </w:p>
              </w:tc>
              <w:tc>
                <w:tcPr>
                  <w:tcW w:w="817" w:type="pct"/>
                  <w:noWrap w:val="0"/>
                  <w:vAlign w:val="center"/>
                </w:tcPr>
                <w:p w14:paraId="4061C906">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酸洗池+</w:t>
                  </w:r>
                  <w:r>
                    <w:rPr>
                      <w:rFonts w:hint="eastAsia" w:ascii="Times New Roman" w:hAnsi="Times New Roman" w:eastAsia="宋体" w:cs="Times New Roman"/>
                      <w:color w:val="auto"/>
                      <w:sz w:val="21"/>
                      <w:szCs w:val="21"/>
                      <w:highlight w:val="none"/>
                      <w:lang w:val="en-US" w:eastAsia="zh-CN"/>
                    </w:rPr>
                    <w:t>酸洗池</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水洗</w:t>
                  </w:r>
                  <w:r>
                    <w:rPr>
                      <w:rFonts w:hint="default" w:ascii="Times New Roman" w:hAnsi="Times New Roman" w:eastAsia="宋体" w:cs="Times New Roman"/>
                      <w:color w:val="auto"/>
                      <w:sz w:val="21"/>
                      <w:szCs w:val="21"/>
                      <w:highlight w:val="none"/>
                      <w:lang w:val="en-US" w:eastAsia="zh-CN"/>
                    </w:rPr>
                    <w:t>池+</w:t>
                  </w:r>
                  <w:r>
                    <w:rPr>
                      <w:rFonts w:hint="eastAsia" w:ascii="Times New Roman" w:hAnsi="Times New Roman" w:eastAsia="宋体" w:cs="Times New Roman"/>
                      <w:color w:val="auto"/>
                      <w:sz w:val="21"/>
                      <w:szCs w:val="21"/>
                      <w:highlight w:val="none"/>
                      <w:lang w:val="en-US" w:eastAsia="zh-CN"/>
                    </w:rPr>
                    <w:t>表调池+水洗池+</w:t>
                  </w:r>
                  <w:r>
                    <w:rPr>
                      <w:rFonts w:hint="default" w:ascii="Times New Roman" w:hAnsi="Times New Roman" w:eastAsia="宋体" w:cs="Times New Roman"/>
                      <w:color w:val="auto"/>
                      <w:sz w:val="21"/>
                      <w:szCs w:val="21"/>
                      <w:highlight w:val="none"/>
                      <w:lang w:val="en-US" w:eastAsia="zh-CN"/>
                    </w:rPr>
                    <w:t>磷化池+磷化池</w:t>
                  </w:r>
                  <w:r>
                    <w:rPr>
                      <w:rFonts w:hint="eastAsia" w:ascii="Times New Roman" w:hAnsi="Times New Roman" w:eastAsia="宋体" w:cs="Times New Roman"/>
                      <w:color w:val="auto"/>
                      <w:sz w:val="21"/>
                      <w:szCs w:val="21"/>
                      <w:highlight w:val="none"/>
                      <w:lang w:val="en-US" w:eastAsia="zh-CN"/>
                    </w:rPr>
                    <w:t>+水洗</w:t>
                  </w:r>
                  <w:r>
                    <w:rPr>
                      <w:rFonts w:hint="default" w:ascii="Times New Roman" w:hAnsi="Times New Roman" w:eastAsia="宋体" w:cs="Times New Roman"/>
                      <w:color w:val="auto"/>
                      <w:sz w:val="21"/>
                      <w:szCs w:val="21"/>
                      <w:highlight w:val="none"/>
                      <w:lang w:val="en-US" w:eastAsia="zh-CN"/>
                    </w:rPr>
                    <w:t>池</w:t>
                  </w:r>
                </w:p>
              </w:tc>
              <w:tc>
                <w:tcPr>
                  <w:tcW w:w="602" w:type="pct"/>
                  <w:noWrap w:val="0"/>
                  <w:vAlign w:val="center"/>
                </w:tcPr>
                <w:p w14:paraId="3A167A09">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个池体</w:t>
                  </w:r>
                </w:p>
              </w:tc>
              <w:tc>
                <w:tcPr>
                  <w:tcW w:w="959" w:type="pct"/>
                  <w:noWrap w:val="0"/>
                  <w:vAlign w:val="center"/>
                </w:tcPr>
                <w:p w14:paraId="064F7E18">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w:t>
                  </w:r>
                </w:p>
              </w:tc>
            </w:tr>
            <w:tr w14:paraId="0A0B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 w:hRule="atLeast"/>
                <w:jc w:val="center"/>
              </w:trPr>
              <w:tc>
                <w:tcPr>
                  <w:tcW w:w="268" w:type="pct"/>
                  <w:noWrap w:val="0"/>
                  <w:vAlign w:val="center"/>
                </w:tcPr>
                <w:p w14:paraId="4CFEC9BD">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793" w:type="pct"/>
                  <w:noWrap w:val="0"/>
                  <w:vAlign w:val="center"/>
                </w:tcPr>
                <w:p w14:paraId="0ACF209A">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表面处理线</w:t>
                  </w:r>
                </w:p>
              </w:tc>
              <w:tc>
                <w:tcPr>
                  <w:tcW w:w="840" w:type="pct"/>
                  <w:noWrap w:val="0"/>
                  <w:vAlign w:val="center"/>
                </w:tcPr>
                <w:p w14:paraId="7BCE69A1">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rPr>
                    <w:t>共</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rPr>
                    <w:t>个池体，单个池体尺寸</w:t>
                  </w:r>
                  <w:r>
                    <w:rPr>
                      <w:rFonts w:hint="default" w:ascii="Times New Roman" w:hAnsi="Times New Roman" w:eastAsia="宋体" w:cs="Times New Roman"/>
                      <w:sz w:val="21"/>
                      <w:szCs w:val="21"/>
                      <w:highlight w:val="none"/>
                      <w:lang w:val="en-US" w:eastAsia="zh-CN"/>
                    </w:rPr>
                    <w:t>均为</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color w:val="auto"/>
                      <w:sz w:val="21"/>
                      <w:szCs w:val="21"/>
                      <w:highlight w:val="none"/>
                      <w:lang w:val="en-US" w:eastAsia="zh-CN"/>
                    </w:rPr>
                    <w:t>2.5×2.1×2</w:t>
                  </w:r>
                  <w:r>
                    <w:rPr>
                      <w:rFonts w:hint="default" w:ascii="Times New Roman" w:hAnsi="Times New Roman" w:eastAsia="宋体" w:cs="Times New Roman"/>
                      <w:sz w:val="21"/>
                      <w:szCs w:val="21"/>
                      <w:highlight w:val="none"/>
                    </w:rPr>
                    <w:t>；</w:t>
                  </w:r>
                </w:p>
              </w:tc>
              <w:tc>
                <w:tcPr>
                  <w:tcW w:w="718" w:type="pct"/>
                  <w:noWrap w:val="0"/>
                  <w:vAlign w:val="center"/>
                </w:tcPr>
                <w:p w14:paraId="06CB55E4">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817" w:type="pct"/>
                  <w:noWrap w:val="0"/>
                  <w:vAlign w:val="center"/>
                </w:tcPr>
                <w:p w14:paraId="79DA0C8D">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酸洗池</w:t>
                  </w:r>
                  <w:r>
                    <w:rPr>
                      <w:rFonts w:hint="default" w:ascii="Times New Roman" w:hAnsi="Times New Roman" w:eastAsia="宋体" w:cs="Times New Roman"/>
                      <w:color w:val="auto"/>
                      <w:sz w:val="21"/>
                      <w:szCs w:val="21"/>
                      <w:highlight w:val="none"/>
                      <w:lang w:val="en-US" w:eastAsia="zh-CN"/>
                    </w:rPr>
                    <w:t>+水洗池+表调池+水洗池+磷化池+水洗池</w:t>
                  </w:r>
                </w:p>
              </w:tc>
              <w:tc>
                <w:tcPr>
                  <w:tcW w:w="602" w:type="pct"/>
                  <w:noWrap w:val="0"/>
                  <w:vAlign w:val="center"/>
                </w:tcPr>
                <w:p w14:paraId="1EC93BD2">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新增</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个池体</w:t>
                  </w:r>
                </w:p>
              </w:tc>
              <w:tc>
                <w:tcPr>
                  <w:tcW w:w="959" w:type="pct"/>
                  <w:noWrap w:val="0"/>
                  <w:vAlign w:val="center"/>
                </w:tcPr>
                <w:p w14:paraId="161110A7">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w:t>
                  </w:r>
                </w:p>
              </w:tc>
            </w:tr>
          </w:tbl>
          <w:p w14:paraId="44342BF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主要原辅材料</w:t>
            </w:r>
          </w:p>
          <w:p w14:paraId="208684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yellow"/>
              </w:rPr>
            </w:pPr>
            <w:r>
              <w:rPr>
                <w:rFonts w:hint="default" w:ascii="Times New Roman" w:hAnsi="Times New Roman" w:eastAsia="宋体" w:cs="Times New Roman"/>
                <w:bCs/>
                <w:color w:val="auto"/>
                <w:sz w:val="24"/>
                <w:szCs w:val="24"/>
              </w:rPr>
              <w:t>本项目主要原辅材料消耗况见下表：</w:t>
            </w:r>
          </w:p>
          <w:p w14:paraId="181391BA">
            <w:pPr>
              <w:spacing w:line="240" w:lineRule="auto"/>
              <w:jc w:val="center"/>
              <w:rPr>
                <w:rFonts w:hint="default" w:ascii="Times New Roman" w:hAnsi="Times New Roman" w:eastAsia="宋体" w:cs="Times New Roman"/>
                <w:b/>
                <w:color w:val="auto"/>
                <w:sz w:val="24"/>
                <w:szCs w:val="24"/>
              </w:rPr>
            </w:pPr>
          </w:p>
          <w:p w14:paraId="63926B09">
            <w:pPr>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表2-</w:t>
            </w:r>
            <w:r>
              <w:rPr>
                <w:rFonts w:hint="eastAsia" w:ascii="Times New Roman" w:hAnsi="Times New Roman" w:eastAsia="宋体" w:cs="Times New Roman"/>
                <w:b/>
                <w:color w:val="auto"/>
                <w:sz w:val="24"/>
                <w:szCs w:val="24"/>
                <w:lang w:val="en-US" w:eastAsia="zh-CN"/>
              </w:rPr>
              <w:t xml:space="preserve">4  </w:t>
            </w:r>
            <w:r>
              <w:rPr>
                <w:rFonts w:hint="default" w:ascii="Times New Roman" w:hAnsi="Times New Roman" w:eastAsia="宋体" w:cs="Times New Roman"/>
                <w:b/>
                <w:color w:val="auto"/>
                <w:sz w:val="24"/>
                <w:szCs w:val="24"/>
              </w:rPr>
              <w:t>建设项目主要原辅材料及年用量一览表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7"/>
              <w:gridCol w:w="866"/>
              <w:gridCol w:w="1124"/>
              <w:gridCol w:w="1387"/>
              <w:gridCol w:w="1262"/>
              <w:gridCol w:w="1223"/>
              <w:gridCol w:w="2408"/>
            </w:tblGrid>
            <w:tr w14:paraId="377A3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6CF013B4">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序号</w:t>
                  </w:r>
                </w:p>
              </w:tc>
              <w:tc>
                <w:tcPr>
                  <w:tcW w:w="500" w:type="pct"/>
                  <w:noWrap w:val="0"/>
                  <w:vAlign w:val="center"/>
                </w:tcPr>
                <w:p w14:paraId="289C5C4C">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原料名称</w:t>
                  </w:r>
                </w:p>
              </w:tc>
              <w:tc>
                <w:tcPr>
                  <w:tcW w:w="612" w:type="pct"/>
                  <w:noWrap w:val="0"/>
                  <w:vAlign w:val="center"/>
                </w:tcPr>
                <w:p w14:paraId="40992D22">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搬迁前</w:t>
                  </w:r>
                </w:p>
              </w:tc>
              <w:tc>
                <w:tcPr>
                  <w:tcW w:w="722" w:type="pct"/>
                  <w:noWrap w:val="0"/>
                  <w:vAlign w:val="center"/>
                </w:tcPr>
                <w:p w14:paraId="447F5560">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搬迁后</w:t>
                  </w:r>
                </w:p>
              </w:tc>
              <w:tc>
                <w:tcPr>
                  <w:tcW w:w="722" w:type="pct"/>
                  <w:noWrap w:val="0"/>
                  <w:vAlign w:val="center"/>
                </w:tcPr>
                <w:p w14:paraId="2C3B1AD8">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储存位置及方式</w:t>
                  </w:r>
                </w:p>
              </w:tc>
              <w:tc>
                <w:tcPr>
                  <w:tcW w:w="700" w:type="pct"/>
                  <w:noWrap w:val="0"/>
                  <w:vAlign w:val="center"/>
                </w:tcPr>
                <w:p w14:paraId="7D55A2F3">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最大暂存量</w:t>
                  </w:r>
                </w:p>
              </w:tc>
              <w:tc>
                <w:tcPr>
                  <w:tcW w:w="1364" w:type="pct"/>
                  <w:noWrap w:val="0"/>
                  <w:vAlign w:val="center"/>
                </w:tcPr>
                <w:p w14:paraId="5C5FD14A">
                  <w:pPr>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备注</w:t>
                  </w:r>
                </w:p>
              </w:tc>
            </w:tr>
            <w:tr w14:paraId="567A2E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024555A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500" w:type="pct"/>
                  <w:noWrap w:val="0"/>
                  <w:vAlign w:val="center"/>
                </w:tcPr>
                <w:p w14:paraId="2BD51EF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钢材</w:t>
                  </w:r>
                </w:p>
              </w:tc>
              <w:tc>
                <w:tcPr>
                  <w:tcW w:w="612" w:type="pct"/>
                  <w:noWrap w:val="0"/>
                  <w:vAlign w:val="center"/>
                </w:tcPr>
                <w:p w14:paraId="04B22B4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6000t/a</w:t>
                  </w:r>
                </w:p>
              </w:tc>
              <w:tc>
                <w:tcPr>
                  <w:tcW w:w="722" w:type="pct"/>
                  <w:shd w:val="clear" w:color="auto" w:fill="auto"/>
                  <w:noWrap w:val="0"/>
                  <w:vAlign w:val="center"/>
                </w:tcPr>
                <w:p w14:paraId="1DE8D70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6000t/a</w:t>
                  </w:r>
                </w:p>
              </w:tc>
              <w:tc>
                <w:tcPr>
                  <w:tcW w:w="722" w:type="pct"/>
                  <w:noWrap w:val="0"/>
                  <w:vAlign w:val="center"/>
                </w:tcPr>
                <w:p w14:paraId="60917BB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仓储区</w:t>
                  </w:r>
                </w:p>
                <w:p w14:paraId="197E2FB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码放/捆扎</w:t>
                  </w:r>
                </w:p>
              </w:tc>
              <w:tc>
                <w:tcPr>
                  <w:tcW w:w="700" w:type="pct"/>
                  <w:noWrap w:val="0"/>
                  <w:vAlign w:val="center"/>
                </w:tcPr>
                <w:p w14:paraId="2E69FB2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500t</w:t>
                  </w:r>
                </w:p>
              </w:tc>
              <w:tc>
                <w:tcPr>
                  <w:tcW w:w="1364" w:type="pct"/>
                  <w:noWrap w:val="0"/>
                  <w:vAlign w:val="center"/>
                </w:tcPr>
                <w:p w14:paraId="73A124F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外购钢材</w:t>
                  </w:r>
                </w:p>
              </w:tc>
            </w:tr>
            <w:tr w14:paraId="308D5C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50CA3F6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500" w:type="pct"/>
                  <w:noWrap w:val="0"/>
                  <w:vAlign w:val="center"/>
                </w:tcPr>
                <w:p w14:paraId="201A350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无铅焊丝</w:t>
                  </w:r>
                </w:p>
              </w:tc>
              <w:tc>
                <w:tcPr>
                  <w:tcW w:w="612" w:type="pct"/>
                  <w:noWrap w:val="0"/>
                  <w:vAlign w:val="center"/>
                </w:tcPr>
                <w:p w14:paraId="1FFCBA3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10t/a</w:t>
                  </w:r>
                </w:p>
              </w:tc>
              <w:tc>
                <w:tcPr>
                  <w:tcW w:w="722" w:type="pct"/>
                  <w:shd w:val="clear" w:color="auto" w:fill="auto"/>
                  <w:noWrap w:val="0"/>
                  <w:vAlign w:val="center"/>
                </w:tcPr>
                <w:p w14:paraId="1A77F1B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10t/a</w:t>
                  </w:r>
                </w:p>
              </w:tc>
              <w:tc>
                <w:tcPr>
                  <w:tcW w:w="722" w:type="pct"/>
                  <w:noWrap w:val="0"/>
                  <w:vAlign w:val="center"/>
                </w:tcPr>
                <w:p w14:paraId="2738CA0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仓储区</w:t>
                  </w:r>
                </w:p>
                <w:p w14:paraId="00A753A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纸桶盘装</w:t>
                  </w:r>
                </w:p>
              </w:tc>
              <w:tc>
                <w:tcPr>
                  <w:tcW w:w="700" w:type="pct"/>
                  <w:noWrap w:val="0"/>
                  <w:vAlign w:val="center"/>
                </w:tcPr>
                <w:p w14:paraId="06B38D7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1t</w:t>
                  </w:r>
                </w:p>
              </w:tc>
              <w:tc>
                <w:tcPr>
                  <w:tcW w:w="1364" w:type="pct"/>
                  <w:noWrap w:val="0"/>
                  <w:vAlign w:val="center"/>
                </w:tcPr>
                <w:p w14:paraId="4EC8DDF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外购</w:t>
                  </w:r>
                </w:p>
              </w:tc>
            </w:tr>
            <w:tr w14:paraId="7F3624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0C0F075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500" w:type="pct"/>
                  <w:noWrap w:val="0"/>
                  <w:vAlign w:val="center"/>
                </w:tcPr>
                <w:p w14:paraId="3515154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塑粉</w:t>
                  </w:r>
                </w:p>
              </w:tc>
              <w:tc>
                <w:tcPr>
                  <w:tcW w:w="612" w:type="pct"/>
                  <w:noWrap w:val="0"/>
                  <w:vAlign w:val="center"/>
                </w:tcPr>
                <w:p w14:paraId="61A43FD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20t/a</w:t>
                  </w:r>
                </w:p>
              </w:tc>
              <w:tc>
                <w:tcPr>
                  <w:tcW w:w="722" w:type="pct"/>
                  <w:noWrap w:val="0"/>
                  <w:vAlign w:val="center"/>
                </w:tcPr>
                <w:p w14:paraId="46FA415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t/a</w:t>
                  </w:r>
                </w:p>
              </w:tc>
              <w:tc>
                <w:tcPr>
                  <w:tcW w:w="722" w:type="pct"/>
                  <w:noWrap w:val="0"/>
                  <w:vAlign w:val="center"/>
                </w:tcPr>
                <w:p w14:paraId="55231FE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仓储区</w:t>
                  </w:r>
                </w:p>
                <w:p w14:paraId="052D612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袋装</w:t>
                  </w:r>
                </w:p>
              </w:tc>
              <w:tc>
                <w:tcPr>
                  <w:tcW w:w="700" w:type="pct"/>
                  <w:noWrap w:val="0"/>
                  <w:vAlign w:val="center"/>
                </w:tcPr>
                <w:p w14:paraId="476F272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1t</w:t>
                  </w:r>
                </w:p>
              </w:tc>
              <w:tc>
                <w:tcPr>
                  <w:tcW w:w="1364" w:type="pct"/>
                  <w:noWrap w:val="0"/>
                  <w:vAlign w:val="center"/>
                </w:tcPr>
                <w:p w14:paraId="4B579E4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减少</w:t>
                  </w:r>
                </w:p>
              </w:tc>
            </w:tr>
            <w:tr w14:paraId="0C436F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7827292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00" w:type="pct"/>
                  <w:noWrap w:val="0"/>
                  <w:vAlign w:val="center"/>
                </w:tcPr>
                <w:p w14:paraId="04157D3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lang w:eastAsia="zh-CN"/>
                    </w:rPr>
                    <w:t>钢丸</w:t>
                  </w:r>
                </w:p>
              </w:tc>
              <w:tc>
                <w:tcPr>
                  <w:tcW w:w="612" w:type="pct"/>
                  <w:noWrap w:val="0"/>
                  <w:vAlign w:val="center"/>
                </w:tcPr>
                <w:p w14:paraId="6E424DC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10t/a</w:t>
                  </w:r>
                </w:p>
              </w:tc>
              <w:tc>
                <w:tcPr>
                  <w:tcW w:w="722" w:type="pct"/>
                  <w:noWrap w:val="0"/>
                  <w:vAlign w:val="center"/>
                </w:tcPr>
                <w:p w14:paraId="1EC4ACC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10t/a</w:t>
                  </w:r>
                </w:p>
              </w:tc>
              <w:tc>
                <w:tcPr>
                  <w:tcW w:w="722" w:type="pct"/>
                  <w:shd w:val="clear" w:color="auto" w:fill="auto"/>
                  <w:noWrap w:val="0"/>
                  <w:vAlign w:val="center"/>
                </w:tcPr>
                <w:p w14:paraId="2FFCE6E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00" w:type="pct"/>
                  <w:shd w:val="clear" w:color="auto" w:fill="auto"/>
                  <w:noWrap w:val="0"/>
                  <w:vAlign w:val="center"/>
                </w:tcPr>
                <w:p w14:paraId="3CA14E5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364" w:type="pct"/>
                  <w:noWrap w:val="0"/>
                  <w:vAlign w:val="center"/>
                </w:tcPr>
                <w:p w14:paraId="4AE7452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不变</w:t>
                  </w:r>
                </w:p>
              </w:tc>
            </w:tr>
            <w:tr w14:paraId="37C083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68024E1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500" w:type="pct"/>
                  <w:noWrap w:val="0"/>
                  <w:vAlign w:val="center"/>
                </w:tcPr>
                <w:p w14:paraId="4CBB0EF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水性漆</w:t>
                  </w:r>
                </w:p>
              </w:tc>
              <w:tc>
                <w:tcPr>
                  <w:tcW w:w="612" w:type="pct"/>
                  <w:noWrap w:val="0"/>
                  <w:vAlign w:val="center"/>
                </w:tcPr>
                <w:p w14:paraId="7C9C041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12.38t/a</w:t>
                  </w:r>
                </w:p>
              </w:tc>
              <w:tc>
                <w:tcPr>
                  <w:tcW w:w="722" w:type="pct"/>
                  <w:noWrap w:val="0"/>
                  <w:vAlign w:val="center"/>
                </w:tcPr>
                <w:p w14:paraId="00F3DAF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noWrap w:val="0"/>
                  <w:vAlign w:val="center"/>
                </w:tcPr>
                <w:p w14:paraId="38602C7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noWrap w:val="0"/>
                  <w:vAlign w:val="center"/>
                </w:tcPr>
                <w:p w14:paraId="0A8C351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vMerge w:val="restart"/>
                  <w:noWrap w:val="0"/>
                  <w:vAlign w:val="center"/>
                </w:tcPr>
                <w:p w14:paraId="6612834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搬迁后不</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喷漆</w:t>
                  </w:r>
                </w:p>
              </w:tc>
            </w:tr>
            <w:tr w14:paraId="379BE7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5933A20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500" w:type="pct"/>
                  <w:noWrap w:val="0"/>
                  <w:vAlign w:val="center"/>
                </w:tcPr>
                <w:p w14:paraId="02A2E13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丙烯酸聚氨酯磁漆</w:t>
                  </w:r>
                </w:p>
              </w:tc>
              <w:tc>
                <w:tcPr>
                  <w:tcW w:w="612" w:type="pct"/>
                  <w:noWrap w:val="0"/>
                  <w:vAlign w:val="center"/>
                </w:tcPr>
                <w:p w14:paraId="01CCC45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4.90t/a</w:t>
                  </w:r>
                </w:p>
              </w:tc>
              <w:tc>
                <w:tcPr>
                  <w:tcW w:w="722" w:type="pct"/>
                  <w:noWrap w:val="0"/>
                  <w:vAlign w:val="center"/>
                </w:tcPr>
                <w:p w14:paraId="72F5ABB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noWrap w:val="0"/>
                  <w:vAlign w:val="center"/>
                </w:tcPr>
                <w:p w14:paraId="589267A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noWrap w:val="0"/>
                  <w:vAlign w:val="center"/>
                </w:tcPr>
                <w:p w14:paraId="4587BB6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vMerge w:val="continue"/>
                  <w:noWrap w:val="0"/>
                  <w:vAlign w:val="center"/>
                </w:tcPr>
                <w:p w14:paraId="671E349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7CD988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08F6B6E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500" w:type="pct"/>
                  <w:noWrap w:val="0"/>
                  <w:vAlign w:val="center"/>
                </w:tcPr>
                <w:p w14:paraId="1D63714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丙烯酸固化剂</w:t>
                  </w:r>
                </w:p>
              </w:tc>
              <w:tc>
                <w:tcPr>
                  <w:tcW w:w="612" w:type="pct"/>
                  <w:noWrap w:val="0"/>
                  <w:vAlign w:val="center"/>
                </w:tcPr>
                <w:p w14:paraId="5AB0C3E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1.22t/a</w:t>
                  </w:r>
                </w:p>
              </w:tc>
              <w:tc>
                <w:tcPr>
                  <w:tcW w:w="722" w:type="pct"/>
                  <w:noWrap w:val="0"/>
                  <w:vAlign w:val="center"/>
                </w:tcPr>
                <w:p w14:paraId="4CA9EAC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noWrap w:val="0"/>
                  <w:vAlign w:val="center"/>
                </w:tcPr>
                <w:p w14:paraId="167A9870">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noWrap w:val="0"/>
                  <w:vAlign w:val="center"/>
                </w:tcPr>
                <w:p w14:paraId="417F15B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vMerge w:val="continue"/>
                  <w:noWrap w:val="0"/>
                  <w:vAlign w:val="center"/>
                </w:tcPr>
                <w:p w14:paraId="483FD6F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2298DF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6519817B">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500" w:type="pct"/>
                  <w:noWrap w:val="0"/>
                  <w:vAlign w:val="center"/>
                </w:tcPr>
                <w:p w14:paraId="39732DD0">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丙烯酸稀释剂</w:t>
                  </w:r>
                </w:p>
              </w:tc>
              <w:tc>
                <w:tcPr>
                  <w:tcW w:w="612" w:type="pct"/>
                  <w:noWrap w:val="0"/>
                  <w:vAlign w:val="center"/>
                </w:tcPr>
                <w:p w14:paraId="6A70764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0.61t/a</w:t>
                  </w:r>
                </w:p>
              </w:tc>
              <w:tc>
                <w:tcPr>
                  <w:tcW w:w="722" w:type="pct"/>
                  <w:noWrap w:val="0"/>
                  <w:vAlign w:val="center"/>
                </w:tcPr>
                <w:p w14:paraId="612D0AC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noWrap w:val="0"/>
                  <w:vAlign w:val="center"/>
                </w:tcPr>
                <w:p w14:paraId="48A1359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noWrap w:val="0"/>
                  <w:vAlign w:val="center"/>
                </w:tcPr>
                <w:p w14:paraId="1B44050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vMerge w:val="continue"/>
                  <w:noWrap w:val="0"/>
                  <w:vAlign w:val="center"/>
                </w:tcPr>
                <w:p w14:paraId="77B27D7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4307E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6214ED0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500" w:type="pct"/>
                  <w:noWrap w:val="0"/>
                  <w:vAlign w:val="center"/>
                </w:tcPr>
                <w:p w14:paraId="06A48F6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电泳漆</w:t>
                  </w:r>
                </w:p>
              </w:tc>
              <w:tc>
                <w:tcPr>
                  <w:tcW w:w="612" w:type="pct"/>
                  <w:noWrap w:val="0"/>
                  <w:vAlign w:val="center"/>
                </w:tcPr>
                <w:p w14:paraId="420A028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10t/a</w:t>
                  </w:r>
                </w:p>
              </w:tc>
              <w:tc>
                <w:tcPr>
                  <w:tcW w:w="722" w:type="pct"/>
                  <w:noWrap w:val="0"/>
                  <w:vAlign w:val="center"/>
                </w:tcPr>
                <w:p w14:paraId="2E819C6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10t/a</w:t>
                  </w:r>
                </w:p>
              </w:tc>
              <w:tc>
                <w:tcPr>
                  <w:tcW w:w="722" w:type="pct"/>
                  <w:noWrap w:val="0"/>
                  <w:vAlign w:val="center"/>
                </w:tcPr>
                <w:p w14:paraId="7B816A5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漆库</w:t>
                  </w:r>
                </w:p>
                <w:p w14:paraId="42539ED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700" w:type="pct"/>
                  <w:noWrap w:val="0"/>
                  <w:vAlign w:val="center"/>
                </w:tcPr>
                <w:p w14:paraId="44AB78A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1t</w:t>
                  </w:r>
                </w:p>
              </w:tc>
              <w:tc>
                <w:tcPr>
                  <w:tcW w:w="1364" w:type="pct"/>
                  <w:noWrap w:val="0"/>
                  <w:vAlign w:val="center"/>
                </w:tcPr>
                <w:p w14:paraId="70E4AB2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不变</w:t>
                  </w:r>
                </w:p>
              </w:tc>
            </w:tr>
            <w:tr w14:paraId="2BE453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2A703D1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500" w:type="pct"/>
                  <w:noWrap w:val="0"/>
                  <w:vAlign w:val="center"/>
                </w:tcPr>
                <w:p w14:paraId="67196BB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脱脂剂</w:t>
                  </w:r>
                </w:p>
              </w:tc>
              <w:tc>
                <w:tcPr>
                  <w:tcW w:w="612" w:type="pct"/>
                  <w:noWrap w:val="0"/>
                  <w:vAlign w:val="center"/>
                </w:tcPr>
                <w:p w14:paraId="0D57ACC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5t/a</w:t>
                  </w:r>
                </w:p>
              </w:tc>
              <w:tc>
                <w:tcPr>
                  <w:tcW w:w="722" w:type="pct"/>
                  <w:noWrap w:val="0"/>
                  <w:vAlign w:val="center"/>
                </w:tcPr>
                <w:p w14:paraId="305DC59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t/a</w:t>
                  </w:r>
                </w:p>
              </w:tc>
              <w:tc>
                <w:tcPr>
                  <w:tcW w:w="1343" w:type="dxa"/>
                  <w:noWrap w:val="0"/>
                  <w:vAlign w:val="center"/>
                </w:tcPr>
                <w:p w14:paraId="741C73E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02" w:type="dxa"/>
                  <w:noWrap w:val="0"/>
                  <w:vAlign w:val="center"/>
                </w:tcPr>
                <w:p w14:paraId="7EA2718B">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noWrap w:val="0"/>
                  <w:vAlign w:val="center"/>
                </w:tcPr>
                <w:p w14:paraId="7593E11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搬迁后不脱脂</w:t>
                  </w:r>
                </w:p>
              </w:tc>
            </w:tr>
            <w:tr w14:paraId="515BDB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25C2AA8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500" w:type="pct"/>
                  <w:noWrap w:val="0"/>
                  <w:vAlign w:val="center"/>
                </w:tcPr>
                <w:p w14:paraId="71DF3FB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无磷</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陶</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化剂</w:t>
                  </w:r>
                </w:p>
              </w:tc>
              <w:tc>
                <w:tcPr>
                  <w:tcW w:w="612" w:type="pct"/>
                  <w:noWrap w:val="0"/>
                  <w:vAlign w:val="center"/>
                </w:tcPr>
                <w:p w14:paraId="626B1FD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5t/a</w:t>
                  </w:r>
                </w:p>
              </w:tc>
              <w:tc>
                <w:tcPr>
                  <w:tcW w:w="722" w:type="pct"/>
                  <w:noWrap w:val="0"/>
                  <w:vAlign w:val="center"/>
                </w:tcPr>
                <w:p w14:paraId="410D58F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t/a</w:t>
                  </w:r>
                </w:p>
              </w:tc>
              <w:tc>
                <w:tcPr>
                  <w:tcW w:w="1343" w:type="dxa"/>
                  <w:noWrap w:val="0"/>
                  <w:vAlign w:val="center"/>
                </w:tcPr>
                <w:p w14:paraId="6EB0E7B0">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02" w:type="dxa"/>
                  <w:noWrap w:val="0"/>
                  <w:vAlign w:val="center"/>
                </w:tcPr>
                <w:p w14:paraId="6709070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noWrap w:val="0"/>
                  <w:vAlign w:val="center"/>
                </w:tcPr>
                <w:p w14:paraId="3DFF070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搬迁后不陶化</w:t>
                  </w:r>
                </w:p>
              </w:tc>
            </w:tr>
            <w:tr w14:paraId="28C635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04B7001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w:t>
                  </w:r>
                </w:p>
              </w:tc>
              <w:tc>
                <w:tcPr>
                  <w:tcW w:w="500" w:type="pct"/>
                  <w:noWrap w:val="0"/>
                  <w:vAlign w:val="center"/>
                </w:tcPr>
                <w:p w14:paraId="217533DB">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氧气</w:t>
                  </w:r>
                </w:p>
              </w:tc>
              <w:tc>
                <w:tcPr>
                  <w:tcW w:w="612" w:type="pct"/>
                  <w:noWrap w:val="0"/>
                  <w:vAlign w:val="center"/>
                </w:tcPr>
                <w:p w14:paraId="4E40AB4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shd w:val="clear" w:color="auto" w:fill="auto"/>
                  <w:noWrap w:val="0"/>
                  <w:vAlign w:val="center"/>
                </w:tcPr>
                <w:p w14:paraId="5BACF75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noWrap w:val="0"/>
                  <w:vAlign w:val="center"/>
                </w:tcPr>
                <w:p w14:paraId="7E6395F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原料区/瓶装</w:t>
                  </w:r>
                </w:p>
              </w:tc>
              <w:tc>
                <w:tcPr>
                  <w:tcW w:w="700" w:type="pct"/>
                  <w:noWrap w:val="0"/>
                  <w:vAlign w:val="center"/>
                </w:tcPr>
                <w:p w14:paraId="36974CF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5瓶</w:t>
                  </w:r>
                </w:p>
              </w:tc>
              <w:tc>
                <w:tcPr>
                  <w:tcW w:w="1364" w:type="pct"/>
                  <w:noWrap w:val="0"/>
                  <w:vAlign w:val="center"/>
                </w:tcPr>
                <w:p w14:paraId="1D47121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4DD67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2A4364E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w:t>
                  </w:r>
                </w:p>
              </w:tc>
              <w:tc>
                <w:tcPr>
                  <w:tcW w:w="500" w:type="pct"/>
                  <w:noWrap w:val="0"/>
                  <w:vAlign w:val="center"/>
                </w:tcPr>
                <w:p w14:paraId="56E0E1B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丙烷</w:t>
                  </w:r>
                </w:p>
              </w:tc>
              <w:tc>
                <w:tcPr>
                  <w:tcW w:w="612" w:type="pct"/>
                  <w:noWrap w:val="0"/>
                  <w:vAlign w:val="center"/>
                </w:tcPr>
                <w:p w14:paraId="51E0AD1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shd w:val="clear" w:color="auto" w:fill="auto"/>
                  <w:noWrap w:val="0"/>
                  <w:vAlign w:val="center"/>
                </w:tcPr>
                <w:p w14:paraId="4794618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noWrap w:val="0"/>
                  <w:vAlign w:val="center"/>
                </w:tcPr>
                <w:p w14:paraId="3B9229F0">
                  <w:pPr>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原料区/瓶装</w:t>
                  </w:r>
                </w:p>
              </w:tc>
              <w:tc>
                <w:tcPr>
                  <w:tcW w:w="700" w:type="pct"/>
                  <w:noWrap w:val="0"/>
                  <w:vAlign w:val="center"/>
                </w:tcPr>
                <w:p w14:paraId="3EAD7DA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5瓶</w:t>
                  </w:r>
                </w:p>
              </w:tc>
              <w:tc>
                <w:tcPr>
                  <w:tcW w:w="1364" w:type="pct"/>
                  <w:noWrap w:val="0"/>
                  <w:vAlign w:val="center"/>
                </w:tcPr>
                <w:p w14:paraId="3791967B">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55E414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6A01C0A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13</w:t>
                  </w:r>
                </w:p>
              </w:tc>
              <w:tc>
                <w:tcPr>
                  <w:tcW w:w="500" w:type="pct"/>
                  <w:noWrap w:val="0"/>
                  <w:vAlign w:val="center"/>
                </w:tcPr>
                <w:p w14:paraId="5A535C4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二氧化碳</w:t>
                  </w:r>
                </w:p>
              </w:tc>
              <w:tc>
                <w:tcPr>
                  <w:tcW w:w="612" w:type="pct"/>
                  <w:noWrap w:val="0"/>
                  <w:vAlign w:val="center"/>
                </w:tcPr>
                <w:p w14:paraId="4F357E4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shd w:val="clear" w:color="auto" w:fill="auto"/>
                  <w:noWrap w:val="0"/>
                  <w:vAlign w:val="center"/>
                </w:tcPr>
                <w:p w14:paraId="34E01B4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noWrap w:val="0"/>
                  <w:vAlign w:val="center"/>
                </w:tcPr>
                <w:p w14:paraId="63B0709E">
                  <w:pPr>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原料区/瓶装</w:t>
                  </w:r>
                </w:p>
              </w:tc>
              <w:tc>
                <w:tcPr>
                  <w:tcW w:w="700" w:type="pct"/>
                  <w:noWrap w:val="0"/>
                  <w:vAlign w:val="center"/>
                </w:tcPr>
                <w:p w14:paraId="4B10EE6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瓶</w:t>
                  </w:r>
                </w:p>
              </w:tc>
              <w:tc>
                <w:tcPr>
                  <w:tcW w:w="1364" w:type="pct"/>
                  <w:noWrap w:val="0"/>
                  <w:vAlign w:val="center"/>
                </w:tcPr>
                <w:p w14:paraId="5CEDE4D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3A744B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2B7A08B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14</w:t>
                  </w:r>
                </w:p>
              </w:tc>
              <w:tc>
                <w:tcPr>
                  <w:tcW w:w="500" w:type="pct"/>
                  <w:noWrap w:val="0"/>
                  <w:vAlign w:val="center"/>
                </w:tcPr>
                <w:p w14:paraId="169A3C2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氩气</w:t>
                  </w:r>
                </w:p>
              </w:tc>
              <w:tc>
                <w:tcPr>
                  <w:tcW w:w="612" w:type="pct"/>
                  <w:noWrap w:val="0"/>
                  <w:vAlign w:val="center"/>
                </w:tcPr>
                <w:p w14:paraId="32F0FCF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shd w:val="clear" w:color="auto" w:fill="auto"/>
                  <w:noWrap w:val="0"/>
                  <w:vAlign w:val="center"/>
                </w:tcPr>
                <w:p w14:paraId="1D7D9AF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50瓶/a</w:t>
                  </w:r>
                </w:p>
              </w:tc>
              <w:tc>
                <w:tcPr>
                  <w:tcW w:w="722" w:type="pct"/>
                  <w:noWrap w:val="0"/>
                  <w:vAlign w:val="center"/>
                </w:tcPr>
                <w:p w14:paraId="3D26A820">
                  <w:pPr>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原料区/瓶装</w:t>
                  </w:r>
                </w:p>
              </w:tc>
              <w:tc>
                <w:tcPr>
                  <w:tcW w:w="700" w:type="pct"/>
                  <w:noWrap w:val="0"/>
                  <w:vAlign w:val="center"/>
                </w:tcPr>
                <w:p w14:paraId="041449C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5瓶</w:t>
                  </w:r>
                </w:p>
              </w:tc>
              <w:tc>
                <w:tcPr>
                  <w:tcW w:w="1364" w:type="pct"/>
                  <w:noWrap w:val="0"/>
                  <w:vAlign w:val="center"/>
                </w:tcPr>
                <w:p w14:paraId="3F1AFC2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041F74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2C98279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c>
                <w:tcPr>
                  <w:tcW w:w="500" w:type="pct"/>
                  <w:noWrap w:val="0"/>
                  <w:vAlign w:val="center"/>
                </w:tcPr>
                <w:p w14:paraId="2F1FDE2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混合气</w:t>
                  </w:r>
                </w:p>
              </w:tc>
              <w:tc>
                <w:tcPr>
                  <w:tcW w:w="612" w:type="pct"/>
                  <w:noWrap w:val="0"/>
                  <w:vAlign w:val="center"/>
                </w:tcPr>
                <w:p w14:paraId="5C3CD1E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200瓶/a</w:t>
                  </w:r>
                </w:p>
              </w:tc>
              <w:tc>
                <w:tcPr>
                  <w:tcW w:w="722" w:type="pct"/>
                  <w:shd w:val="clear" w:color="auto" w:fill="auto"/>
                  <w:noWrap w:val="0"/>
                  <w:vAlign w:val="center"/>
                </w:tcPr>
                <w:p w14:paraId="02B4542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瓶/a</w:t>
                  </w:r>
                </w:p>
              </w:tc>
              <w:tc>
                <w:tcPr>
                  <w:tcW w:w="722" w:type="pct"/>
                  <w:noWrap w:val="0"/>
                  <w:vAlign w:val="center"/>
                </w:tcPr>
                <w:p w14:paraId="30680A09">
                  <w:pPr>
                    <w:snapToGrid w:val="0"/>
                    <w:spacing w:line="240" w:lineRule="auto"/>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原料区/瓶装</w:t>
                  </w:r>
                </w:p>
              </w:tc>
              <w:tc>
                <w:tcPr>
                  <w:tcW w:w="700" w:type="pct"/>
                  <w:noWrap w:val="0"/>
                  <w:vAlign w:val="center"/>
                </w:tcPr>
                <w:p w14:paraId="65510FD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5瓶</w:t>
                  </w:r>
                </w:p>
              </w:tc>
              <w:tc>
                <w:tcPr>
                  <w:tcW w:w="1364" w:type="pct"/>
                  <w:noWrap w:val="0"/>
                  <w:vAlign w:val="center"/>
                </w:tcPr>
                <w:p w14:paraId="1325A2A0">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5FC31F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75EDF26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w:t>
                  </w:r>
                </w:p>
              </w:tc>
              <w:tc>
                <w:tcPr>
                  <w:tcW w:w="500" w:type="pct"/>
                  <w:noWrap w:val="0"/>
                  <w:vAlign w:val="center"/>
                </w:tcPr>
                <w:p w14:paraId="0A07FF2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酸洗液</w:t>
                  </w:r>
                </w:p>
              </w:tc>
              <w:tc>
                <w:tcPr>
                  <w:tcW w:w="612" w:type="pct"/>
                  <w:noWrap w:val="0"/>
                  <w:vAlign w:val="center"/>
                </w:tcPr>
                <w:p w14:paraId="7967B7C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noWrap w:val="0"/>
                  <w:vAlign w:val="center"/>
                </w:tcPr>
                <w:p w14:paraId="1EBF69C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166t</w:t>
                  </w:r>
                </w:p>
              </w:tc>
              <w:tc>
                <w:tcPr>
                  <w:tcW w:w="722" w:type="pct"/>
                  <w:noWrap w:val="0"/>
                  <w:vAlign w:val="center"/>
                </w:tcPr>
                <w:p w14:paraId="15931CB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仓储区</w:t>
                  </w:r>
                </w:p>
                <w:p w14:paraId="5A3A949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700" w:type="pct"/>
                  <w:noWrap w:val="0"/>
                  <w:vAlign w:val="center"/>
                </w:tcPr>
                <w:p w14:paraId="50512FB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1t</w:t>
                  </w:r>
                </w:p>
              </w:tc>
              <w:tc>
                <w:tcPr>
                  <w:tcW w:w="1364" w:type="pct"/>
                  <w:noWrap w:val="0"/>
                  <w:vAlign w:val="center"/>
                </w:tcPr>
                <w:p w14:paraId="018A950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搬迁后新增</w:t>
                  </w:r>
                </w:p>
              </w:tc>
            </w:tr>
            <w:tr w14:paraId="0887C9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519085C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w:t>
                  </w:r>
                </w:p>
              </w:tc>
              <w:tc>
                <w:tcPr>
                  <w:tcW w:w="500" w:type="pct"/>
                  <w:noWrap w:val="0"/>
                  <w:vAlign w:val="center"/>
                </w:tcPr>
                <w:p w14:paraId="35499BE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表调液</w:t>
                  </w:r>
                </w:p>
              </w:tc>
              <w:tc>
                <w:tcPr>
                  <w:tcW w:w="612" w:type="pct"/>
                  <w:noWrap w:val="0"/>
                  <w:vAlign w:val="center"/>
                </w:tcPr>
                <w:p w14:paraId="06C2E5A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noWrap w:val="0"/>
                  <w:vAlign w:val="center"/>
                </w:tcPr>
                <w:p w14:paraId="1E7E62E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15.49t</w:t>
                  </w:r>
                </w:p>
              </w:tc>
              <w:tc>
                <w:tcPr>
                  <w:tcW w:w="722" w:type="pct"/>
                  <w:noWrap w:val="0"/>
                  <w:vAlign w:val="center"/>
                </w:tcPr>
                <w:p w14:paraId="6B4FB07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仓储区</w:t>
                  </w:r>
                </w:p>
                <w:p w14:paraId="0D187F2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700" w:type="pct"/>
                  <w:noWrap w:val="0"/>
                  <w:vAlign w:val="center"/>
                </w:tcPr>
                <w:p w14:paraId="5B88AF64">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0.5t</w:t>
                  </w:r>
                </w:p>
              </w:tc>
              <w:tc>
                <w:tcPr>
                  <w:tcW w:w="1364" w:type="pct"/>
                  <w:noWrap w:val="0"/>
                  <w:vAlign w:val="center"/>
                </w:tcPr>
                <w:p w14:paraId="4759535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搬迁后新增</w:t>
                  </w:r>
                </w:p>
              </w:tc>
            </w:tr>
            <w:tr w14:paraId="4653B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128054F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w:t>
                  </w:r>
                </w:p>
              </w:tc>
              <w:tc>
                <w:tcPr>
                  <w:tcW w:w="500" w:type="pct"/>
                  <w:noWrap w:val="0"/>
                  <w:vAlign w:val="center"/>
                </w:tcPr>
                <w:p w14:paraId="26AE08D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磷化液</w:t>
                  </w:r>
                </w:p>
              </w:tc>
              <w:tc>
                <w:tcPr>
                  <w:tcW w:w="1138" w:type="dxa"/>
                  <w:noWrap w:val="0"/>
                  <w:vAlign w:val="center"/>
                </w:tcPr>
                <w:p w14:paraId="731B23C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1343" w:type="dxa"/>
                  <w:noWrap w:val="0"/>
                  <w:vAlign w:val="center"/>
                </w:tcPr>
                <w:p w14:paraId="3ACA63B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166t</w:t>
                  </w:r>
                </w:p>
              </w:tc>
              <w:tc>
                <w:tcPr>
                  <w:tcW w:w="1343" w:type="dxa"/>
                  <w:noWrap w:val="0"/>
                  <w:vAlign w:val="center"/>
                </w:tcPr>
                <w:p w14:paraId="37B0F58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仓储区</w:t>
                  </w:r>
                </w:p>
                <w:p w14:paraId="2D8C880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1302" w:type="dxa"/>
                  <w:noWrap w:val="0"/>
                  <w:vAlign w:val="center"/>
                </w:tcPr>
                <w:p w14:paraId="4A7B39B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2t</w:t>
                  </w:r>
                </w:p>
              </w:tc>
              <w:tc>
                <w:tcPr>
                  <w:tcW w:w="1364" w:type="pct"/>
                  <w:noWrap w:val="0"/>
                  <w:vAlign w:val="center"/>
                </w:tcPr>
                <w:p w14:paraId="5F04E2C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搬迁后新增</w:t>
                  </w:r>
                </w:p>
              </w:tc>
            </w:tr>
            <w:tr w14:paraId="5CEFC2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24FA492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19</w:t>
                  </w:r>
                </w:p>
              </w:tc>
              <w:tc>
                <w:tcPr>
                  <w:tcW w:w="500" w:type="pct"/>
                  <w:shd w:val="clear" w:color="auto" w:fill="auto"/>
                  <w:noWrap w:val="0"/>
                  <w:vAlign w:val="center"/>
                </w:tcPr>
                <w:p w14:paraId="46C27B7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腻子</w:t>
                  </w:r>
                </w:p>
              </w:tc>
              <w:tc>
                <w:tcPr>
                  <w:tcW w:w="612" w:type="pct"/>
                  <w:shd w:val="clear" w:color="auto" w:fill="auto"/>
                  <w:noWrap w:val="0"/>
                  <w:vAlign w:val="center"/>
                </w:tcPr>
                <w:p w14:paraId="038F727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8t/a</w:t>
                  </w:r>
                </w:p>
              </w:tc>
              <w:tc>
                <w:tcPr>
                  <w:tcW w:w="722" w:type="pct"/>
                  <w:shd w:val="clear" w:color="auto" w:fill="auto"/>
                  <w:noWrap w:val="0"/>
                  <w:vAlign w:val="center"/>
                </w:tcPr>
                <w:p w14:paraId="68773D1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722" w:type="pct"/>
                  <w:shd w:val="clear" w:color="auto" w:fill="auto"/>
                  <w:noWrap w:val="0"/>
                  <w:vAlign w:val="center"/>
                </w:tcPr>
                <w:p w14:paraId="2D33EDB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shd w:val="clear" w:color="auto" w:fill="auto"/>
                  <w:noWrap w:val="0"/>
                  <w:vAlign w:val="center"/>
                </w:tcPr>
                <w:p w14:paraId="4DF5289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noWrap w:val="0"/>
                  <w:vAlign w:val="center"/>
                </w:tcPr>
                <w:p w14:paraId="71FEC88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搬迁后不打磨</w:t>
                  </w:r>
                </w:p>
              </w:tc>
            </w:tr>
            <w:tr w14:paraId="13374C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75D07A8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c>
                <w:tcPr>
                  <w:tcW w:w="500" w:type="pct"/>
                  <w:noWrap w:val="0"/>
                  <w:vAlign w:val="center"/>
                </w:tcPr>
                <w:p w14:paraId="1D90533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五金件</w:t>
                  </w:r>
                </w:p>
              </w:tc>
              <w:tc>
                <w:tcPr>
                  <w:tcW w:w="612" w:type="pct"/>
                  <w:noWrap w:val="0"/>
                  <w:vAlign w:val="center"/>
                </w:tcPr>
                <w:p w14:paraId="77EB4451">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若干</w:t>
                  </w:r>
                </w:p>
              </w:tc>
              <w:tc>
                <w:tcPr>
                  <w:tcW w:w="722" w:type="pct"/>
                  <w:noWrap w:val="0"/>
                  <w:vAlign w:val="center"/>
                </w:tcPr>
                <w:p w14:paraId="3C11463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若干</w:t>
                  </w:r>
                </w:p>
              </w:tc>
              <w:tc>
                <w:tcPr>
                  <w:tcW w:w="722" w:type="pct"/>
                  <w:noWrap w:val="0"/>
                  <w:vAlign w:val="center"/>
                </w:tcPr>
                <w:p w14:paraId="40761C9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仓储区</w:t>
                  </w:r>
                </w:p>
                <w:p w14:paraId="32CEF96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箱装</w:t>
                  </w:r>
                </w:p>
              </w:tc>
              <w:tc>
                <w:tcPr>
                  <w:tcW w:w="700" w:type="pct"/>
                  <w:noWrap w:val="0"/>
                  <w:vAlign w:val="center"/>
                </w:tcPr>
                <w:p w14:paraId="313B759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noWrap w:val="0"/>
                  <w:vAlign w:val="center"/>
                </w:tcPr>
                <w:p w14:paraId="2FCAF03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704BDF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6DA0FF0C">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w:t>
                  </w:r>
                </w:p>
              </w:tc>
              <w:tc>
                <w:tcPr>
                  <w:tcW w:w="500" w:type="pct"/>
                  <w:noWrap w:val="0"/>
                  <w:vAlign w:val="center"/>
                </w:tcPr>
                <w:p w14:paraId="1A7E3D4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切削液</w:t>
                  </w:r>
                </w:p>
              </w:tc>
              <w:tc>
                <w:tcPr>
                  <w:tcW w:w="612" w:type="pct"/>
                  <w:noWrap w:val="0"/>
                  <w:vAlign w:val="center"/>
                </w:tcPr>
                <w:p w14:paraId="228C27A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722" w:type="pct"/>
                  <w:shd w:val="clear" w:color="auto" w:fill="auto"/>
                  <w:noWrap w:val="0"/>
                  <w:vAlign w:val="center"/>
                </w:tcPr>
                <w:p w14:paraId="0DC63EC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722" w:type="pct"/>
                  <w:noWrap w:val="0"/>
                  <w:vAlign w:val="center"/>
                </w:tcPr>
                <w:p w14:paraId="5AFACE26">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仓储区</w:t>
                  </w:r>
                </w:p>
                <w:p w14:paraId="7EC3CD3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桶装</w:t>
                  </w:r>
                </w:p>
              </w:tc>
              <w:tc>
                <w:tcPr>
                  <w:tcW w:w="700" w:type="pct"/>
                  <w:noWrap w:val="0"/>
                  <w:vAlign w:val="center"/>
                </w:tcPr>
                <w:p w14:paraId="5811842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0.1t</w:t>
                  </w:r>
                </w:p>
              </w:tc>
              <w:tc>
                <w:tcPr>
                  <w:tcW w:w="1364" w:type="pct"/>
                  <w:noWrap w:val="0"/>
                  <w:vAlign w:val="center"/>
                </w:tcPr>
                <w:p w14:paraId="2AAAAA88">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不变</w:t>
                  </w:r>
                </w:p>
              </w:tc>
            </w:tr>
            <w:tr w14:paraId="1772C4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noWrap w:val="0"/>
                  <w:vAlign w:val="center"/>
                </w:tcPr>
                <w:p w14:paraId="66E08BA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w:t>
                  </w:r>
                </w:p>
              </w:tc>
              <w:tc>
                <w:tcPr>
                  <w:tcW w:w="500" w:type="pct"/>
                  <w:noWrap w:val="0"/>
                  <w:vAlign w:val="center"/>
                </w:tcPr>
                <w:p w14:paraId="6B67012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w:t>
                  </w:r>
                </w:p>
              </w:tc>
              <w:tc>
                <w:tcPr>
                  <w:tcW w:w="612" w:type="pct"/>
                  <w:noWrap w:val="0"/>
                  <w:vAlign w:val="center"/>
                </w:tcPr>
                <w:p w14:paraId="687DF6CA">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11491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w:t>
                  </w:r>
                </w:p>
              </w:tc>
              <w:tc>
                <w:tcPr>
                  <w:tcW w:w="722" w:type="pct"/>
                  <w:noWrap w:val="0"/>
                  <w:vAlign w:val="center"/>
                </w:tcPr>
                <w:p w14:paraId="283624A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20654.67m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w:t>
                  </w:r>
                </w:p>
              </w:tc>
              <w:tc>
                <w:tcPr>
                  <w:tcW w:w="722" w:type="pct"/>
                  <w:noWrap w:val="0"/>
                  <w:vAlign w:val="center"/>
                </w:tcPr>
                <w:p w14:paraId="436FE9D5">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noWrap w:val="0"/>
                  <w:vAlign w:val="center"/>
                </w:tcPr>
                <w:p w14:paraId="1208B51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noWrap w:val="0"/>
                  <w:vAlign w:val="center"/>
                </w:tcPr>
                <w:p w14:paraId="49668B4B">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新鲜水</w:t>
                  </w:r>
                </w:p>
              </w:tc>
            </w:tr>
            <w:tr w14:paraId="08CCB1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4B97D90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w:t>
                  </w:r>
                </w:p>
              </w:tc>
              <w:tc>
                <w:tcPr>
                  <w:tcW w:w="500" w:type="pct"/>
                  <w:noWrap w:val="0"/>
                  <w:vAlign w:val="center"/>
                </w:tcPr>
                <w:p w14:paraId="508273C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电</w:t>
                  </w:r>
                </w:p>
              </w:tc>
              <w:tc>
                <w:tcPr>
                  <w:tcW w:w="612" w:type="pct"/>
                  <w:noWrap w:val="0"/>
                  <w:vAlign w:val="center"/>
                </w:tcPr>
                <w:p w14:paraId="1301147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85万kW.h/a</w:t>
                  </w:r>
                </w:p>
              </w:tc>
              <w:tc>
                <w:tcPr>
                  <w:tcW w:w="722" w:type="pct"/>
                  <w:noWrap w:val="0"/>
                  <w:vAlign w:val="center"/>
                </w:tcPr>
                <w:p w14:paraId="0C6881CD">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85万kW.h/a</w:t>
                  </w:r>
                </w:p>
              </w:tc>
              <w:tc>
                <w:tcPr>
                  <w:tcW w:w="722" w:type="pct"/>
                  <w:noWrap w:val="0"/>
                  <w:vAlign w:val="center"/>
                </w:tcPr>
                <w:p w14:paraId="58C842E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0" w:type="pct"/>
                  <w:noWrap w:val="0"/>
                  <w:vAlign w:val="center"/>
                </w:tcPr>
                <w:p w14:paraId="40F23249">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364" w:type="pct"/>
                  <w:noWrap w:val="0"/>
                  <w:vAlign w:val="center"/>
                </w:tcPr>
                <w:p w14:paraId="7AA42263">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4AA61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7" w:type="pct"/>
                  <w:shd w:val="clear" w:color="auto" w:fill="auto"/>
                  <w:noWrap w:val="0"/>
                  <w:vAlign w:val="center"/>
                </w:tcPr>
                <w:p w14:paraId="43BB191F">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19</w:t>
                  </w:r>
                </w:p>
              </w:tc>
              <w:tc>
                <w:tcPr>
                  <w:tcW w:w="500" w:type="pct"/>
                  <w:noWrap w:val="0"/>
                  <w:vAlign w:val="center"/>
                </w:tcPr>
                <w:p w14:paraId="28EA335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液化石油气</w:t>
                  </w:r>
                </w:p>
              </w:tc>
              <w:tc>
                <w:tcPr>
                  <w:tcW w:w="612" w:type="pct"/>
                  <w:noWrap w:val="0"/>
                  <w:vAlign w:val="center"/>
                </w:tcPr>
                <w:p w14:paraId="2F08027B">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36t/a</w:t>
                  </w:r>
                </w:p>
              </w:tc>
              <w:tc>
                <w:tcPr>
                  <w:tcW w:w="722" w:type="pct"/>
                  <w:noWrap w:val="0"/>
                  <w:vAlign w:val="center"/>
                </w:tcPr>
                <w:p w14:paraId="07850547">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13.59</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t/a</w:t>
                  </w:r>
                </w:p>
              </w:tc>
              <w:tc>
                <w:tcPr>
                  <w:tcW w:w="722" w:type="pct"/>
                  <w:noWrap w:val="0"/>
                  <w:vAlign w:val="center"/>
                </w:tcPr>
                <w:p w14:paraId="78FFEFB0">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液化气库房</w:t>
                  </w:r>
                </w:p>
              </w:tc>
              <w:tc>
                <w:tcPr>
                  <w:tcW w:w="700" w:type="pct"/>
                  <w:noWrap w:val="0"/>
                  <w:vAlign w:val="center"/>
                </w:tcPr>
                <w:p w14:paraId="021CF65E">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5t</w:t>
                  </w:r>
                </w:p>
              </w:tc>
              <w:tc>
                <w:tcPr>
                  <w:tcW w:w="1364" w:type="pct"/>
                  <w:noWrap w:val="0"/>
                  <w:vAlign w:val="center"/>
                </w:tcPr>
                <w:p w14:paraId="593029C2">
                  <w:pPr>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不建设喷漆烘干房，固化烘道变为固化室，用气量减少</w:t>
                  </w:r>
                </w:p>
              </w:tc>
            </w:tr>
          </w:tbl>
          <w:p w14:paraId="35F02784">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left"/>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塑粉用量计算说明：</w:t>
            </w:r>
          </w:p>
          <w:p w14:paraId="37F47DF8">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本项目需要</w:t>
            </w:r>
            <w:r>
              <w:rPr>
                <w:rFonts w:hint="eastAsia" w:ascii="Times New Roman" w:hAnsi="Times New Roman" w:eastAsia="宋体" w:cs="Times New Roman"/>
                <w:color w:val="auto"/>
                <w:sz w:val="24"/>
                <w:szCs w:val="24"/>
                <w:highlight w:val="none"/>
                <w:lang w:val="en-US" w:eastAsia="zh-CN"/>
              </w:rPr>
              <w:t>喷塑</w:t>
            </w:r>
            <w:r>
              <w:rPr>
                <w:rFonts w:hint="default"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val="en-US" w:eastAsia="zh-CN"/>
              </w:rPr>
              <w:t>工件为500套电机箱、500套挡风板、500套防护壳及1500套挖机发动机罩；根据企业生产经验，其中电机箱尺寸约为</w:t>
            </w:r>
            <w:r>
              <w:rPr>
                <w:rFonts w:hint="default" w:ascii="Times New Roman" w:hAnsi="Times New Roman" w:eastAsia="宋体" w:cs="Times New Roman"/>
                <w:color w:val="auto"/>
                <w:sz w:val="24"/>
                <w:szCs w:val="24"/>
                <w:highlight w:val="none"/>
                <w:lang w:val="en-US" w:eastAsia="zh-CN"/>
              </w:rPr>
              <w:t>L1m×W0.7m×H0.5m</w:t>
            </w:r>
            <w:r>
              <w:rPr>
                <w:rFonts w:hint="eastAsia" w:ascii="Times New Roman" w:hAnsi="Times New Roman" w:eastAsia="宋体" w:cs="Times New Roman"/>
                <w:color w:val="auto"/>
                <w:sz w:val="24"/>
                <w:szCs w:val="24"/>
                <w:highlight w:val="none"/>
                <w:lang w:val="en-US" w:eastAsia="zh-CN"/>
              </w:rPr>
              <w:t>，则单个喷塑面积约为</w:t>
            </w:r>
            <w:r>
              <w:rPr>
                <w:rFonts w:hint="default" w:ascii="Times New Roman" w:hAnsi="Times New Roman" w:eastAsia="宋体" w:cs="Times New Roman"/>
                <w:sz w:val="24"/>
                <w:szCs w:val="24"/>
              </w:rPr>
              <w:t>3.1</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auto"/>
                <w:sz w:val="24"/>
                <w:szCs w:val="24"/>
                <w:highlight w:val="none"/>
                <w:lang w:val="en-US" w:eastAsia="zh-CN"/>
              </w:rPr>
              <w:t>挡风板尺寸约为</w:t>
            </w:r>
            <w:r>
              <w:rPr>
                <w:rFonts w:hint="default" w:ascii="Times New Roman" w:hAnsi="Times New Roman" w:eastAsia="宋体" w:cs="Times New Roman"/>
                <w:color w:val="auto"/>
                <w:sz w:val="24"/>
                <w:szCs w:val="24"/>
                <w:highlight w:val="none"/>
                <w:lang w:val="en-US" w:eastAsia="zh-CN"/>
              </w:rPr>
              <w:t>L1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m×W</w:t>
            </w:r>
            <w:r>
              <w:rPr>
                <w:rFonts w:hint="eastAsia" w:ascii="Times New Roman" w:hAnsi="Times New Roman" w:eastAsia="宋体" w:cs="Times New Roman"/>
                <w:color w:val="auto"/>
                <w:sz w:val="24"/>
                <w:szCs w:val="24"/>
                <w:highlight w:val="none"/>
                <w:lang w:val="en-US" w:eastAsia="zh-CN"/>
              </w:rPr>
              <w:t>1.05</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，金属边框厚度0.06m，边框截面厚度0.025m，挡风板仅需喷涂边框，玻璃区域无需喷涂，内玻璃开口1.28m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0.93m，则</w:t>
            </w:r>
            <w:r>
              <w:rPr>
                <w:rFonts w:ascii="宋体" w:hAnsi="宋体" w:eastAsia="宋体" w:cs="宋体"/>
                <w:sz w:val="24"/>
                <w:szCs w:val="24"/>
              </w:rPr>
              <w:t>边框正面</w:t>
            </w:r>
            <w:r>
              <w:rPr>
                <w:rFonts w:hint="eastAsia" w:ascii="宋体" w:hAnsi="宋体" w:eastAsia="宋体" w:cs="宋体"/>
                <w:sz w:val="24"/>
                <w:szCs w:val="24"/>
                <w:lang w:eastAsia="zh-CN"/>
              </w:rPr>
              <w:t>及反面喷涂</w:t>
            </w:r>
            <w:r>
              <w:rPr>
                <w:rFonts w:hint="eastAsia" w:ascii="Times New Roman" w:hAnsi="Times New Roman" w:eastAsia="宋体" w:cs="Times New Roman"/>
                <w:color w:val="auto"/>
                <w:sz w:val="24"/>
                <w:szCs w:val="24"/>
                <w:highlight w:val="none"/>
                <w:lang w:val="en-US" w:eastAsia="zh-CN"/>
              </w:rPr>
              <w:t>面积约为</w:t>
            </w:r>
            <w:r>
              <w:rPr>
                <w:rFonts w:hint="eastAsia" w:ascii="Times New Roman" w:hAnsi="Times New Roman" w:eastAsia="宋体" w:cs="Times New Roman"/>
                <w:sz w:val="24"/>
                <w:szCs w:val="24"/>
                <w:lang w:val="en-US" w:eastAsia="zh-CN"/>
              </w:rPr>
              <w:t>0.6m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，侧面（外周长）喷塑面积为外框周长</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vertAlign w:val="baseline"/>
                <w:lang w:val="en-US" w:eastAsia="zh-CN"/>
              </w:rPr>
              <w:t>型材厚度：S</w:t>
            </w:r>
            <w:r>
              <w:rPr>
                <w:rFonts w:hint="eastAsia" w:ascii="Times New Roman" w:hAnsi="Times New Roman" w:eastAsia="宋体" w:cs="Times New Roman"/>
                <w:sz w:val="24"/>
                <w:szCs w:val="24"/>
                <w:vertAlign w:val="subscript"/>
                <w:lang w:val="en-US" w:eastAsia="zh-CN"/>
              </w:rPr>
              <w:t>外侧</w:t>
            </w:r>
            <w:r>
              <w:rPr>
                <w:rFonts w:hint="eastAsia" w:ascii="Times New Roman" w:hAnsi="Times New Roman" w:eastAsia="宋体" w:cs="Times New Roman"/>
                <w:sz w:val="24"/>
                <w:szCs w:val="24"/>
                <w:vertAlign w:val="baseli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vertAlign w:val="baseline"/>
                <w:lang w:val="en-US" w:eastAsia="zh-CN"/>
              </w:rPr>
              <w:t>(1.4+1.05)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vertAlign w:val="baseline"/>
                <w:lang w:val="en-US" w:eastAsia="zh-CN"/>
              </w:rPr>
              <w:t>0.025=0.1225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ascii="宋体" w:hAnsi="宋体" w:eastAsia="宋体" w:cs="宋体"/>
                <w:sz w:val="24"/>
                <w:szCs w:val="24"/>
              </w:rPr>
              <w:t>内圈（玻璃开口）喷塑面积</w:t>
            </w:r>
            <w:r>
              <w:rPr>
                <w:rFonts w:hint="eastAsia" w:ascii="宋体" w:hAnsi="宋体" w:eastAsia="宋体" w:cs="宋体"/>
                <w:sz w:val="24"/>
                <w:szCs w:val="24"/>
                <w:lang w:eastAsia="zh-CN"/>
              </w:rPr>
              <w:t>为内框周长</w:t>
            </w:r>
            <w:r>
              <w:rPr>
                <w:rFonts w:hint="default" w:ascii="Times New Roman" w:hAnsi="Times New Roman" w:eastAsia="宋体" w:cs="Times New Roman"/>
                <w:color w:val="auto"/>
                <w:sz w:val="24"/>
                <w:szCs w:val="24"/>
                <w:highlight w:val="none"/>
                <w:lang w:val="en-US" w:eastAsia="zh-CN"/>
              </w:rPr>
              <w:t>×</w:t>
            </w:r>
            <w:r>
              <w:rPr>
                <w:rFonts w:hint="eastAsia" w:ascii="宋体" w:hAnsi="宋体" w:eastAsia="宋体" w:cs="宋体"/>
                <w:sz w:val="24"/>
                <w:szCs w:val="24"/>
                <w:lang w:eastAsia="zh-CN"/>
              </w:rPr>
              <w:t>型材厚度（内圈金属边）：</w:t>
            </w:r>
            <w:r>
              <w:rPr>
                <w:rFonts w:hint="eastAsia" w:ascii="Times New Roman" w:hAnsi="Times New Roman" w:eastAsia="宋体" w:cs="Times New Roman"/>
                <w:sz w:val="24"/>
                <w:szCs w:val="24"/>
                <w:vertAlign w:val="baseline"/>
                <w:lang w:val="en-US" w:eastAsia="zh-CN"/>
              </w:rPr>
              <w:t>S</w:t>
            </w:r>
            <w:r>
              <w:rPr>
                <w:rFonts w:hint="eastAsia" w:ascii="Times New Roman" w:hAnsi="Times New Roman" w:eastAsia="宋体" w:cs="Times New Roman"/>
                <w:sz w:val="24"/>
                <w:szCs w:val="24"/>
                <w:vertAlign w:val="subscript"/>
                <w:lang w:val="en-US" w:eastAsia="zh-CN"/>
              </w:rPr>
              <w:t>内侧</w:t>
            </w:r>
            <w:r>
              <w:rPr>
                <w:rFonts w:hint="eastAsia" w:ascii="Times New Roman" w:hAnsi="Times New Roman" w:eastAsia="宋体" w:cs="Times New Roman"/>
                <w:sz w:val="24"/>
                <w:szCs w:val="24"/>
                <w:vertAlign w:val="baseli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vertAlign w:val="baseline"/>
                <w:lang w:val="en-US" w:eastAsia="zh-CN"/>
              </w:rPr>
              <w:t>(1.28+0093)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vertAlign w:val="baseline"/>
                <w:lang w:val="en-US" w:eastAsia="zh-CN"/>
              </w:rPr>
              <w:t>0.025=0.11</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，则单个</w:t>
            </w:r>
            <w:r>
              <w:rPr>
                <w:rFonts w:hint="eastAsia" w:ascii="Times New Roman" w:hAnsi="Times New Roman" w:eastAsia="宋体" w:cs="Times New Roman"/>
                <w:color w:val="auto"/>
                <w:sz w:val="24"/>
                <w:szCs w:val="24"/>
                <w:highlight w:val="none"/>
                <w:lang w:val="en-US" w:eastAsia="zh-CN"/>
              </w:rPr>
              <w:t>挡风板总需喷塑面积约为0.8</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color w:val="auto"/>
                <w:sz w:val="24"/>
                <w:szCs w:val="24"/>
                <w:highlight w:val="none"/>
                <w:lang w:val="en-US" w:eastAsia="zh-CN"/>
              </w:rPr>
              <w:t>；防护壳尺寸约为</w:t>
            </w:r>
            <w:r>
              <w:rPr>
                <w:rFonts w:hint="default" w:ascii="Times New Roman" w:hAnsi="Times New Roman" w:eastAsia="宋体" w:cs="Times New Roman"/>
                <w:color w:val="auto"/>
                <w:sz w:val="24"/>
                <w:szCs w:val="24"/>
                <w:highlight w:val="none"/>
                <w:lang w:val="en-US" w:eastAsia="zh-CN"/>
              </w:rPr>
              <w:t>L</w:t>
            </w:r>
            <w:r>
              <w:rPr>
                <w:rFonts w:hint="eastAsia"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lang w:val="en-US" w:eastAsia="zh-CN"/>
              </w:rPr>
              <w:t>m×W0</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lang w:val="en-US" w:eastAsia="zh-CN"/>
              </w:rPr>
              <w:t>m×H0.</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，则单个喷塑面积约为</w:t>
            </w:r>
            <w:r>
              <w:rPr>
                <w:rFonts w:hint="eastAsia" w:ascii="Times New Roman" w:hAnsi="Times New Roman" w:eastAsia="宋体" w:cs="Times New Roman"/>
                <w:sz w:val="24"/>
                <w:szCs w:val="24"/>
                <w:lang w:val="en-US" w:eastAsia="zh-CN"/>
              </w:rPr>
              <w:t>4.75m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color w:val="auto"/>
                <w:sz w:val="24"/>
                <w:szCs w:val="24"/>
                <w:highlight w:val="none"/>
                <w:lang w:val="en-US" w:eastAsia="zh-CN"/>
              </w:rPr>
              <w:t>发动机罩寸约为</w:t>
            </w:r>
            <w:r>
              <w:rPr>
                <w:rFonts w:hint="default" w:ascii="Times New Roman" w:hAnsi="Times New Roman" w:eastAsia="宋体" w:cs="Times New Roman"/>
                <w:color w:val="auto"/>
                <w:sz w:val="24"/>
                <w:szCs w:val="24"/>
                <w:highlight w:val="none"/>
                <w:lang w:val="en-US" w:eastAsia="zh-CN"/>
              </w:rPr>
              <w:t>L</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m×W</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m×H</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，则单个喷塑面积约为</w:t>
            </w:r>
            <w:r>
              <w:rPr>
                <w:rFonts w:hint="eastAsia" w:ascii="Times New Roman" w:hAnsi="Times New Roman" w:eastAsia="宋体" w:cs="Times New Roman"/>
                <w:sz w:val="24"/>
                <w:szCs w:val="24"/>
                <w:lang w:val="en-US" w:eastAsia="zh-CN"/>
              </w:rPr>
              <w:t>25.44m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ascii="宋体" w:hAnsi="宋体" w:eastAsia="宋体" w:cs="宋体"/>
                <w:sz w:val="24"/>
                <w:szCs w:val="24"/>
              </w:rPr>
              <w:t>考虑开口、格栅</w:t>
            </w:r>
            <w:r>
              <w:rPr>
                <w:rFonts w:hint="eastAsia" w:ascii="宋体" w:hAnsi="宋体" w:eastAsia="宋体" w:cs="宋体"/>
                <w:sz w:val="24"/>
                <w:szCs w:val="24"/>
                <w:lang w:eastAsia="zh-CN"/>
              </w:rPr>
              <w:t>，按</w:t>
            </w:r>
            <w:r>
              <w:rPr>
                <w:rFonts w:hint="default" w:ascii="Times New Roman" w:hAnsi="Times New Roman" w:eastAsia="宋体" w:cs="Times New Roman"/>
                <w:sz w:val="24"/>
                <w:szCs w:val="24"/>
                <w:lang w:val="en-US" w:eastAsia="zh-CN"/>
              </w:rPr>
              <w:t>70%</w:t>
            </w:r>
            <w:r>
              <w:rPr>
                <w:rFonts w:hint="eastAsia" w:ascii="宋体" w:hAnsi="宋体" w:eastAsia="宋体" w:cs="宋体"/>
                <w:sz w:val="24"/>
                <w:szCs w:val="24"/>
                <w:lang w:val="en-US" w:eastAsia="zh-CN"/>
              </w:rPr>
              <w:t>喷塑面积核算，则</w:t>
            </w:r>
            <w:r>
              <w:rPr>
                <w:rFonts w:hint="eastAsia" w:ascii="Times New Roman" w:hAnsi="Times New Roman" w:eastAsia="宋体" w:cs="Times New Roman"/>
                <w:color w:val="auto"/>
                <w:sz w:val="24"/>
                <w:szCs w:val="24"/>
                <w:highlight w:val="none"/>
                <w:lang w:val="en-US" w:eastAsia="zh-CN"/>
              </w:rPr>
              <w:t>发动机罩单个喷塑面积约17.81</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。综上，项目总需喷塑的工件面积为31040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/a。</w:t>
            </w:r>
          </w:p>
          <w:p w14:paraId="692E53FB">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000000" w:themeColor="text1"/>
                <w:sz w:val="24"/>
                <w:szCs w:val="24"/>
                <w:lang w:val="en-US" w:eastAsia="zh-CN"/>
                <w14:textFill>
                  <w14:solidFill>
                    <w14:schemeClr w14:val="tx1"/>
                  </w14:solidFill>
                </w14:textFill>
              </w:rPr>
            </w:pPr>
            <w:r>
              <w:rPr>
                <w:rFonts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2-5 塑粉</w:t>
            </w:r>
            <w:r>
              <w:rPr>
                <w:rFonts w:ascii="Times New Roman" w:hAnsi="Times New Roman" w:eastAsia="宋体" w:cs="Times New Roman"/>
                <w:b/>
                <w:bCs/>
                <w:color w:val="000000" w:themeColor="text1"/>
                <w:sz w:val="24"/>
                <w:szCs w:val="24"/>
                <w:lang w:val="en-US" w:eastAsia="zh-CN"/>
                <w14:textFill>
                  <w14:solidFill>
                    <w14:schemeClr w14:val="tx1"/>
                  </w14:solidFill>
                </w14:textFill>
              </w:rPr>
              <w:t>用量计算一览表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0"/>
              <w:gridCol w:w="1681"/>
              <w:gridCol w:w="1464"/>
              <w:gridCol w:w="1300"/>
              <w:gridCol w:w="1640"/>
              <w:gridCol w:w="1642"/>
            </w:tblGrid>
            <w:tr w14:paraId="2B0D7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1094" w:type="dxa"/>
                  <w:noWrap w:val="0"/>
                  <w:vAlign w:val="center"/>
                </w:tcPr>
                <w:p w14:paraId="0A75C006">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类型</w:t>
                  </w:r>
                </w:p>
              </w:tc>
              <w:tc>
                <w:tcPr>
                  <w:tcW w:w="1545" w:type="dxa"/>
                  <w:noWrap w:val="0"/>
                  <w:vAlign w:val="center"/>
                </w:tcPr>
                <w:p w14:paraId="5C5D872E">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密度</w:t>
                  </w:r>
                </w:p>
                <w:p w14:paraId="50C86507">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（g/cm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346" w:type="dxa"/>
                  <w:noWrap w:val="0"/>
                  <w:vAlign w:val="center"/>
                </w:tcPr>
                <w:p w14:paraId="4FB01262">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涂层厚度</w:t>
                  </w:r>
                </w:p>
                <w:p w14:paraId="3FB7519D">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（um）</w:t>
                  </w:r>
                </w:p>
              </w:tc>
              <w:tc>
                <w:tcPr>
                  <w:tcW w:w="1195" w:type="dxa"/>
                  <w:noWrap w:val="0"/>
                  <w:vAlign w:val="center"/>
                </w:tcPr>
                <w:p w14:paraId="78F0DB75">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上粉率</w:t>
                  </w:r>
                </w:p>
                <w:p w14:paraId="6D027258">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508" w:type="dxa"/>
                  <w:noWrap w:val="0"/>
                  <w:vAlign w:val="center"/>
                </w:tcPr>
                <w:p w14:paraId="6E1316B2">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涂装面积</w:t>
                  </w:r>
                </w:p>
                <w:p w14:paraId="790AF77E">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509" w:type="dxa"/>
                  <w:noWrap w:val="0"/>
                  <w:vAlign w:val="center"/>
                </w:tcPr>
                <w:p w14:paraId="4AB101FA">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塑粉年用量</w:t>
                  </w:r>
                  <w:r>
                    <w:rPr>
                      <w:rFonts w:hint="default" w:ascii="Times New Roman" w:hAnsi="Times New Roman" w:eastAsia="宋体" w:cs="Times New Roman"/>
                      <w:color w:val="000000" w:themeColor="text1"/>
                      <w:sz w:val="21"/>
                      <w:szCs w:val="21"/>
                      <w:lang w:val="zh-CN"/>
                      <w14:textFill>
                        <w14:solidFill>
                          <w14:schemeClr w14:val="tx1"/>
                        </w14:solidFill>
                      </w14:textFill>
                    </w:rPr>
                    <w:t>（t/a）</w:t>
                  </w:r>
                </w:p>
              </w:tc>
            </w:tr>
            <w:tr w14:paraId="4BE4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094" w:type="dxa"/>
                  <w:noWrap w:val="0"/>
                  <w:vAlign w:val="center"/>
                </w:tcPr>
                <w:p w14:paraId="28CE7177">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塑粉</w:t>
                  </w:r>
                </w:p>
              </w:tc>
              <w:tc>
                <w:tcPr>
                  <w:tcW w:w="1545" w:type="dxa"/>
                  <w:noWrap w:val="0"/>
                  <w:vAlign w:val="center"/>
                </w:tcPr>
                <w:p w14:paraId="20F8B4D6">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1.34</w:t>
                  </w:r>
                </w:p>
              </w:tc>
              <w:tc>
                <w:tcPr>
                  <w:tcW w:w="1346" w:type="dxa"/>
                  <w:noWrap w:val="0"/>
                  <w:vAlign w:val="center"/>
                </w:tcPr>
                <w:p w14:paraId="27A96BBB">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80</w:t>
                  </w:r>
                </w:p>
              </w:tc>
              <w:tc>
                <w:tcPr>
                  <w:tcW w:w="1195" w:type="dxa"/>
                  <w:noWrap w:val="0"/>
                  <w:vAlign w:val="center"/>
                </w:tcPr>
                <w:p w14:paraId="6D3BB854">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70</w:t>
                  </w:r>
                </w:p>
              </w:tc>
              <w:tc>
                <w:tcPr>
                  <w:tcW w:w="1508" w:type="dxa"/>
                  <w:noWrap w:val="0"/>
                  <w:vAlign w:val="center"/>
                </w:tcPr>
                <w:p w14:paraId="5BE5A134">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z w:val="21"/>
                      <w:szCs w:val="21"/>
                      <w:lang w:val="en-US" w:eastAsia="zh-CN"/>
                    </w:rPr>
                    <w:t>31040</w:t>
                  </w:r>
                </w:p>
              </w:tc>
              <w:tc>
                <w:tcPr>
                  <w:tcW w:w="1509" w:type="dxa"/>
                  <w:noWrap w:val="0"/>
                  <w:vAlign w:val="center"/>
                </w:tcPr>
                <w:p w14:paraId="44C2D365">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4.754</w:t>
                  </w:r>
                </w:p>
              </w:tc>
            </w:tr>
            <w:tr w14:paraId="778B4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8197" w:type="dxa"/>
                  <w:gridSpan w:val="6"/>
                  <w:noWrap w:val="0"/>
                  <w:vAlign w:val="center"/>
                </w:tcPr>
                <w:p w14:paraId="521C35D2">
                  <w:pPr>
                    <w:pStyle w:val="47"/>
                    <w:kinsoku/>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注：考虑到塑粉损失，本项目塑粉用量以</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sz w:val="21"/>
                      <w:szCs w:val="21"/>
                      <w:lang w:val="zh-CN"/>
                      <w14:textFill>
                        <w14:solidFill>
                          <w14:schemeClr w14:val="tx1"/>
                        </w14:solidFill>
                      </w14:textFill>
                    </w:rPr>
                    <w:t>t/a计。</w:t>
                  </w:r>
                </w:p>
              </w:tc>
            </w:tr>
          </w:tbl>
          <w:p w14:paraId="51712DA0">
            <w:pPr>
              <w:keepNext w:val="0"/>
              <w:keepLines w:val="0"/>
              <w:pageBreakBefore w:val="0"/>
              <w:widowControl w:val="0"/>
              <w:kinsoku/>
              <w:wordWrap/>
              <w:overflowPunct/>
              <w:topLinePunct w:val="0"/>
              <w:autoSpaceDE/>
              <w:autoSpaceDN/>
              <w:bidi w:val="0"/>
              <w:adjustRightInd/>
              <w:snapToGrid/>
              <w:spacing w:line="360" w:lineRule="auto"/>
              <w:ind w:firstLine="0"/>
              <w:jc w:val="left"/>
              <w:textAlignment w:val="auto"/>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电泳（漆料）VOCs含量符合性分析</w:t>
            </w:r>
            <w:r>
              <w:rPr>
                <w:rFonts w:hint="eastAsia" w:ascii="Times New Roman" w:hAnsi="Times New Roman" w:eastAsia="宋体" w:cs="Times New Roman"/>
                <w:b w:val="0"/>
                <w:bCs w:val="0"/>
                <w:color w:val="auto"/>
                <w:sz w:val="24"/>
                <w:szCs w:val="24"/>
                <w:lang w:eastAsia="zh-CN"/>
              </w:rPr>
              <w:t>：</w:t>
            </w:r>
          </w:p>
          <w:p w14:paraId="7DF029BD">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本项目电瓶筐、汽车大架、变压器外壳、变压器油箱需要进行电泳涂装，使用的电泳漆为电泳漆乳液和</w:t>
            </w:r>
            <w:bookmarkStart w:id="2" w:name="OLE_LINK44"/>
            <w:r>
              <w:rPr>
                <w:rFonts w:hint="default" w:ascii="Times New Roman" w:hAnsi="Times New Roman" w:eastAsia="宋体" w:cs="Times New Roman"/>
                <w:color w:val="auto"/>
                <w:sz w:val="24"/>
                <w:szCs w:val="24"/>
              </w:rPr>
              <w:t>电泳漆色浆</w:t>
            </w:r>
            <w:bookmarkEnd w:id="2"/>
            <w:r>
              <w:rPr>
                <w:rFonts w:hint="default" w:ascii="Times New Roman" w:hAnsi="Times New Roman" w:eastAsia="宋体" w:cs="Times New Roman"/>
                <w:color w:val="auto"/>
                <w:sz w:val="24"/>
                <w:szCs w:val="24"/>
              </w:rPr>
              <w:t>，根据建设单位提供的电泳漆成分MSDS报告，本项目电泳漆成分如下表所示：</w:t>
            </w:r>
          </w:p>
          <w:p w14:paraId="017E36F8">
            <w:pPr>
              <w:pStyle w:val="49"/>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eastAsia" w:cs="Times New Roman"/>
                <w:color w:val="auto"/>
                <w:lang w:val="en-US" w:eastAsia="zh-CN"/>
              </w:rPr>
              <w:t xml:space="preserve">6 </w:t>
            </w:r>
            <w:r>
              <w:rPr>
                <w:rFonts w:hint="default" w:ascii="Times New Roman" w:hAnsi="Times New Roman" w:eastAsia="宋体" w:cs="Times New Roman"/>
                <w:color w:val="auto"/>
              </w:rPr>
              <w:t>本项目电泳漆成分一览表</w:t>
            </w:r>
          </w:p>
          <w:tbl>
            <w:tblPr>
              <w:tblStyle w:val="22"/>
              <w:tblW w:w="5000" w:type="pct"/>
              <w:jc w:val="center"/>
              <w:tblLayout w:type="autofit"/>
              <w:tblCellMar>
                <w:top w:w="0" w:type="dxa"/>
                <w:left w:w="108" w:type="dxa"/>
                <w:bottom w:w="0" w:type="dxa"/>
                <w:right w:w="108" w:type="dxa"/>
              </w:tblCellMar>
            </w:tblPr>
            <w:tblGrid>
              <w:gridCol w:w="834"/>
              <w:gridCol w:w="1719"/>
              <w:gridCol w:w="2018"/>
              <w:gridCol w:w="1169"/>
              <w:gridCol w:w="1082"/>
              <w:gridCol w:w="1082"/>
              <w:gridCol w:w="1023"/>
            </w:tblGrid>
            <w:tr w14:paraId="1A30245B">
              <w:tblPrEx>
                <w:tblCellMar>
                  <w:top w:w="0" w:type="dxa"/>
                  <w:left w:w="108" w:type="dxa"/>
                  <w:bottom w:w="0" w:type="dxa"/>
                  <w:right w:w="108" w:type="dxa"/>
                </w:tblCellMar>
              </w:tblPrEx>
              <w:trPr>
                <w:trHeight w:val="57" w:hRule="atLeast"/>
                <w:jc w:val="center"/>
              </w:trPr>
              <w:tc>
                <w:tcPr>
                  <w:tcW w:w="467" w:type="pct"/>
                  <w:tcBorders>
                    <w:top w:val="single" w:color="000000" w:sz="4" w:space="0"/>
                    <w:left w:val="single" w:color="000000" w:sz="4" w:space="0"/>
                    <w:bottom w:val="single" w:color="000000" w:sz="4" w:space="0"/>
                    <w:right w:val="single" w:color="000000" w:sz="4" w:space="0"/>
                  </w:tcBorders>
                  <w:vAlign w:val="center"/>
                </w:tcPr>
                <w:p w14:paraId="5F8A0E18">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种类</w:t>
                  </w:r>
                </w:p>
              </w:tc>
              <w:tc>
                <w:tcPr>
                  <w:tcW w:w="963" w:type="pct"/>
                  <w:tcBorders>
                    <w:top w:val="single" w:color="000000" w:sz="4" w:space="0"/>
                    <w:left w:val="single" w:color="000000" w:sz="4" w:space="0"/>
                    <w:bottom w:val="single" w:color="000000" w:sz="4" w:space="0"/>
                    <w:right w:val="single" w:color="000000" w:sz="4" w:space="0"/>
                  </w:tcBorders>
                  <w:vAlign w:val="center"/>
                </w:tcPr>
                <w:p w14:paraId="34B7DF86">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漆料</w:t>
                  </w:r>
                </w:p>
              </w:tc>
              <w:tc>
                <w:tcPr>
                  <w:tcW w:w="1130" w:type="pct"/>
                  <w:tcBorders>
                    <w:top w:val="single" w:color="000000" w:sz="4" w:space="0"/>
                    <w:left w:val="single" w:color="000000" w:sz="4" w:space="0"/>
                    <w:bottom w:val="single" w:color="000000" w:sz="4" w:space="0"/>
                    <w:right w:val="single" w:color="000000" w:sz="4" w:space="0"/>
                  </w:tcBorders>
                  <w:vAlign w:val="center"/>
                </w:tcPr>
                <w:p w14:paraId="0F1DA538">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成分名称</w:t>
                  </w:r>
                </w:p>
              </w:tc>
              <w:tc>
                <w:tcPr>
                  <w:tcW w:w="655" w:type="pct"/>
                  <w:tcBorders>
                    <w:top w:val="single" w:color="000000" w:sz="4" w:space="0"/>
                    <w:left w:val="single" w:color="000000" w:sz="4" w:space="0"/>
                    <w:bottom w:val="single" w:color="000000" w:sz="4" w:space="0"/>
                    <w:right w:val="single" w:color="000000" w:sz="4" w:space="0"/>
                  </w:tcBorders>
                  <w:vAlign w:val="center"/>
                </w:tcPr>
                <w:p w14:paraId="0002D6E4">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成分比例%</w:t>
                  </w:r>
                </w:p>
              </w:tc>
              <w:tc>
                <w:tcPr>
                  <w:tcW w:w="606" w:type="pct"/>
                  <w:tcBorders>
                    <w:top w:val="single" w:color="000000" w:sz="4" w:space="0"/>
                    <w:left w:val="single" w:color="000000" w:sz="4" w:space="0"/>
                    <w:bottom w:val="single" w:color="000000" w:sz="4" w:space="0"/>
                    <w:right w:val="single" w:color="000000" w:sz="4" w:space="0"/>
                  </w:tcBorders>
                  <w:vAlign w:val="center"/>
                </w:tcPr>
                <w:p w14:paraId="0CE9F34C">
                  <w:pPr>
                    <w:pStyle w:val="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取值</w:t>
                  </w:r>
                </w:p>
              </w:tc>
              <w:tc>
                <w:tcPr>
                  <w:tcW w:w="606" w:type="pct"/>
                  <w:tcBorders>
                    <w:top w:val="single" w:color="000000" w:sz="4" w:space="0"/>
                    <w:left w:val="single" w:color="000000" w:sz="4" w:space="0"/>
                    <w:bottom w:val="single" w:color="000000" w:sz="4" w:space="0"/>
                    <w:right w:val="single" w:color="000000" w:sz="4" w:space="0"/>
                  </w:tcBorders>
                  <w:vAlign w:val="center"/>
                </w:tcPr>
                <w:p w14:paraId="0385B511">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固体份占比（%）</w:t>
                  </w:r>
                </w:p>
              </w:tc>
              <w:tc>
                <w:tcPr>
                  <w:tcW w:w="569" w:type="pct"/>
                  <w:tcBorders>
                    <w:top w:val="single" w:color="000000" w:sz="4" w:space="0"/>
                    <w:left w:val="single" w:color="000000" w:sz="4" w:space="0"/>
                    <w:bottom w:val="single" w:color="000000" w:sz="4" w:space="0"/>
                    <w:right w:val="single" w:color="000000" w:sz="4" w:space="0"/>
                  </w:tcBorders>
                  <w:vAlign w:val="center"/>
                </w:tcPr>
                <w:p w14:paraId="42FFC41E">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挥发份占比%</w:t>
                  </w:r>
                </w:p>
              </w:tc>
            </w:tr>
            <w:tr w14:paraId="345A3602">
              <w:tblPrEx>
                <w:tblCellMar>
                  <w:top w:w="0" w:type="dxa"/>
                  <w:left w:w="108" w:type="dxa"/>
                  <w:bottom w:w="0" w:type="dxa"/>
                  <w:right w:w="108" w:type="dxa"/>
                </w:tblCellMar>
              </w:tblPrEx>
              <w:trPr>
                <w:trHeight w:val="57" w:hRule="atLeast"/>
                <w:jc w:val="center"/>
              </w:trPr>
              <w:tc>
                <w:tcPr>
                  <w:tcW w:w="467" w:type="pct"/>
                  <w:vMerge w:val="restart"/>
                  <w:tcBorders>
                    <w:top w:val="single" w:color="000000" w:sz="4" w:space="0"/>
                    <w:left w:val="single" w:color="000000" w:sz="4" w:space="0"/>
                    <w:bottom w:val="single" w:color="000000" w:sz="4" w:space="0"/>
                    <w:right w:val="single" w:color="000000" w:sz="4" w:space="0"/>
                  </w:tcBorders>
                  <w:vAlign w:val="center"/>
                </w:tcPr>
                <w:p w14:paraId="4232487A">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乳液</w:t>
                  </w:r>
                </w:p>
              </w:tc>
              <w:tc>
                <w:tcPr>
                  <w:tcW w:w="963" w:type="pct"/>
                  <w:vMerge w:val="restart"/>
                  <w:tcBorders>
                    <w:top w:val="single" w:color="000000" w:sz="4" w:space="0"/>
                    <w:left w:val="single" w:color="000000" w:sz="4" w:space="0"/>
                    <w:bottom w:val="single" w:color="000000" w:sz="4" w:space="0"/>
                    <w:right w:val="single" w:color="000000" w:sz="4" w:space="0"/>
                  </w:tcBorders>
                  <w:vAlign w:val="center"/>
                </w:tcPr>
                <w:p w14:paraId="131AF496">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电泳漆乳液</w:t>
                  </w:r>
                </w:p>
              </w:tc>
              <w:tc>
                <w:tcPr>
                  <w:tcW w:w="1130" w:type="pct"/>
                  <w:tcBorders>
                    <w:top w:val="single" w:color="000000" w:sz="4" w:space="0"/>
                    <w:left w:val="single" w:color="000000" w:sz="4" w:space="0"/>
                    <w:bottom w:val="single" w:color="000000" w:sz="4" w:space="0"/>
                    <w:right w:val="single" w:color="000000" w:sz="4" w:space="0"/>
                  </w:tcBorders>
                  <w:vAlign w:val="center"/>
                </w:tcPr>
                <w:p w14:paraId="27095769">
                  <w:pPr>
                    <w:pStyle w:val="5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丙二醇丁醚</w:t>
                  </w:r>
                </w:p>
              </w:tc>
              <w:tc>
                <w:tcPr>
                  <w:tcW w:w="655" w:type="pct"/>
                  <w:tcBorders>
                    <w:top w:val="single" w:color="000000" w:sz="4" w:space="0"/>
                    <w:left w:val="single" w:color="000000" w:sz="4" w:space="0"/>
                    <w:bottom w:val="single" w:color="000000" w:sz="4" w:space="0"/>
                    <w:right w:val="single" w:color="000000" w:sz="4" w:space="0"/>
                  </w:tcBorders>
                  <w:vAlign w:val="center"/>
                </w:tcPr>
                <w:p w14:paraId="6F944289">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0.3~0.5</w:t>
                  </w:r>
                </w:p>
              </w:tc>
              <w:tc>
                <w:tcPr>
                  <w:tcW w:w="606" w:type="pct"/>
                  <w:tcBorders>
                    <w:top w:val="single" w:color="000000" w:sz="4" w:space="0"/>
                    <w:left w:val="single" w:color="000000" w:sz="4" w:space="0"/>
                    <w:bottom w:val="single" w:color="000000" w:sz="4" w:space="0"/>
                    <w:right w:val="single" w:color="000000" w:sz="4" w:space="0"/>
                  </w:tcBorders>
                  <w:vAlign w:val="center"/>
                </w:tcPr>
                <w:p w14:paraId="257CE8BE">
                  <w:pPr>
                    <w:pStyle w:val="50"/>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606" w:type="pct"/>
                  <w:vMerge w:val="restart"/>
                  <w:tcBorders>
                    <w:top w:val="single" w:color="000000" w:sz="4" w:space="0"/>
                    <w:left w:val="single" w:color="000000" w:sz="4" w:space="0"/>
                    <w:bottom w:val="single" w:color="000000" w:sz="4" w:space="0"/>
                    <w:right w:val="single" w:color="000000" w:sz="4" w:space="0"/>
                  </w:tcBorders>
                  <w:vAlign w:val="center"/>
                </w:tcPr>
                <w:p w14:paraId="7576C032">
                  <w:pPr>
                    <w:pStyle w:val="50"/>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569" w:type="pct"/>
                  <w:vMerge w:val="restart"/>
                  <w:tcBorders>
                    <w:top w:val="single" w:color="000000" w:sz="4" w:space="0"/>
                    <w:left w:val="single" w:color="000000" w:sz="4" w:space="0"/>
                    <w:bottom w:val="single" w:color="000000" w:sz="4" w:space="0"/>
                    <w:right w:val="single" w:color="000000" w:sz="4" w:space="0"/>
                  </w:tcBorders>
                  <w:vAlign w:val="center"/>
                </w:tcPr>
                <w:p w14:paraId="35969BD2">
                  <w:pPr>
                    <w:pStyle w:val="50"/>
                    <w:rPr>
                      <w:rFonts w:hint="default" w:ascii="Times New Roman" w:hAnsi="Times New Roman" w:eastAsia="宋体" w:cs="Times New Roman"/>
                      <w:color w:val="auto"/>
                      <w:lang w:val="en-US" w:eastAsia="zh-CN"/>
                    </w:rPr>
                  </w:pPr>
                  <w:r>
                    <w:rPr>
                      <w:rFonts w:hint="eastAsia" w:cs="Times New Roman"/>
                      <w:color w:val="auto"/>
                      <w:lang w:val="en-US" w:eastAsia="zh-CN"/>
                    </w:rPr>
                    <w:t>0.5</w:t>
                  </w:r>
                </w:p>
              </w:tc>
            </w:tr>
            <w:tr w14:paraId="0A488F6C">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56B6D7F2">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5EA8BDA7">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56E6E71D">
                  <w:pPr>
                    <w:pStyle w:val="5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纯水</w:t>
                  </w:r>
                </w:p>
              </w:tc>
              <w:tc>
                <w:tcPr>
                  <w:tcW w:w="655" w:type="pct"/>
                  <w:tcBorders>
                    <w:top w:val="single" w:color="000000" w:sz="4" w:space="0"/>
                    <w:left w:val="single" w:color="000000" w:sz="4" w:space="0"/>
                    <w:bottom w:val="single" w:color="000000" w:sz="4" w:space="0"/>
                    <w:right w:val="single" w:color="000000" w:sz="4" w:space="0"/>
                  </w:tcBorders>
                  <w:vAlign w:val="center"/>
                </w:tcPr>
                <w:p w14:paraId="0B3197F0">
                  <w:pPr>
                    <w:pStyle w:val="5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60~65</w:t>
                  </w:r>
                </w:p>
              </w:tc>
              <w:tc>
                <w:tcPr>
                  <w:tcW w:w="606" w:type="pct"/>
                  <w:tcBorders>
                    <w:top w:val="single" w:color="000000" w:sz="4" w:space="0"/>
                    <w:left w:val="single" w:color="000000" w:sz="4" w:space="0"/>
                    <w:bottom w:val="single" w:color="000000" w:sz="4" w:space="0"/>
                    <w:right w:val="single" w:color="000000" w:sz="4" w:space="0"/>
                  </w:tcBorders>
                  <w:vAlign w:val="center"/>
                </w:tcPr>
                <w:p w14:paraId="684E6EBB">
                  <w:pPr>
                    <w:pStyle w:val="50"/>
                    <w:rPr>
                      <w:rFonts w:hint="default" w:ascii="Times New Roman" w:hAnsi="Times New Roman" w:eastAsia="宋体" w:cs="Times New Roman"/>
                      <w:color w:val="auto"/>
                      <w:lang w:val="en-US" w:eastAsia="zh-CN"/>
                    </w:rPr>
                  </w:pPr>
                  <w:r>
                    <w:rPr>
                      <w:rFonts w:hint="eastAsia" w:cs="Times New Roman"/>
                      <w:color w:val="auto"/>
                      <w:lang w:val="en-US" w:eastAsia="zh-CN"/>
                    </w:rPr>
                    <w:t>64.5</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55233ED7">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26F15002">
                  <w:pPr>
                    <w:pStyle w:val="50"/>
                    <w:rPr>
                      <w:rFonts w:hint="default" w:ascii="Times New Roman" w:hAnsi="Times New Roman" w:eastAsia="宋体" w:cs="Times New Roman"/>
                      <w:color w:val="auto"/>
                    </w:rPr>
                  </w:pPr>
                </w:p>
              </w:tc>
            </w:tr>
            <w:tr w14:paraId="41F5A775">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76E9DF5C">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0396DA28">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noWrap/>
                  <w:vAlign w:val="center"/>
                </w:tcPr>
                <w:p w14:paraId="0DBA8C1F">
                  <w:pPr>
                    <w:pStyle w:val="5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聚氨酯</w:t>
                  </w:r>
                </w:p>
              </w:tc>
              <w:tc>
                <w:tcPr>
                  <w:tcW w:w="655" w:type="pct"/>
                  <w:tcBorders>
                    <w:top w:val="single" w:color="000000" w:sz="4" w:space="0"/>
                    <w:left w:val="single" w:color="000000" w:sz="4" w:space="0"/>
                    <w:bottom w:val="single" w:color="000000" w:sz="4" w:space="0"/>
                    <w:right w:val="single" w:color="000000" w:sz="4" w:space="0"/>
                  </w:tcBorders>
                  <w:vAlign w:val="center"/>
                </w:tcPr>
                <w:p w14:paraId="61FA7577">
                  <w:pPr>
                    <w:pStyle w:val="5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1~8</w:t>
                  </w:r>
                </w:p>
              </w:tc>
              <w:tc>
                <w:tcPr>
                  <w:tcW w:w="606" w:type="pct"/>
                  <w:tcBorders>
                    <w:top w:val="single" w:color="000000" w:sz="4" w:space="0"/>
                    <w:left w:val="single" w:color="000000" w:sz="4" w:space="0"/>
                    <w:bottom w:val="single" w:color="000000" w:sz="4" w:space="0"/>
                    <w:right w:val="single" w:color="000000" w:sz="4" w:space="0"/>
                  </w:tcBorders>
                  <w:vAlign w:val="center"/>
                </w:tcPr>
                <w:p w14:paraId="7F77C7BC">
                  <w:pPr>
                    <w:pStyle w:val="50"/>
                    <w:rPr>
                      <w:rFonts w:hint="eastAsia" w:ascii="Times New Roman" w:hAnsi="Times New Roman" w:eastAsia="宋体" w:cs="Times New Roman"/>
                      <w:color w:val="auto"/>
                      <w:lang w:val="en-US" w:eastAsia="zh-CN"/>
                    </w:rPr>
                  </w:pPr>
                  <w:r>
                    <w:rPr>
                      <w:rFonts w:hint="eastAsia" w:cs="Times New Roman"/>
                      <w:color w:val="auto"/>
                      <w:lang w:val="en-US" w:eastAsia="zh-CN"/>
                    </w:rPr>
                    <w:t>5</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75B8F10E">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1BE6C6C4">
                  <w:pPr>
                    <w:pStyle w:val="50"/>
                    <w:rPr>
                      <w:rFonts w:hint="default" w:ascii="Times New Roman" w:hAnsi="Times New Roman" w:eastAsia="宋体" w:cs="Times New Roman"/>
                      <w:color w:val="auto"/>
                    </w:rPr>
                  </w:pPr>
                </w:p>
              </w:tc>
            </w:tr>
            <w:tr w14:paraId="3099BE58">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279B90AD">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6D964C6A">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noWrap/>
                  <w:vAlign w:val="center"/>
                </w:tcPr>
                <w:p w14:paraId="31747642">
                  <w:pPr>
                    <w:pStyle w:val="5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环氧树脂</w:t>
                  </w:r>
                </w:p>
              </w:tc>
              <w:tc>
                <w:tcPr>
                  <w:tcW w:w="655" w:type="pct"/>
                  <w:tcBorders>
                    <w:top w:val="single" w:color="000000" w:sz="4" w:space="0"/>
                    <w:left w:val="single" w:color="000000" w:sz="4" w:space="0"/>
                    <w:bottom w:val="single" w:color="000000" w:sz="4" w:space="0"/>
                    <w:right w:val="single" w:color="000000" w:sz="4" w:space="0"/>
                  </w:tcBorders>
                  <w:vAlign w:val="center"/>
                </w:tcPr>
                <w:p w14:paraId="55C37C6C">
                  <w:pPr>
                    <w:pStyle w:val="5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28~35</w:t>
                  </w:r>
                </w:p>
              </w:tc>
              <w:tc>
                <w:tcPr>
                  <w:tcW w:w="606" w:type="pct"/>
                  <w:tcBorders>
                    <w:top w:val="single" w:color="000000" w:sz="4" w:space="0"/>
                    <w:left w:val="single" w:color="000000" w:sz="4" w:space="0"/>
                    <w:bottom w:val="single" w:color="000000" w:sz="4" w:space="0"/>
                    <w:right w:val="single" w:color="000000" w:sz="4" w:space="0"/>
                  </w:tcBorders>
                  <w:vAlign w:val="center"/>
                </w:tcPr>
                <w:p w14:paraId="7AC384AD">
                  <w:pPr>
                    <w:pStyle w:val="50"/>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19B4E804">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0488525F">
                  <w:pPr>
                    <w:pStyle w:val="50"/>
                    <w:rPr>
                      <w:rFonts w:hint="default" w:ascii="Times New Roman" w:hAnsi="Times New Roman" w:eastAsia="宋体" w:cs="Times New Roman"/>
                      <w:color w:val="auto"/>
                    </w:rPr>
                  </w:pPr>
                </w:p>
              </w:tc>
            </w:tr>
            <w:tr w14:paraId="03158AC3">
              <w:tblPrEx>
                <w:tblCellMar>
                  <w:top w:w="0" w:type="dxa"/>
                  <w:left w:w="108" w:type="dxa"/>
                  <w:bottom w:w="0" w:type="dxa"/>
                  <w:right w:w="108" w:type="dxa"/>
                </w:tblCellMar>
              </w:tblPrEx>
              <w:trPr>
                <w:trHeight w:val="57" w:hRule="atLeast"/>
                <w:jc w:val="center"/>
              </w:trPr>
              <w:tc>
                <w:tcPr>
                  <w:tcW w:w="467" w:type="pct"/>
                  <w:vMerge w:val="restart"/>
                  <w:tcBorders>
                    <w:top w:val="single" w:color="000000" w:sz="4" w:space="0"/>
                    <w:left w:val="single" w:color="000000" w:sz="4" w:space="0"/>
                    <w:bottom w:val="single" w:color="000000" w:sz="4" w:space="0"/>
                    <w:right w:val="single" w:color="000000" w:sz="4" w:space="0"/>
                  </w:tcBorders>
                  <w:vAlign w:val="center"/>
                </w:tcPr>
                <w:p w14:paraId="52F949A5">
                  <w:pPr>
                    <w:pStyle w:val="50"/>
                    <w:rPr>
                      <w:rFonts w:hint="default" w:ascii="Times New Roman" w:hAnsi="Times New Roman" w:eastAsia="宋体" w:cs="Times New Roman"/>
                      <w:color w:val="auto"/>
                    </w:rPr>
                  </w:pPr>
                  <w:r>
                    <w:rPr>
                      <w:rFonts w:hint="eastAsia" w:cs="Times New Roman"/>
                      <w:color w:val="auto"/>
                      <w:lang w:val="en-US" w:eastAsia="zh-CN"/>
                    </w:rPr>
                    <w:t>灰</w:t>
                  </w:r>
                  <w:r>
                    <w:rPr>
                      <w:rFonts w:hint="default" w:ascii="Times New Roman" w:hAnsi="Times New Roman" w:eastAsia="宋体" w:cs="Times New Roman"/>
                      <w:color w:val="auto"/>
                    </w:rPr>
                    <w:t>浆</w:t>
                  </w:r>
                </w:p>
              </w:tc>
              <w:tc>
                <w:tcPr>
                  <w:tcW w:w="963" w:type="pct"/>
                  <w:vMerge w:val="restart"/>
                  <w:tcBorders>
                    <w:top w:val="single" w:color="000000" w:sz="4" w:space="0"/>
                    <w:left w:val="single" w:color="000000" w:sz="4" w:space="0"/>
                    <w:bottom w:val="single" w:color="000000" w:sz="4" w:space="0"/>
                    <w:right w:val="single" w:color="000000" w:sz="4" w:space="0"/>
                  </w:tcBorders>
                  <w:vAlign w:val="center"/>
                </w:tcPr>
                <w:p w14:paraId="5DFCA822">
                  <w:pPr>
                    <w:pStyle w:val="5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电泳漆</w:t>
                  </w:r>
                  <w:r>
                    <w:rPr>
                      <w:rFonts w:hint="eastAsia" w:cs="Times New Roman"/>
                      <w:color w:val="auto"/>
                      <w:lang w:val="en-US" w:eastAsia="zh-CN"/>
                    </w:rPr>
                    <w:t>灰浆</w:t>
                  </w:r>
                </w:p>
              </w:tc>
              <w:tc>
                <w:tcPr>
                  <w:tcW w:w="1130" w:type="pct"/>
                  <w:tcBorders>
                    <w:top w:val="single" w:color="000000" w:sz="4" w:space="0"/>
                    <w:left w:val="single" w:color="000000" w:sz="4" w:space="0"/>
                    <w:bottom w:val="single" w:color="000000" w:sz="4" w:space="0"/>
                    <w:right w:val="single" w:color="000000" w:sz="4" w:space="0"/>
                  </w:tcBorders>
                  <w:vAlign w:val="center"/>
                </w:tcPr>
                <w:p w14:paraId="5442AF87">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丙二醇丁醚</w:t>
                  </w:r>
                </w:p>
              </w:tc>
              <w:tc>
                <w:tcPr>
                  <w:tcW w:w="655" w:type="pct"/>
                  <w:tcBorders>
                    <w:top w:val="single" w:color="000000" w:sz="4" w:space="0"/>
                    <w:left w:val="single" w:color="000000" w:sz="4" w:space="0"/>
                    <w:bottom w:val="single" w:color="000000" w:sz="4" w:space="0"/>
                    <w:right w:val="single" w:color="000000" w:sz="4" w:space="0"/>
                  </w:tcBorders>
                  <w:vAlign w:val="center"/>
                </w:tcPr>
                <w:p w14:paraId="73E4EE1A">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0.6~0.8</w:t>
                  </w:r>
                </w:p>
              </w:tc>
              <w:tc>
                <w:tcPr>
                  <w:tcW w:w="606" w:type="pct"/>
                  <w:tcBorders>
                    <w:top w:val="single" w:color="000000" w:sz="4" w:space="0"/>
                    <w:left w:val="single" w:color="000000" w:sz="4" w:space="0"/>
                    <w:bottom w:val="single" w:color="000000" w:sz="4" w:space="0"/>
                    <w:right w:val="single" w:color="000000" w:sz="4" w:space="0"/>
                  </w:tcBorders>
                  <w:vAlign w:val="center"/>
                </w:tcPr>
                <w:p w14:paraId="2A02B5B0">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606" w:type="pct"/>
                  <w:vMerge w:val="restart"/>
                  <w:tcBorders>
                    <w:top w:val="single" w:color="000000" w:sz="4" w:space="0"/>
                    <w:left w:val="single" w:color="000000" w:sz="4" w:space="0"/>
                    <w:bottom w:val="single" w:color="000000" w:sz="4" w:space="0"/>
                    <w:right w:val="single" w:color="000000" w:sz="4" w:space="0"/>
                  </w:tcBorders>
                  <w:vAlign w:val="center"/>
                </w:tcPr>
                <w:p w14:paraId="60AEA125">
                  <w:pPr>
                    <w:pStyle w:val="50"/>
                    <w:rPr>
                      <w:rFonts w:hint="default" w:ascii="Times New Roman" w:hAnsi="Times New Roman" w:eastAsia="宋体" w:cs="Times New Roman"/>
                      <w:color w:val="auto"/>
                      <w:lang w:val="en-US" w:eastAsia="zh-CN"/>
                    </w:rPr>
                  </w:pPr>
                  <w:r>
                    <w:rPr>
                      <w:rFonts w:hint="eastAsia" w:cs="Times New Roman"/>
                      <w:color w:val="auto"/>
                      <w:lang w:val="en-US" w:eastAsia="zh-CN"/>
                    </w:rPr>
                    <w:t>57.2</w:t>
                  </w:r>
                </w:p>
              </w:tc>
              <w:tc>
                <w:tcPr>
                  <w:tcW w:w="569" w:type="pct"/>
                  <w:vMerge w:val="restart"/>
                  <w:tcBorders>
                    <w:top w:val="single" w:color="000000" w:sz="4" w:space="0"/>
                    <w:left w:val="single" w:color="000000" w:sz="4" w:space="0"/>
                    <w:bottom w:val="single" w:color="000000" w:sz="4" w:space="0"/>
                    <w:right w:val="single" w:color="000000" w:sz="4" w:space="0"/>
                  </w:tcBorders>
                  <w:vAlign w:val="center"/>
                </w:tcPr>
                <w:p w14:paraId="3BBF9A76">
                  <w:pPr>
                    <w:pStyle w:val="50"/>
                    <w:rPr>
                      <w:rFonts w:hint="default" w:ascii="Times New Roman" w:hAnsi="Times New Roman" w:eastAsia="宋体" w:cs="Times New Roman"/>
                      <w:color w:val="auto"/>
                      <w:lang w:val="en-US" w:eastAsia="zh-CN"/>
                    </w:rPr>
                  </w:pPr>
                  <w:r>
                    <w:rPr>
                      <w:rFonts w:hint="eastAsia" w:cs="Times New Roman"/>
                      <w:color w:val="auto"/>
                      <w:lang w:val="en-US" w:eastAsia="zh-CN"/>
                    </w:rPr>
                    <w:t>0.8</w:t>
                  </w:r>
                </w:p>
              </w:tc>
            </w:tr>
            <w:tr w14:paraId="27DDBFF3">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516C19A9">
                  <w:pPr>
                    <w:pStyle w:val="50"/>
                    <w:rPr>
                      <w:rFonts w:hint="default" w:ascii="Times New Roman" w:hAnsi="Times New Roman" w:eastAsia="宋体" w:cs="Times New Roman"/>
                      <w:color w:val="FF0000"/>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4C1C6175">
                  <w:pPr>
                    <w:pStyle w:val="50"/>
                    <w:rPr>
                      <w:rFonts w:hint="default" w:ascii="Times New Roman" w:hAnsi="Times New Roman" w:eastAsia="宋体" w:cs="Times New Roman"/>
                      <w:color w:val="FF0000"/>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3BFD6013">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纯水</w:t>
                  </w:r>
                </w:p>
              </w:tc>
              <w:tc>
                <w:tcPr>
                  <w:tcW w:w="655" w:type="pct"/>
                  <w:tcBorders>
                    <w:top w:val="single" w:color="000000" w:sz="4" w:space="0"/>
                    <w:left w:val="single" w:color="000000" w:sz="4" w:space="0"/>
                    <w:bottom w:val="single" w:color="000000" w:sz="4" w:space="0"/>
                    <w:right w:val="single" w:color="000000" w:sz="4" w:space="0"/>
                  </w:tcBorders>
                  <w:vAlign w:val="center"/>
                </w:tcPr>
                <w:p w14:paraId="3AAA1C2F">
                  <w:pPr>
                    <w:pStyle w:val="5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40~44</w:t>
                  </w:r>
                </w:p>
              </w:tc>
              <w:tc>
                <w:tcPr>
                  <w:tcW w:w="606" w:type="pct"/>
                  <w:tcBorders>
                    <w:top w:val="single" w:color="000000" w:sz="4" w:space="0"/>
                    <w:left w:val="single" w:color="000000" w:sz="4" w:space="0"/>
                    <w:bottom w:val="single" w:color="000000" w:sz="4" w:space="0"/>
                    <w:right w:val="single" w:color="000000" w:sz="4" w:space="0"/>
                  </w:tcBorders>
                  <w:vAlign w:val="center"/>
                </w:tcPr>
                <w:p w14:paraId="0945EDC3">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37A6D406">
                  <w:pPr>
                    <w:pStyle w:val="50"/>
                    <w:rPr>
                      <w:rFonts w:hint="default" w:ascii="Times New Roman" w:hAnsi="Times New Roman" w:eastAsia="宋体" w:cs="Times New Roman"/>
                      <w:color w:val="FF0000"/>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400F7D3D">
                  <w:pPr>
                    <w:pStyle w:val="50"/>
                    <w:rPr>
                      <w:rFonts w:hint="default" w:ascii="Times New Roman" w:hAnsi="Times New Roman" w:eastAsia="宋体" w:cs="Times New Roman"/>
                      <w:color w:val="FF0000"/>
                    </w:rPr>
                  </w:pPr>
                </w:p>
              </w:tc>
            </w:tr>
            <w:tr w14:paraId="6FA5792D">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2CFC5E5F">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009A8B2E">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5E765151">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炭黑</w:t>
                  </w:r>
                </w:p>
              </w:tc>
              <w:tc>
                <w:tcPr>
                  <w:tcW w:w="655" w:type="pct"/>
                  <w:tcBorders>
                    <w:top w:val="single" w:color="000000" w:sz="4" w:space="0"/>
                    <w:left w:val="single" w:color="000000" w:sz="4" w:space="0"/>
                    <w:bottom w:val="single" w:color="000000" w:sz="4" w:space="0"/>
                    <w:right w:val="single" w:color="000000" w:sz="4" w:space="0"/>
                  </w:tcBorders>
                  <w:vAlign w:val="center"/>
                </w:tcPr>
                <w:p w14:paraId="08B971EA">
                  <w:pPr>
                    <w:pStyle w:val="5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0.4~0.8</w:t>
                  </w:r>
                </w:p>
              </w:tc>
              <w:tc>
                <w:tcPr>
                  <w:tcW w:w="606" w:type="pct"/>
                  <w:tcBorders>
                    <w:top w:val="single" w:color="000000" w:sz="4" w:space="0"/>
                    <w:left w:val="single" w:color="000000" w:sz="4" w:space="0"/>
                    <w:bottom w:val="single" w:color="000000" w:sz="4" w:space="0"/>
                    <w:right w:val="single" w:color="000000" w:sz="4" w:space="0"/>
                  </w:tcBorders>
                  <w:vAlign w:val="center"/>
                </w:tcPr>
                <w:p w14:paraId="49C9A661">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4941F500">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4EBA4327">
                  <w:pPr>
                    <w:pStyle w:val="50"/>
                    <w:rPr>
                      <w:rFonts w:hint="default" w:ascii="Times New Roman" w:hAnsi="Times New Roman" w:eastAsia="宋体" w:cs="Times New Roman"/>
                      <w:color w:val="auto"/>
                    </w:rPr>
                  </w:pPr>
                </w:p>
              </w:tc>
            </w:tr>
            <w:tr w14:paraId="058E355E">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161170A2">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1B6A2C3E">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6BB8DBDF">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钛白粉</w:t>
                  </w:r>
                </w:p>
              </w:tc>
              <w:tc>
                <w:tcPr>
                  <w:tcW w:w="655" w:type="pct"/>
                  <w:tcBorders>
                    <w:top w:val="single" w:color="000000" w:sz="4" w:space="0"/>
                    <w:left w:val="single" w:color="000000" w:sz="4" w:space="0"/>
                    <w:bottom w:val="single" w:color="000000" w:sz="4" w:space="0"/>
                    <w:right w:val="single" w:color="000000" w:sz="4" w:space="0"/>
                  </w:tcBorders>
                  <w:vAlign w:val="center"/>
                </w:tcPr>
                <w:p w14:paraId="7FEE3D07">
                  <w:pPr>
                    <w:pStyle w:val="5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30~35</w:t>
                  </w:r>
                </w:p>
              </w:tc>
              <w:tc>
                <w:tcPr>
                  <w:tcW w:w="606" w:type="pct"/>
                  <w:tcBorders>
                    <w:top w:val="single" w:color="000000" w:sz="4" w:space="0"/>
                    <w:left w:val="single" w:color="000000" w:sz="4" w:space="0"/>
                    <w:bottom w:val="single" w:color="000000" w:sz="4" w:space="0"/>
                    <w:right w:val="single" w:color="000000" w:sz="4" w:space="0"/>
                  </w:tcBorders>
                  <w:vAlign w:val="center"/>
                </w:tcPr>
                <w:p w14:paraId="6C8B06CC">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548BBF2C">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0E26BEC1">
                  <w:pPr>
                    <w:pStyle w:val="50"/>
                    <w:rPr>
                      <w:rFonts w:hint="default" w:ascii="Times New Roman" w:hAnsi="Times New Roman" w:eastAsia="宋体" w:cs="Times New Roman"/>
                      <w:color w:val="auto"/>
                    </w:rPr>
                  </w:pPr>
                </w:p>
              </w:tc>
            </w:tr>
            <w:tr w14:paraId="62107432">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61656924">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7CEF2957">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0B9C7B70">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高岭土</w:t>
                  </w:r>
                </w:p>
              </w:tc>
              <w:tc>
                <w:tcPr>
                  <w:tcW w:w="655" w:type="pct"/>
                  <w:tcBorders>
                    <w:top w:val="single" w:color="000000" w:sz="4" w:space="0"/>
                    <w:left w:val="single" w:color="000000" w:sz="4" w:space="0"/>
                    <w:bottom w:val="single" w:color="000000" w:sz="4" w:space="0"/>
                    <w:right w:val="single" w:color="000000" w:sz="4" w:space="0"/>
                  </w:tcBorders>
                  <w:vAlign w:val="center"/>
                </w:tcPr>
                <w:p w14:paraId="357068A3">
                  <w:pPr>
                    <w:pStyle w:val="5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12.5~17.5</w:t>
                  </w:r>
                </w:p>
              </w:tc>
              <w:tc>
                <w:tcPr>
                  <w:tcW w:w="606" w:type="pct"/>
                  <w:tcBorders>
                    <w:top w:val="single" w:color="000000" w:sz="4" w:space="0"/>
                    <w:left w:val="single" w:color="000000" w:sz="4" w:space="0"/>
                    <w:bottom w:val="single" w:color="000000" w:sz="4" w:space="0"/>
                    <w:right w:val="single" w:color="000000" w:sz="4" w:space="0"/>
                  </w:tcBorders>
                  <w:vAlign w:val="center"/>
                </w:tcPr>
                <w:p w14:paraId="781A9DFF">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4864E045">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45EC6C26">
                  <w:pPr>
                    <w:pStyle w:val="50"/>
                    <w:rPr>
                      <w:rFonts w:hint="default" w:ascii="Times New Roman" w:hAnsi="Times New Roman" w:eastAsia="宋体" w:cs="Times New Roman"/>
                      <w:color w:val="auto"/>
                    </w:rPr>
                  </w:pPr>
                </w:p>
              </w:tc>
            </w:tr>
            <w:tr w14:paraId="008F941D">
              <w:tblPrEx>
                <w:tblCellMar>
                  <w:top w:w="0" w:type="dxa"/>
                  <w:left w:w="108" w:type="dxa"/>
                  <w:bottom w:w="0" w:type="dxa"/>
                  <w:right w:w="108" w:type="dxa"/>
                </w:tblCellMar>
              </w:tblPrEx>
              <w:trPr>
                <w:trHeight w:val="57" w:hRule="atLeast"/>
                <w:jc w:val="center"/>
              </w:trPr>
              <w:tc>
                <w:tcPr>
                  <w:tcW w:w="467" w:type="pct"/>
                  <w:vMerge w:val="continue"/>
                  <w:tcBorders>
                    <w:top w:val="single" w:color="000000" w:sz="4" w:space="0"/>
                    <w:left w:val="single" w:color="000000" w:sz="4" w:space="0"/>
                    <w:bottom w:val="single" w:color="000000" w:sz="4" w:space="0"/>
                    <w:right w:val="single" w:color="000000" w:sz="4" w:space="0"/>
                  </w:tcBorders>
                  <w:vAlign w:val="center"/>
                </w:tcPr>
                <w:p w14:paraId="4D8F9291">
                  <w:pPr>
                    <w:pStyle w:val="50"/>
                    <w:rPr>
                      <w:rFonts w:hint="default" w:ascii="Times New Roman" w:hAnsi="Times New Roman" w:eastAsia="宋体" w:cs="Times New Roman"/>
                      <w:color w:val="auto"/>
                    </w:rPr>
                  </w:pPr>
                </w:p>
              </w:tc>
              <w:tc>
                <w:tcPr>
                  <w:tcW w:w="963" w:type="pct"/>
                  <w:vMerge w:val="continue"/>
                  <w:tcBorders>
                    <w:top w:val="single" w:color="000000" w:sz="4" w:space="0"/>
                    <w:left w:val="single" w:color="000000" w:sz="4" w:space="0"/>
                    <w:bottom w:val="single" w:color="000000" w:sz="4" w:space="0"/>
                    <w:right w:val="single" w:color="000000" w:sz="4" w:space="0"/>
                  </w:tcBorders>
                  <w:vAlign w:val="center"/>
                </w:tcPr>
                <w:p w14:paraId="6985C632">
                  <w:pPr>
                    <w:pStyle w:val="50"/>
                    <w:rPr>
                      <w:rFonts w:hint="default" w:ascii="Times New Roman" w:hAnsi="Times New Roman" w:eastAsia="宋体" w:cs="Times New Roman"/>
                      <w:color w:val="auto"/>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708E8E24">
                  <w:pPr>
                    <w:pStyle w:val="5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环氧树脂</w:t>
                  </w:r>
                </w:p>
              </w:tc>
              <w:tc>
                <w:tcPr>
                  <w:tcW w:w="655" w:type="pct"/>
                  <w:tcBorders>
                    <w:top w:val="single" w:color="000000" w:sz="4" w:space="0"/>
                    <w:left w:val="single" w:color="000000" w:sz="4" w:space="0"/>
                    <w:bottom w:val="single" w:color="000000" w:sz="4" w:space="0"/>
                    <w:right w:val="single" w:color="000000" w:sz="4" w:space="0"/>
                  </w:tcBorders>
                  <w:vAlign w:val="center"/>
                </w:tcPr>
                <w:p w14:paraId="4982F73F">
                  <w:pPr>
                    <w:pStyle w:val="5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10~15</w:t>
                  </w:r>
                </w:p>
              </w:tc>
              <w:tc>
                <w:tcPr>
                  <w:tcW w:w="606" w:type="pct"/>
                  <w:tcBorders>
                    <w:top w:val="single" w:color="000000" w:sz="4" w:space="0"/>
                    <w:left w:val="single" w:color="000000" w:sz="4" w:space="0"/>
                    <w:bottom w:val="single" w:color="000000" w:sz="4" w:space="0"/>
                    <w:right w:val="single" w:color="000000" w:sz="4" w:space="0"/>
                  </w:tcBorders>
                  <w:vAlign w:val="center"/>
                </w:tcPr>
                <w:p w14:paraId="03ABC5A5">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606" w:type="pct"/>
                  <w:vMerge w:val="continue"/>
                  <w:tcBorders>
                    <w:top w:val="single" w:color="000000" w:sz="4" w:space="0"/>
                    <w:left w:val="single" w:color="000000" w:sz="4" w:space="0"/>
                    <w:bottom w:val="single" w:color="000000" w:sz="4" w:space="0"/>
                    <w:right w:val="single" w:color="000000" w:sz="4" w:space="0"/>
                  </w:tcBorders>
                  <w:vAlign w:val="center"/>
                </w:tcPr>
                <w:p w14:paraId="31AAED4C">
                  <w:pPr>
                    <w:pStyle w:val="50"/>
                    <w:rPr>
                      <w:rFonts w:hint="default" w:ascii="Times New Roman" w:hAnsi="Times New Roman" w:eastAsia="宋体" w:cs="Times New Roman"/>
                      <w:color w:val="auto"/>
                    </w:rPr>
                  </w:pPr>
                </w:p>
              </w:tc>
              <w:tc>
                <w:tcPr>
                  <w:tcW w:w="569" w:type="pct"/>
                  <w:vMerge w:val="continue"/>
                  <w:tcBorders>
                    <w:top w:val="single" w:color="000000" w:sz="4" w:space="0"/>
                    <w:left w:val="single" w:color="000000" w:sz="4" w:space="0"/>
                    <w:bottom w:val="single" w:color="000000" w:sz="4" w:space="0"/>
                    <w:right w:val="single" w:color="000000" w:sz="4" w:space="0"/>
                  </w:tcBorders>
                  <w:vAlign w:val="center"/>
                </w:tcPr>
                <w:p w14:paraId="5EBEE591">
                  <w:pPr>
                    <w:pStyle w:val="50"/>
                    <w:rPr>
                      <w:rFonts w:hint="default" w:ascii="Times New Roman" w:hAnsi="Times New Roman" w:eastAsia="宋体" w:cs="Times New Roman"/>
                      <w:color w:val="auto"/>
                    </w:rPr>
                  </w:pPr>
                </w:p>
              </w:tc>
            </w:tr>
            <w:tr w14:paraId="39EDB23C">
              <w:tblPrEx>
                <w:tblCellMar>
                  <w:top w:w="0" w:type="dxa"/>
                  <w:left w:w="108" w:type="dxa"/>
                  <w:bottom w:w="0" w:type="dxa"/>
                  <w:right w:w="108" w:type="dxa"/>
                </w:tblCellMar>
              </w:tblPrEx>
              <w:trPr>
                <w:trHeight w:val="515"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21CCC18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lang w:eastAsia="zh-CN"/>
                    </w:rPr>
                    <w:t>注：项目电泳时需要使用电泳漆</w:t>
                  </w:r>
                  <w:r>
                    <w:rPr>
                      <w:rFonts w:hint="default" w:ascii="Times New Roman" w:hAnsi="Times New Roman" w:eastAsia="宋体" w:cs="Times New Roman"/>
                      <w:color w:val="auto"/>
                      <w:lang w:val="en-US" w:eastAsia="zh-CN"/>
                    </w:rPr>
                    <w:t>灰</w:t>
                  </w:r>
                  <w:r>
                    <w:rPr>
                      <w:rFonts w:hint="default" w:ascii="Times New Roman" w:hAnsi="Times New Roman" w:eastAsia="宋体" w:cs="Times New Roman"/>
                      <w:color w:val="auto"/>
                      <w:lang w:eastAsia="zh-CN"/>
                    </w:rPr>
                    <w:t>浆、电泳漆乳液、纯水进行调配，项目电泳漆色浆、电泳漆乳液、纯水比例约为</w:t>
                  </w:r>
                  <w:r>
                    <w:rPr>
                      <w:rFonts w:hint="default" w:ascii="Times New Roman" w:hAnsi="Times New Roman" w:eastAsia="宋体" w:cs="Times New Roman"/>
                      <w:color w:val="auto"/>
                      <w:lang w:val="en-US" w:eastAsia="zh-CN"/>
                    </w:rPr>
                    <w:t>4：2</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11</w:t>
                  </w:r>
                  <w:r>
                    <w:rPr>
                      <w:rFonts w:hint="default" w:ascii="Times New Roman" w:hAnsi="Times New Roman" w:eastAsia="宋体" w:cs="Times New Roman"/>
                      <w:color w:val="auto"/>
                      <w:lang w:val="en-US" w:eastAsia="zh-CN"/>
                    </w:rPr>
                    <w:t>。</w:t>
                  </w:r>
                </w:p>
              </w:tc>
            </w:tr>
          </w:tbl>
          <w:p w14:paraId="18C549AC">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000000" w:themeColor="text1"/>
                <w:sz w:val="24"/>
                <w:szCs w:val="24"/>
                <w:highlight w:val="yellow"/>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表2-7 主要原辅用料组成成分及理化性质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7071"/>
            </w:tblGrid>
            <w:tr w14:paraId="764D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63A7FB5D">
                  <w:pPr>
                    <w:adjustRightInd w:val="0"/>
                    <w:snapToGrid w:val="0"/>
                    <w:spacing w:line="276"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化学名称</w:t>
                  </w:r>
                </w:p>
              </w:tc>
              <w:tc>
                <w:tcPr>
                  <w:tcW w:w="3964" w:type="pct"/>
                  <w:vAlign w:val="center"/>
                </w:tcPr>
                <w:p w14:paraId="3E62FB3F">
                  <w:pPr>
                    <w:adjustRightInd w:val="0"/>
                    <w:snapToGrid w:val="0"/>
                    <w:spacing w:line="276"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组成成分及理化性质</w:t>
                  </w:r>
                </w:p>
              </w:tc>
            </w:tr>
            <w:tr w14:paraId="53AA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0FF4AE70">
                  <w:pPr>
                    <w:adjustRightInd w:val="0"/>
                    <w:snapToGrid w:val="0"/>
                    <w:spacing w:line="276"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电泳漆色浆</w:t>
                  </w:r>
                </w:p>
              </w:tc>
              <w:tc>
                <w:tcPr>
                  <w:tcW w:w="3964" w:type="pct"/>
                  <w:vAlign w:val="center"/>
                </w:tcPr>
                <w:p w14:paraId="38D4B11D">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主要成分：环氧树脂12%；聚氨酯树脂8%；聚醚类树脂8%；溶剂10%；硅酸铝10%；钛白粉10%；炭黑2%；有机黄2%：水38%</w:t>
                  </w:r>
                </w:p>
                <w:p w14:paraId="529B88BD">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环氧树脂：在未固化前，环氧树脂通常为无色或淡黄色的粘稠液体，也有一些呈现为固体形态，这主要取决于其分子结构和分子量大小。固化后则形成坚硬的固体。未固化的环氧树脂可溶于多种有机溶剂，如丙酮、甲乙酮、环己酮、甲苯、二甲苯等，但在水中的溶解性较差。不过，一些经过特殊改性的环氧树脂可能具有一定的水溶性。一般密度在 1.1 – 1.2 g/cm³ 左右，但具体数值会因树脂的种类、配方以及添加剂的不同而有所差异。环氧树脂分子中含有活泼的环氧基，能与多种固化剂发生交联反应，形成三维网状结构的聚合物。常见的固化剂有胺类、酸酐类等。固化后的环氧树脂具有良好的化学稳定性，对酸、碱、盐等具有一定的耐受性，但不同类型的环氧树脂对不同化学物质的耐受程度有所不同。一般来说，它在中性和弱碱性环境中的稳定性较好，在强酸性或强碱性环境中可能会受到一定程度的侵蚀。具有较好的热稳定性，通常能在 100℃ - 200℃的温度范围内长期使用，一些高性能的环氧树脂甚至可以在更高的温度下保持较好的性能。不过，当温度超过其热分解温度时，环氧树脂会发生降解等反应。</w:t>
                  </w:r>
                </w:p>
                <w:p w14:paraId="33D9A762">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聚氨酯树脂：是一类由异氰酸酯与含活性氢化合物（如多元醇、胺类）通过逐步聚合反应生成的高分子材料，其理化性质因原料组成（如异氰酸酯种类、多元醇结构、交联度）和合成工艺差异呈现显著多样性。</w:t>
                  </w:r>
                </w:p>
                <w:p w14:paraId="3FF72395">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聚醚类树脂：是一类以醚键（-O-）为主链结构、通过环氧化物（如环氧乙烷、环氧丙烷）开环聚合或多元醇与环氧单体加成反应形成的高分子材料。</w:t>
                  </w:r>
                </w:p>
                <w:p w14:paraId="071CE1D3">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硅酸铝：因 Al-O 键（键能约 512 kJ/mol）和 Si-O 键（键能约 464 kJ/mol）的高稳定性，硅酸铝可耐受极端高温。硅酸铝（尤其纤维状）因内部多孔 / 纤维交织结构，空气被封闭在孔隙中，热传导效率极低。在高温下无熔融、无燃烧（不燃性材料，氧指数＞95%），仅晶态产品在特定温度（如高岭土约 500℃）会因失去结晶水发生轻微重量损失（失重率＜10%），无有毒气体释放。</w:t>
                  </w:r>
                </w:p>
                <w:p w14:paraId="7A101532">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钛白粉：为白色粉末，质地柔软的无嗅无味的白色粉末，遮盖力和着色力强，溶点1560～1580℃。不溶于水、稀无机酸、有机溶剂、油，微溶于碱，溶于浓硫酸。遇热变黄色，冷却后又变白色。金红石型（R型）密度4.26g/cm3，折射率2.72。R型钛白粉具有较好的耐气候性、耐水性和不易变黄的特点，但白度稍差。锐钛型（A型）密度3.84g/cm3，折射率2.55。A型钛白粉耐光性差，不耐风化，但白度较好。近年来发现纳米级超微细二氧化钛（通常为10～50nm）具有半导体性质，并且具有高稳定性、高透明性、高活性和高分散性，无毒性和颜色效应。</w:t>
                  </w:r>
                </w:p>
                <w:p w14:paraId="560A0C2F">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bookmarkStart w:id="3" w:name="OLE_LINK72"/>
                  <w:r>
                    <w:rPr>
                      <w:rFonts w:hint="default" w:ascii="Times New Roman" w:hAnsi="Times New Roman" w:eastAsia="宋体" w:cs="Times New Roman"/>
                      <w:color w:val="000000" w:themeColor="text1"/>
                      <w:kern w:val="0"/>
                      <w14:textFill>
                        <w14:solidFill>
                          <w14:schemeClr w14:val="tx1"/>
                        </w14:solidFill>
                      </w14:textFill>
                    </w:rPr>
                    <w:t>炭黑</w:t>
                  </w:r>
                  <w:bookmarkEnd w:id="3"/>
                  <w:r>
                    <w:rPr>
                      <w:rFonts w:hint="default" w:ascii="Times New Roman" w:hAnsi="Times New Roman" w:eastAsia="宋体" w:cs="Times New Roman"/>
                      <w:color w:val="000000" w:themeColor="text1"/>
                      <w:kern w:val="0"/>
                      <w14:textFill>
                        <w14:solidFill>
                          <w14:schemeClr w14:val="tx1"/>
                        </w14:solidFill>
                      </w14:textFill>
                    </w:rPr>
                    <w:t>：是一种以碳元素为主要成分的无定形碳材料，通常由烃类化合物（如石油、天然气）不完全燃烧或热裂解制得，广泛应用于橡胶、塑料、涂料、油墨等领域。</w:t>
                  </w:r>
                </w:p>
                <w:p w14:paraId="5A824C00">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有机黄：是一类广泛应用的有机颜料，品种繁多，常见的有联苯胺黄、永固黄、喹酞酮黄等，具有色彩鲜艳、着色力高的特点，主要用于涂料、油墨、塑料等领域的着色。</w:t>
                  </w:r>
                </w:p>
              </w:tc>
            </w:tr>
            <w:tr w14:paraId="3DC9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51517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电泳漆乳液</w:t>
                  </w:r>
                </w:p>
              </w:tc>
              <w:tc>
                <w:tcPr>
                  <w:tcW w:w="3964" w:type="pct"/>
                  <w:vAlign w:val="center"/>
                </w:tcPr>
                <w:p w14:paraId="3E6BAE2E">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主要成分：环氧树脂：15%；环氧类流变树脂：5%；聚氨酯树脂：10%；聚醚类树脂5%；溶剂：2%；水：63%</w:t>
                  </w:r>
                </w:p>
                <w:p w14:paraId="4405F659">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环氧树脂：在未固化前，环氧树脂通常为无色或淡黄色的粘稠液体，也有一些呈现为固体形态，这主要取决于其分子结构和分子量大小。固化后则形成坚硬的固体。未固化的环氧树脂可溶于多种有机溶剂，如丙酮、甲乙酮、环己酮、甲苯、二甲苯等，但在水中的溶解性较差。不过，一些经过特殊改性的环氧树脂可能具有一定的水溶性。一般密度在 1.1 – 1.2 g/cm³ 左右，但具体数值会因树脂的种类、配方以及添加剂的不同而有所差异。环氧树脂分子中含有活泼的环氧基，能与多种固化剂发生交联反应，形成三维网状结构的聚合物。常见的固化剂有胺类、酸酐类等。固化后的环氧树脂具有良好的化学稳定性，对酸、碱、盐等具有一定的耐受性，但不同类型的环氧树脂对不同化学物质的耐受程度有所不同。一般来说，它在中性和弱碱性环境中的稳定性较好，在强酸性或强碱性环境中可能会受到一定程度的侵蚀。具有较好的热稳定性，通常能在 100℃ - 200℃的温度范围内长期使用，一些高性能的环氧树脂甚至可以在更高的温度下保持较好的性能。不过，当温度超过其热分解温度时，环氧树脂会发生降解等反应。</w:t>
                  </w:r>
                </w:p>
                <w:p w14:paraId="33C893CB">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环氧类流变树脂：是一类以环氧树脂为基础骨架，通过引入特定改性组分（如触变剂、活性稀释剂、功能化单体等）调控流变性能的功能性树脂，核心特点是在保持环氧树脂基本化学特性的同时，具备可设计的 “静态黏稠 / 动态易流动” 或 “低剪切高黏 / 高剪切低黏” 流变行为，广泛用于复合材料、胶粘剂、涂料、电子封装等领域。</w:t>
                  </w:r>
                </w:p>
                <w:p w14:paraId="30DA95F5">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聚氨酯树脂：是一类由异氰酸酯与含活性氢化合物（如多元醇、胺类）通过逐步聚合反应生成的高分子材料，其理化性质因原料组成（如异氰酸酯种类、多元醇结构、交联度）和合成工艺差异呈现显著多样性。</w:t>
                  </w:r>
                </w:p>
                <w:p w14:paraId="4CB7AF38">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聚醚类树脂：是一类以醚键（-O-）为主链结构、通过环氧化物（如环氧乙烷、环氧丙烷）开环聚合或多元醇与环氧单体加成反应形成的高分子材料。</w:t>
                  </w:r>
                </w:p>
              </w:tc>
            </w:tr>
            <w:tr w14:paraId="5606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04E32D4C">
                  <w:pPr>
                    <w:adjustRightInd w:val="0"/>
                    <w:snapToGrid w:val="0"/>
                    <w:spacing w:line="276" w:lineRule="auto"/>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表调剂</w:t>
                  </w:r>
                </w:p>
              </w:tc>
              <w:tc>
                <w:tcPr>
                  <w:tcW w:w="3964" w:type="pct"/>
                  <w:vAlign w:val="center"/>
                </w:tcPr>
                <w:p w14:paraId="1A4D7DBA">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主要成分：硫酸氧钛：20-40%；EDTA</w:t>
                  </w:r>
                  <w:r>
                    <w:rPr>
                      <w:rFonts w:hint="default" w:ascii="Times New Roman" w:hAnsi="Times New Roman" w:eastAsia="宋体" w:cs="Times New Roman"/>
                      <w:color w:val="000000" w:themeColor="text1"/>
                      <w:kern w:val="0"/>
                      <w:vertAlign w:val="subscript"/>
                      <w14:textFill>
                        <w14:solidFill>
                          <w14:schemeClr w14:val="tx1"/>
                        </w14:solidFill>
                      </w14:textFill>
                    </w:rPr>
                    <w:t>2</w:t>
                  </w:r>
                  <w:r>
                    <w:rPr>
                      <w:rFonts w:hint="default" w:ascii="Times New Roman" w:hAnsi="Times New Roman" w:eastAsia="宋体" w:cs="Times New Roman"/>
                      <w:color w:val="000000" w:themeColor="text1"/>
                      <w:kern w:val="0"/>
                      <w14:textFill>
                        <w14:solidFill>
                          <w14:schemeClr w14:val="tx1"/>
                        </w14:solidFill>
                      </w14:textFill>
                    </w:rPr>
                    <w:t>钠：5-10%；氢氧化钠：5-10%；碳酸钠：20-30%；焦磷酸钠：5-10%；三聚磷酸钠：5-10%</w:t>
                  </w:r>
                </w:p>
                <w:p w14:paraId="29DCF621">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硫酸氧钛：通常为白色或稍带黄色粉末，也有浅红色无味晶体的形态。有潮解性，能溶于水，在冷水中生成硫酸基钛酸，在热水中易水解，还可溶于硫酸、盐酸。熔点未确定，沸点大于 100℃。</w:t>
                  </w:r>
                </w:p>
                <w:p w14:paraId="1CDB1440">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EDTA</w:t>
                  </w:r>
                  <w:r>
                    <w:rPr>
                      <w:rFonts w:hint="default" w:ascii="Times New Roman" w:hAnsi="Times New Roman" w:eastAsia="宋体" w:cs="Times New Roman"/>
                      <w:color w:val="000000" w:themeColor="text1"/>
                      <w:kern w:val="0"/>
                      <w:vertAlign w:val="subscript"/>
                      <w14:textFill>
                        <w14:solidFill>
                          <w14:schemeClr w14:val="tx1"/>
                        </w14:solidFill>
                      </w14:textFill>
                    </w:rPr>
                    <w:t>2</w:t>
                  </w:r>
                  <w:r>
                    <w:rPr>
                      <w:rFonts w:hint="default" w:ascii="Times New Roman" w:hAnsi="Times New Roman" w:eastAsia="宋体" w:cs="Times New Roman"/>
                      <w:color w:val="000000" w:themeColor="text1"/>
                      <w:kern w:val="0"/>
                      <w14:textFill>
                        <w14:solidFill>
                          <w14:schemeClr w14:val="tx1"/>
                        </w14:solidFill>
                      </w14:textFill>
                    </w:rPr>
                    <w:t>钠：通常为白色结晶性粉末或颗粒，无臭。易溶于水，20℃时溶解度约为 100g/L；微溶于乙醇，不溶于乙醚、苯等有机溶剂。熔点：约 250℃（分解），加热至 300℃以上会完全分解。水溶液呈弱酸性（pH 约 4.7），在较宽的 pH 范围内（2-11）能稳定存在，但在强酸性条件下（pH&lt;2）可能分解为 EDTA 酸，在强碱性条件下（pH&gt;12）可能发生水解。</w:t>
                  </w:r>
                </w:p>
                <w:p w14:paraId="1BA4A0F0">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氢氧化钠：通常为白色半透明结晶状固体，纯品为白色晶体，工业品因含杂质可能呈淡灰色或淡黄色。极易溶于水，且溶解时会剧烈放热；易溶于乙醇、甘油，不溶于乙醚、丙酮等有机溶剂。20℃时，其在水中的溶解度约为 109g/100mL。水溶液呈强碱性（pH 值通常&gt; 14，浓度越高碱性越强），能使酚酞试液变红、石蕊试液变蓝。</w:t>
                  </w:r>
                </w:p>
                <w:p w14:paraId="15BEC7D2">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碳酸钠：通常为白色粉末或细颗粒，无臭，有一定吸湿性。易溶于水，20℃时溶解度约为 21.5g/100mL，水溶液呈碱性；不溶于乙醇、乙醚等有机溶剂。溶解时放热，但放热程度较氢氧化钠温和。熔点为 851℃，加热至熔点以上会分解（生成氧化钠和二氧化碳），但常温下化学性质稳定。碳酸钠是强碱弱酸盐，溶于水后因水解呈碱性。</w:t>
                  </w:r>
                </w:p>
                <w:p w14:paraId="53047258">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焦磷酸钠：通常为白色结晶性粉末或颗粒，无臭，易溶于水，不溶于乙醇、乙醚等有机溶剂。在水中的溶解度随温度升高而增大，20℃时溶解度约为 6.2g/100mL，水溶液呈碱性。具有一定的吸湿性，在空气中易吸收水分而潮解，因此需密封保存。常温下稳定，高温时（超过其熔点）会分解为磷酸钠和五氧化二磷等产物。</w:t>
                  </w:r>
                </w:p>
                <w:p w14:paraId="6CA37681">
                  <w:pPr>
                    <w:autoSpaceDE w:val="0"/>
                    <w:autoSpaceDN w:val="0"/>
                    <w:adjustRightIn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三聚磷酸钠：通常为白色结晶性粉末或颗粒，无臭，有吸湿性，易溶于水，不溶于乙醇、乙醚等有机溶剂。在水中溶解度较高，20℃时溶解度约为 13g/100mL，30℃时可达 20g/100mL，溶解时伴随轻微放热，水溶液呈碱性。无水三聚磷酸钠的熔点约 622℃，熔融后冷却可形成玻璃状物质；常温下化学性质较稳定，但在潮湿空气中易吸潮结块。可与某些金属氧化物（如氧化铁、氧化铜）反应，生成可溶性络合物，这一性质使其在电镀、印染等行业中用于去除金属杂质。</w:t>
                  </w:r>
                </w:p>
              </w:tc>
            </w:tr>
            <w:tr w14:paraId="39B7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647C179D">
                  <w:pPr>
                    <w:adjustRightInd w:val="0"/>
                    <w:snapToGrid w:val="0"/>
                    <w:spacing w:line="276"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液化石油气</w:t>
                  </w:r>
                </w:p>
              </w:tc>
              <w:tc>
                <w:tcPr>
                  <w:tcW w:w="3964" w:type="pct"/>
                  <w:vAlign w:val="center"/>
                </w:tcPr>
                <w:p w14:paraId="6A702843">
                  <w:pPr>
                    <w:autoSpaceDE w:val="0"/>
                    <w:autoSpaceDN w:val="0"/>
                    <w:adjustRightInd w:val="0"/>
                    <w:jc w:val="left"/>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液化石油气是炼油厂在进行原油催化裂解与热裂解时所得到的副产品。催化裂解气的主要成份如下（%）：氢气5～6．甲烷10．乙烷3～5．乙烯3．丙烷16～20．丙烯6～11．丁烷42～46．丁烯5～6，含5个碳原子以上的烃类5～12。成分：较多：“丙烷、丁烷”。较少：“乙烯、丙烯、乙烷、丁烯”等；外观与性状：无色气体或黄棕色油状液体有特殊臭味；密度：液态液化石油气580k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，气态密度为：2.35kg/m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，气态相对密度：1.686（即设空气的密度为1，天液态液化石油气相对于空气的密度为1.686）；引燃温度：426～537℃，爆炸上限（V/V）：9.5%，爆炸下限（V/V）：1.5%</w:t>
                  </w:r>
                  <w:r>
                    <w:rPr>
                      <w:rFonts w:hint="eastAsia" w:ascii="Times New Roman" w:hAnsi="Times New Roman" w:eastAsia="宋体" w:cs="Times New Roman"/>
                      <w:color w:val="000000" w:themeColor="text1"/>
                      <w:lang w:eastAsia="zh-CN"/>
                      <w14:textFill>
                        <w14:solidFill>
                          <w14:schemeClr w14:val="tx1"/>
                        </w14:solidFill>
                      </w14:textFill>
                    </w:rPr>
                    <w:t>。</w:t>
                  </w:r>
                </w:p>
              </w:tc>
            </w:tr>
            <w:tr w14:paraId="6119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4945BAA7">
                  <w:pPr>
                    <w:adjustRightInd w:val="0"/>
                    <w:snapToGrid w:val="0"/>
                    <w:spacing w:line="276"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酸洗液</w:t>
                  </w:r>
                </w:p>
              </w:tc>
              <w:tc>
                <w:tcPr>
                  <w:tcW w:w="3964" w:type="pct"/>
                  <w:vAlign w:val="center"/>
                </w:tcPr>
                <w:p w14:paraId="60ADB566">
                  <w:pPr>
                    <w:autoSpaceDE w:val="0"/>
                    <w:autoSpaceDN w:val="0"/>
                    <w:adjustRightInd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外观：无色透明液体，无味或微咸味。主要成分：电解液</w:t>
                  </w:r>
                  <w:r>
                    <w:rPr>
                      <w:rFonts w:hint="eastAsia" w:ascii="Times New Roman" w:hAnsi="Times New Roman" w:eastAsia="宋体" w:cs="Times New Roman"/>
                      <w:color w:val="000000" w:themeColor="text1"/>
                      <w:lang w:val="en-US" w:eastAsia="zh-CN"/>
                      <w14:textFill>
                        <w14:solidFill>
                          <w14:schemeClr w14:val="tx1"/>
                        </w14:solidFill>
                      </w14:textFill>
                    </w:rPr>
                    <w:t>30-60%，缓蚀剂0.1-0.5%，表面活性剂1-3%，去离子水36.5%~68.9%；</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电解液由专用</w:t>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"https://baike.baidu.com/item/%E7%A1%AB%E9%85%B8/0?fromModule=lemma_inlink" \t "https://baike.baidu.com/item/_blank" </w:instrText>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fldChar w:fldCharType="separate"/>
                  </w:r>
                  <w:r>
                    <w:rPr>
                      <w:rStyle w:val="27"/>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硫酸</w:t>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和</w:t>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"https://baike.baidu.com/item/%E8%92%B8%E9%A6%8F%E6%B0%B4/0?fromModule=lemma_inlink" \t "https://baike.baidu.com/item/_blank" </w:instrText>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fldChar w:fldCharType="separate"/>
                  </w:r>
                  <w:r>
                    <w:rPr>
                      <w:rStyle w:val="27"/>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蒸馏水</w:t>
                  </w:r>
                  <w:r>
                    <w:rPr>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按一定比例配制而成，密度一般是1.24-1.30克每立方厘米</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；硫酸：硫酸是一种无机化合物，化学式是H</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eastAsia="zh-CN"/>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SO</w:t>
                  </w:r>
                  <w:r>
                    <w:rPr>
                      <w:rFonts w:hint="eastAsia" w:ascii="Times New Roman" w:hAnsi="Times New Roman" w:eastAsia="宋体" w:cs="Times New Roman"/>
                      <w:i w:val="0"/>
                      <w:iCs w:val="0"/>
                      <w:caps w:val="0"/>
                      <w:color w:val="000000" w:themeColor="text1"/>
                      <w:spacing w:val="0"/>
                      <w:sz w:val="21"/>
                      <w:szCs w:val="21"/>
                      <w:shd w:val="clear" w:fill="FFFFFF"/>
                      <w:vertAlign w:val="subscript"/>
                      <w:lang w:eastAsia="zh-CN"/>
                      <w14:textFill>
                        <w14:solidFill>
                          <w14:schemeClr w14:val="tx1"/>
                        </w14:solidFill>
                      </w14:textFill>
                    </w:rPr>
                    <w:t>4</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是硫的最重要的含氧酸。纯净的硫酸为无色油状液体，10.36℃时结晶。通常使用的是它的各种不同浓度的水溶液，沸点338℃，相对密度1.84。缓蚀剂是指那些用在金属表面起防护作用的物质，加入微量或少量这类化学物质可使金属材料在该介质中的腐蚀速度明显降低直至为零。同时还能保持金属材料原来的物理、力学性能不变。苯三氮唑</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分子式</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C₆H₅N₃</w:t>
                  </w:r>
                  <w:r>
                    <w:rPr>
                      <w:rFonts w:hint="eastAsia"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又称苯并三氮唑、BTA）外观‌：白色至浅褐色针状结晶或粉末，‌在空气中氧化后颜色逐渐变红，气味‌：无臭或有轻微特征性气味，常温常压下稳定‌，但‌对光敏感‌，需‌避光保存，是一种重要的有机杂环化合物，广泛用作金属缓蚀剂、光稳定剂、照相防雾剂等。聚环氧乙烷磺基琥珀酸月桂基钠，</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分子式</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C₁₆H₂₈Na₂O₇S</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，外观‌：‌无色至淡黄色黏稠液体‌，透明、无气味，溶解性‌：‌易溶于水及乙醇，表面活性类型‌：阴离子型，兼具非离子特性。‌‌</w:t>
                  </w:r>
                </w:p>
              </w:tc>
            </w:tr>
          </w:tbl>
          <w:p w14:paraId="6A4F13E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left"/>
              <w:textAlignment w:val="baseline"/>
              <w:rPr>
                <w:rFonts w:hint="default"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eastAsia="zh-CN"/>
              </w:rPr>
              <w:t>、职工人数及工作制度</w:t>
            </w:r>
          </w:p>
          <w:p w14:paraId="154F30B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本项目劳动定员</w:t>
            </w:r>
            <w:r>
              <w:rPr>
                <w:rFonts w:hint="default"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eastAsia="zh-CN"/>
              </w:rPr>
              <w:t>人，实行一班制生产，年工作300天，年工作时间2400h</w:t>
            </w:r>
            <w:r>
              <w:rPr>
                <w:rFonts w:hint="default" w:ascii="Times New Roman" w:hAnsi="Times New Roman" w:eastAsia="宋体" w:cs="Times New Roman"/>
                <w:sz w:val="24"/>
                <w:szCs w:val="24"/>
                <w:lang w:val="en-US" w:eastAsia="zh-CN"/>
              </w:rPr>
              <w:t>。</w:t>
            </w:r>
          </w:p>
          <w:p w14:paraId="1D24393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b/>
                <w:bCs/>
                <w:sz w:val="24"/>
                <w:lang w:eastAsia="zh-CN"/>
              </w:rPr>
            </w:pPr>
            <w:r>
              <w:rPr>
                <w:rFonts w:hint="eastAsia"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lang w:val="en-US" w:eastAsia="zh-CN"/>
              </w:rPr>
              <w:t>、</w:t>
            </w:r>
            <w:r>
              <w:rPr>
                <w:rFonts w:ascii="Times New Roman" w:hAnsi="Times New Roman" w:eastAsia="宋体" w:cs="Times New Roman"/>
                <w:b/>
                <w:bCs/>
                <w:sz w:val="24"/>
                <w:lang w:eastAsia="zh-CN"/>
              </w:rPr>
              <w:t>项目平面布置</w:t>
            </w:r>
          </w:p>
          <w:p w14:paraId="404F06E0">
            <w:pPr>
              <w:pStyle w:val="48"/>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sz w:val="24"/>
                <w:szCs w:val="24"/>
                <w:lang w:eastAsia="zh-CN"/>
              </w:rPr>
            </w:pPr>
            <w:r>
              <w:rPr>
                <w:rFonts w:hint="default" w:ascii="Times New Roman" w:hAnsi="Times New Roman" w:eastAsia="宋体" w:cs="Times New Roman"/>
                <w:sz w:val="24"/>
                <w:szCs w:val="24"/>
              </w:rPr>
              <w:t>本项目位于</w:t>
            </w:r>
            <w:r>
              <w:rPr>
                <w:rFonts w:hint="default" w:ascii="Times New Roman" w:hAnsi="Times New Roman" w:eastAsia="宋体" w:cs="Times New Roman"/>
                <w:bCs/>
                <w:color w:val="auto"/>
                <w:kern w:val="0"/>
                <w:sz w:val="24"/>
                <w:szCs w:val="24"/>
              </w:rPr>
              <w:t>宿州徐州现代产</w:t>
            </w:r>
            <w:r>
              <w:rPr>
                <w:rFonts w:hint="default" w:ascii="Times New Roman" w:hAnsi="Times New Roman" w:eastAsia="宋体" w:cs="Times New Roman"/>
                <w:bCs/>
                <w:color w:val="auto"/>
                <w:kern w:val="0"/>
                <w:sz w:val="24"/>
                <w:szCs w:val="24"/>
                <w:highlight w:val="none"/>
              </w:rPr>
              <w:t>业园区埇桥园G206国道与雁山路交叉口（金鸽面粉厂院内）</w:t>
            </w:r>
            <w:r>
              <w:rPr>
                <w:rFonts w:hint="default" w:ascii="Times New Roman" w:hAnsi="Times New Roman" w:eastAsia="宋体" w:cs="Times New Roman"/>
                <w:sz w:val="24"/>
                <w:szCs w:val="24"/>
                <w:lang w:eastAsia="zh-CN"/>
              </w:rPr>
              <w:t>，根据项目功能要求和场地地形，在生产车间设置生产区、原料仓库、产品仓库等。项目布置总体来说，结构明朗，流程顺畅，布局紧凑，符合防火、安全卫生、环保、交通、运输、生产工艺流程等需求。总体上做到按功能分区，系统分明，布置整齐。项目平面布置满足生产人流、物流分离、互不交叉干扰的原则（具体见附图）。</w:t>
            </w:r>
          </w:p>
          <w:p w14:paraId="04F6E6C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综上所述，本项目厂区平面布局较合理。</w:t>
            </w:r>
          </w:p>
          <w:p w14:paraId="301FE4B7">
            <w:pPr>
              <w:keepNext w:val="0"/>
              <w:keepLines w:val="0"/>
              <w:pageBreakBefore w:val="0"/>
              <w:widowControl/>
              <w:kinsoku/>
              <w:wordWrap/>
              <w:overflowPunct/>
              <w:topLinePunct w:val="0"/>
              <w:autoSpaceDE w:val="0"/>
              <w:autoSpaceDN w:val="0"/>
              <w:bidi w:val="0"/>
              <w:adjustRightInd/>
              <w:snapToGrid/>
              <w:spacing w:line="360" w:lineRule="auto"/>
              <w:ind w:firstLine="0" w:firstLineChars="0"/>
              <w:textAlignment w:val="baseline"/>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7</w:t>
            </w:r>
            <w:r>
              <w:rPr>
                <w:rFonts w:hint="default" w:ascii="Times New Roman" w:hAnsi="Times New Roman" w:eastAsia="宋体" w:cs="Times New Roman"/>
                <w:b/>
                <w:bCs/>
                <w:sz w:val="24"/>
                <w:szCs w:val="24"/>
                <w:lang w:eastAsia="zh-CN"/>
              </w:rPr>
              <w:t>、水量平衡</w:t>
            </w:r>
          </w:p>
          <w:p w14:paraId="3C4CD74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本项目外排废水主要是生活污水、生产废水两大类。生产废水来源于</w:t>
            </w:r>
            <w:r>
              <w:rPr>
                <w:rFonts w:hint="eastAsia" w:ascii="Times New Roman" w:hAnsi="Times New Roman" w:eastAsia="宋体" w:cs="Times New Roman"/>
                <w:sz w:val="24"/>
                <w:szCs w:val="24"/>
                <w:lang w:val="en-US" w:eastAsia="zh-CN"/>
              </w:rPr>
              <w:t>酸洗后水洗</w:t>
            </w:r>
            <w:r>
              <w:rPr>
                <w:rFonts w:hint="default" w:ascii="Times New Roman" w:hAnsi="Times New Roman" w:eastAsia="宋体" w:cs="Times New Roman"/>
                <w:sz w:val="24"/>
                <w:szCs w:val="24"/>
                <w:lang w:val="en-US" w:eastAsia="zh-CN"/>
              </w:rPr>
              <w:t>、磷化后水洗、</w:t>
            </w:r>
            <w:r>
              <w:rPr>
                <w:rFonts w:hint="eastAsia" w:ascii="Times New Roman" w:hAnsi="Times New Roman" w:eastAsia="宋体" w:cs="Times New Roman"/>
                <w:sz w:val="24"/>
                <w:szCs w:val="24"/>
                <w:lang w:val="en-US" w:eastAsia="zh-CN"/>
              </w:rPr>
              <w:t>表调后水洗、电泳后纯水洗、纯水制备及</w:t>
            </w:r>
            <w:r>
              <w:rPr>
                <w:rFonts w:hint="default" w:ascii="Times New Roman" w:hAnsi="Times New Roman" w:eastAsia="宋体" w:cs="Times New Roman"/>
                <w:sz w:val="24"/>
                <w:szCs w:val="24"/>
                <w:lang w:val="en-US" w:eastAsia="zh-CN"/>
              </w:rPr>
              <w:t>喷淋塔用水。</w:t>
            </w:r>
          </w:p>
          <w:p w14:paraId="495FFC7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①</w:t>
            </w:r>
            <w:r>
              <w:rPr>
                <w:rFonts w:hint="default" w:ascii="Times New Roman" w:hAnsi="Times New Roman" w:eastAsia="宋体" w:cs="Times New Roman"/>
                <w:sz w:val="24"/>
                <w:szCs w:val="24"/>
                <w:lang w:val="en-US" w:eastAsia="zh-CN"/>
              </w:rPr>
              <w:t>生活用水：</w:t>
            </w:r>
            <w:r>
              <w:rPr>
                <w:rFonts w:hint="default" w:ascii="Times New Roman" w:hAnsi="Times New Roman" w:eastAsia="宋体" w:cs="Times New Roman"/>
                <w:sz w:val="24"/>
                <w:szCs w:val="24"/>
                <w:lang w:eastAsia="zh-CN"/>
              </w:rPr>
              <w:t>本项目劳动定员</w:t>
            </w:r>
            <w:r>
              <w:rPr>
                <w:rFonts w:hint="default"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eastAsia="zh-CN"/>
              </w:rPr>
              <w:t>人，项目运营期生活污水主要来源于员工日常生活过程产生，《安徽省行业用水定额》（DB34/T679-2019），按60L/(人·d)计，项目年工作日300天，则用水量约</w:t>
            </w:r>
            <w:r>
              <w:rPr>
                <w:rFonts w:hint="default" w:ascii="Times New Roman" w:hAnsi="Times New Roman" w:eastAsia="宋体" w:cs="Times New Roman"/>
                <w:sz w:val="24"/>
                <w:szCs w:val="24"/>
                <w:lang w:val="en-US" w:eastAsia="zh-CN"/>
              </w:rPr>
              <w:t>为1.8m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/d，年用水量为540m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/a。废水产生量按用水量的80%计算，</w:t>
            </w:r>
            <w:r>
              <w:rPr>
                <w:rFonts w:hint="default" w:ascii="Times New Roman" w:hAnsi="Times New Roman" w:eastAsia="宋体" w:cs="Times New Roman"/>
                <w:sz w:val="24"/>
                <w:szCs w:val="24"/>
                <w:lang w:val="en-US" w:eastAsia="zh-CN"/>
              </w:rPr>
              <w:t>则废水产生量约为1.44m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eastAsia="zh-CN"/>
              </w:rPr>
              <w:t>年产生废水量约为</w:t>
            </w:r>
            <w:r>
              <w:rPr>
                <w:rFonts w:hint="default" w:ascii="Times New Roman" w:hAnsi="Times New Roman" w:eastAsia="宋体" w:cs="Times New Roman"/>
                <w:sz w:val="24"/>
                <w:szCs w:val="24"/>
                <w:lang w:val="en-US" w:eastAsia="zh-CN"/>
              </w:rPr>
              <w:t>432m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/a。生活污水经化粪池处理后，排入宿州市埇桥区曹村污水处理有限公司</w:t>
            </w:r>
            <w:r>
              <w:rPr>
                <w:rFonts w:hint="default" w:ascii="Times New Roman" w:hAnsi="Times New Roman" w:eastAsia="宋体" w:cs="Times New Roman"/>
                <w:sz w:val="24"/>
                <w:szCs w:val="24"/>
                <w:lang w:val="en-US" w:eastAsia="zh-CN"/>
              </w:rPr>
              <w:t>处理</w:t>
            </w:r>
            <w:r>
              <w:rPr>
                <w:rFonts w:hint="default" w:ascii="Times New Roman" w:hAnsi="Times New Roman" w:eastAsia="宋体" w:cs="Times New Roman"/>
                <w:sz w:val="24"/>
                <w:szCs w:val="24"/>
                <w:lang w:eastAsia="zh-CN"/>
              </w:rPr>
              <w:t>，处理后尾水排入</w:t>
            </w:r>
            <w:r>
              <w:rPr>
                <w:rFonts w:hint="eastAsia" w:ascii="Times New Roman" w:hAnsi="Times New Roman" w:eastAsia="宋体" w:cs="Times New Roman"/>
                <w:sz w:val="24"/>
                <w:szCs w:val="24"/>
                <w:lang w:val="en-US" w:eastAsia="zh-CN"/>
              </w:rPr>
              <w:t>淝河</w:t>
            </w:r>
            <w:r>
              <w:rPr>
                <w:rFonts w:hint="default" w:ascii="Times New Roman" w:hAnsi="Times New Roman" w:eastAsia="宋体" w:cs="Times New Roman"/>
                <w:sz w:val="24"/>
                <w:szCs w:val="24"/>
                <w:lang w:eastAsia="zh-CN"/>
              </w:rPr>
              <w:t>。</w:t>
            </w:r>
          </w:p>
          <w:p w14:paraId="1B4AEF8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w:t>
            </w:r>
            <w:r>
              <w:rPr>
                <w:rFonts w:hint="eastAsia" w:ascii="Times New Roman" w:hAnsi="Times New Roman" w:eastAsia="宋体" w:cs="Times New Roman"/>
                <w:sz w:val="24"/>
                <w:szCs w:val="24"/>
                <w:lang w:val="en-US" w:eastAsia="zh-CN"/>
              </w:rPr>
              <w:t>酸洗补充</w:t>
            </w:r>
            <w:r>
              <w:rPr>
                <w:rFonts w:hint="default" w:ascii="Times New Roman" w:hAnsi="Times New Roman" w:eastAsia="宋体" w:cs="Times New Roman"/>
                <w:sz w:val="24"/>
                <w:szCs w:val="24"/>
                <w:lang w:val="en-US" w:eastAsia="zh-CN"/>
              </w:rPr>
              <w:t>用水：项目</w:t>
            </w:r>
            <w:r>
              <w:rPr>
                <w:rFonts w:hint="eastAsia" w:ascii="Times New Roman" w:hAnsi="Times New Roman" w:eastAsia="宋体" w:cs="Times New Roman"/>
                <w:sz w:val="24"/>
                <w:szCs w:val="24"/>
                <w:lang w:val="en-US" w:eastAsia="zh-CN"/>
              </w:rPr>
              <w:t>共</w:t>
            </w:r>
            <w:r>
              <w:rPr>
                <w:rFonts w:hint="default" w:ascii="Times New Roman" w:hAnsi="Times New Roman" w:eastAsia="宋体" w:cs="Times New Roman"/>
                <w:sz w:val="24"/>
                <w:szCs w:val="24"/>
                <w:lang w:val="en-US" w:eastAsia="zh-CN"/>
              </w:rPr>
              <w:t>设置</w:t>
            </w:r>
            <w:r>
              <w:rPr>
                <w:rFonts w:hint="eastAsia" w:ascii="Times New Roman" w:hAnsi="Times New Roman" w:eastAsia="宋体" w:cs="Times New Roman"/>
                <w:sz w:val="24"/>
                <w:szCs w:val="24"/>
                <w:lang w:val="en-US" w:eastAsia="zh-CN"/>
              </w:rPr>
              <w:t>四座酸洗池，容积共80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酸洗用水量</w:t>
            </w:r>
            <w:r>
              <w:rPr>
                <w:rFonts w:hint="default" w:ascii="Times New Roman" w:hAnsi="Times New Roman" w:eastAsia="宋体" w:cs="Times New Roman"/>
                <w:sz w:val="24"/>
                <w:szCs w:val="24"/>
                <w:lang w:val="en-US" w:eastAsia="zh-CN"/>
              </w:rPr>
              <w:t>按照</w:t>
            </w:r>
            <w:r>
              <w:rPr>
                <w:rFonts w:hint="eastAsia" w:ascii="Times New Roman" w:hAnsi="Times New Roman" w:eastAsia="宋体" w:cs="Times New Roman"/>
                <w:sz w:val="24"/>
                <w:szCs w:val="24"/>
                <w:lang w:val="en-US" w:eastAsia="zh-CN"/>
              </w:rPr>
              <w:t>酸洗池</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64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lang w:val="en-US" w:eastAsia="zh-CN"/>
              </w:rPr>
              <w:t>酸洗液与水配比约按照1：10的配比进行配置，首次酸洗液用量为5.82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lang w:val="en-US" w:eastAsia="zh-CN"/>
              </w:rPr>
              <w:t>，首次配酸洗液的用水量为58.18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lang w:val="en-US" w:eastAsia="zh-CN"/>
              </w:rPr>
              <w:t>，另外因物料带走的酸洗液每天按首次配比用量的10%计，酸洗液补充量为0.582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lang w:val="en-US" w:eastAsia="zh-CN"/>
              </w:rPr>
              <w:t>/d（174.6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lang w:val="en-US" w:eastAsia="zh-CN"/>
              </w:rPr>
              <w:t>/a），水的补充量为5.818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lang w:val="en-US" w:eastAsia="zh-CN"/>
              </w:rPr>
              <w:t>/d（1745.4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lang w:val="en-US" w:eastAsia="zh-CN"/>
              </w:rPr>
              <w:t>/a）。</w:t>
            </w:r>
          </w:p>
          <w:p w14:paraId="70CF6E0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w:t>
            </w:r>
            <w:r>
              <w:rPr>
                <w:rFonts w:hint="eastAsia" w:ascii="Times New Roman" w:hAnsi="Times New Roman" w:eastAsia="宋体" w:cs="Times New Roman"/>
                <w:sz w:val="24"/>
                <w:szCs w:val="24"/>
                <w:lang w:val="en-US" w:eastAsia="zh-CN"/>
              </w:rPr>
              <w:t>酸洗</w:t>
            </w:r>
            <w:r>
              <w:rPr>
                <w:rFonts w:hint="default" w:ascii="Times New Roman" w:hAnsi="Times New Roman" w:eastAsia="宋体" w:cs="Times New Roman"/>
                <w:sz w:val="24"/>
                <w:szCs w:val="24"/>
                <w:lang w:val="en-US" w:eastAsia="zh-CN"/>
              </w:rPr>
              <w:t>后水洗</w:t>
            </w:r>
            <w:r>
              <w:rPr>
                <w:rFonts w:hint="eastAsia" w:ascii="Times New Roman" w:hAnsi="Times New Roman" w:eastAsia="宋体" w:cs="Times New Roman"/>
                <w:sz w:val="24"/>
                <w:szCs w:val="24"/>
                <w:lang w:val="en-US" w:eastAsia="zh-CN"/>
              </w:rPr>
              <w:t>用水</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酸洗</w:t>
            </w:r>
            <w:r>
              <w:rPr>
                <w:rFonts w:hint="default" w:ascii="Times New Roman" w:hAnsi="Times New Roman" w:eastAsia="宋体" w:cs="Times New Roman"/>
                <w:sz w:val="24"/>
                <w:szCs w:val="24"/>
                <w:lang w:val="en-US" w:eastAsia="zh-CN"/>
              </w:rPr>
              <w:t>后需进行清水洗，设置</w:t>
            </w: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酸洗水洗池，容积共86.5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酸洗水洗池</w:t>
            </w:r>
            <w:r>
              <w:rPr>
                <w:rFonts w:hint="default" w:ascii="Times New Roman" w:hAnsi="Times New Roman" w:eastAsia="宋体" w:cs="Times New Roman"/>
                <w:sz w:val="24"/>
                <w:szCs w:val="24"/>
                <w:lang w:val="en-US" w:eastAsia="zh-CN"/>
              </w:rPr>
              <w:t>按照容积的80%计，则一次性补充清水为</w:t>
            </w:r>
            <w:r>
              <w:rPr>
                <w:rFonts w:hint="eastAsia" w:ascii="Times New Roman" w:hAnsi="Times New Roman" w:eastAsia="宋体" w:cs="Times New Roman"/>
                <w:sz w:val="24"/>
                <w:szCs w:val="24"/>
                <w:lang w:val="en-US" w:eastAsia="zh-CN"/>
              </w:rPr>
              <w:t>69.2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。另外因自然蒸发和物料带走每天按10%计，水的补充量为</w:t>
            </w:r>
            <w:r>
              <w:rPr>
                <w:rFonts w:hint="eastAsia" w:ascii="Times New Roman" w:hAnsi="Times New Roman" w:eastAsia="宋体" w:cs="Times New Roman"/>
                <w:sz w:val="24"/>
                <w:szCs w:val="24"/>
                <w:lang w:val="en-US" w:eastAsia="zh-CN"/>
              </w:rPr>
              <w:t>6.92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2076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酸洗</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69.2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4.61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1384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53F1022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lang w:val="en-US" w:eastAsia="zh-CN"/>
              </w:rPr>
              <w:t>磷化补充用水：项目设置</w:t>
            </w: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磷化水池，容积共80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m×2m），磷化液按照</w:t>
            </w:r>
            <w:r>
              <w:rPr>
                <w:rFonts w:hint="eastAsia" w:ascii="Times New Roman" w:hAnsi="Times New Roman" w:eastAsia="宋体" w:cs="Times New Roman"/>
                <w:sz w:val="24"/>
                <w:szCs w:val="24"/>
                <w:lang w:val="en-US" w:eastAsia="zh-CN"/>
              </w:rPr>
              <w:t>磷化池</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64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，磷化液与水配比约按照1：10的配比进行配置，首次磷化液用量为</w:t>
            </w:r>
            <w:r>
              <w:rPr>
                <w:rFonts w:hint="eastAsia" w:ascii="Times New Roman" w:hAnsi="Times New Roman" w:eastAsia="宋体" w:cs="Times New Roman"/>
                <w:sz w:val="24"/>
                <w:szCs w:val="24"/>
                <w:lang w:val="en-US" w:eastAsia="zh-CN"/>
              </w:rPr>
              <w:t>5.82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，首次配比的用水量为</w:t>
            </w:r>
            <w:r>
              <w:rPr>
                <w:rFonts w:hint="eastAsia" w:ascii="Times New Roman" w:hAnsi="Times New Roman" w:eastAsia="宋体" w:cs="Times New Roman"/>
                <w:sz w:val="24"/>
                <w:szCs w:val="24"/>
                <w:lang w:val="en-US" w:eastAsia="zh-CN"/>
              </w:rPr>
              <w:t>58.18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，另外因物料带走每天按首次配比用量的10%计，磷化液补充量为</w:t>
            </w:r>
            <w:r>
              <w:rPr>
                <w:rFonts w:hint="eastAsia" w:ascii="Times New Roman" w:hAnsi="Times New Roman" w:eastAsia="宋体" w:cs="Times New Roman"/>
                <w:sz w:val="24"/>
                <w:szCs w:val="24"/>
                <w:lang w:val="en-US" w:eastAsia="zh-CN"/>
              </w:rPr>
              <w:t>0.582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174.6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/a），水的补充量为</w:t>
            </w:r>
            <w:r>
              <w:rPr>
                <w:rFonts w:hint="eastAsia" w:ascii="Times New Roman" w:hAnsi="Times New Roman" w:eastAsia="宋体" w:cs="Times New Roman"/>
                <w:sz w:val="24"/>
                <w:szCs w:val="24"/>
                <w:lang w:val="en-US" w:eastAsia="zh-CN"/>
              </w:rPr>
              <w:t>5.818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1745.4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560AA9D1">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w:t>
            </w:r>
            <w:r>
              <w:rPr>
                <w:rFonts w:hint="default" w:ascii="Times New Roman" w:hAnsi="Times New Roman" w:eastAsia="宋体" w:cs="Times New Roman"/>
                <w:sz w:val="24"/>
                <w:szCs w:val="24"/>
                <w:lang w:val="en-US" w:eastAsia="zh-CN"/>
              </w:rPr>
              <w:t>磷化后水洗：项目设置</w:t>
            </w: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磷化水池，容积共86.5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其中，两座5.5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池子使用纯水洗。</w:t>
            </w:r>
            <w:r>
              <w:rPr>
                <w:rFonts w:hint="default" w:ascii="Times New Roman" w:hAnsi="Times New Roman" w:eastAsia="宋体" w:cs="Times New Roman"/>
                <w:sz w:val="24"/>
                <w:szCs w:val="24"/>
                <w:lang w:val="en-US" w:eastAsia="zh-CN"/>
              </w:rPr>
              <w:t>磷化</w:t>
            </w:r>
            <w:r>
              <w:rPr>
                <w:rFonts w:hint="eastAsia" w:ascii="Times New Roman" w:hAnsi="Times New Roman" w:eastAsia="宋体" w:cs="Times New Roman"/>
                <w:sz w:val="24"/>
                <w:szCs w:val="24"/>
                <w:lang w:val="en-US" w:eastAsia="zh-CN"/>
              </w:rPr>
              <w:t>水洗按池子</w:t>
            </w:r>
            <w:r>
              <w:rPr>
                <w:rFonts w:hint="default" w:ascii="Times New Roman" w:hAnsi="Times New Roman" w:eastAsia="宋体" w:cs="Times New Roman"/>
                <w:sz w:val="24"/>
                <w:szCs w:val="24"/>
                <w:lang w:val="en-US" w:eastAsia="zh-CN"/>
              </w:rPr>
              <w:t>容积的80%计，则一次性补充</w:t>
            </w:r>
            <w:r>
              <w:rPr>
                <w:rFonts w:hint="eastAsia" w:ascii="Times New Roman" w:hAnsi="Times New Roman" w:eastAsia="宋体" w:cs="Times New Roman"/>
                <w:sz w:val="24"/>
                <w:szCs w:val="24"/>
                <w:lang w:val="en-US" w:eastAsia="zh-CN"/>
              </w:rPr>
              <w:t>纯水为55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清水为</w:t>
            </w:r>
            <w:r>
              <w:rPr>
                <w:rFonts w:hint="eastAsia" w:ascii="Times New Roman" w:hAnsi="Times New Roman" w:eastAsia="宋体" w:cs="Times New Roman"/>
                <w:sz w:val="24"/>
                <w:szCs w:val="24"/>
                <w:lang w:val="en-US" w:eastAsia="zh-CN"/>
              </w:rPr>
              <w:t>25.2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。另外因自然蒸发和物料带走每天按10%计，</w:t>
            </w:r>
            <w:r>
              <w:rPr>
                <w:rFonts w:hint="eastAsia" w:ascii="Times New Roman" w:hAnsi="Times New Roman" w:eastAsia="宋体" w:cs="Times New Roman"/>
                <w:sz w:val="24"/>
                <w:szCs w:val="24"/>
                <w:lang w:val="en-US" w:eastAsia="zh-CN"/>
              </w:rPr>
              <w:t>纯</w:t>
            </w:r>
            <w:r>
              <w:rPr>
                <w:rFonts w:hint="default" w:ascii="Times New Roman" w:hAnsi="Times New Roman" w:eastAsia="宋体" w:cs="Times New Roman"/>
                <w:sz w:val="24"/>
                <w:szCs w:val="24"/>
                <w:lang w:val="en-US" w:eastAsia="zh-CN"/>
              </w:rPr>
              <w:t>水的补充量为</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1650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，清水的补充量为2.52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756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磷化</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纯水55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3.66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1100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，清水25.2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504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6C32E202">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⑥电泳补充纯水：</w:t>
            </w:r>
            <w:r>
              <w:rPr>
                <w:rFonts w:hint="default" w:ascii="Times New Roman" w:hAnsi="Times New Roman" w:eastAsia="宋体" w:cs="Times New Roman"/>
                <w:sz w:val="24"/>
                <w:szCs w:val="24"/>
                <w:lang w:val="en-US" w:eastAsia="zh-CN"/>
              </w:rPr>
              <w:t>根据企业提供设计数据，项目电泳工序以纯水为稀释剂，按电泳漆色浆、电泳漆乳液、纯水比例约为4：2：</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配置电泳槽液进行游浸电泳，项目电泳漆年消耗量为</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a，则配置电泳槽液年需纯水量为</w:t>
            </w:r>
            <w:r>
              <w:rPr>
                <w:rFonts w:hint="eastAsia" w:ascii="Times New Roman" w:hAnsi="Times New Roman" w:eastAsia="宋体" w:cs="Times New Roman"/>
                <w:sz w:val="24"/>
                <w:szCs w:val="24"/>
                <w:lang w:val="en-US" w:eastAsia="zh-CN"/>
              </w:rPr>
              <w:t>18.33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0.06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val="en-US" w:eastAsia="zh-CN"/>
              </w:rPr>
              <w:t>）。</w:t>
            </w:r>
          </w:p>
          <w:p w14:paraId="627EB82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lang w:val="en-US" w:eastAsia="zh-CN"/>
              </w:rPr>
              <w:t>⑦电泳后纯水洗：</w:t>
            </w:r>
            <w:r>
              <w:rPr>
                <w:rFonts w:hint="default" w:ascii="Times New Roman" w:hAnsi="Times New Roman" w:eastAsia="宋体" w:cs="Times New Roman"/>
                <w:sz w:val="24"/>
                <w:szCs w:val="24"/>
                <w:lang w:val="en-US" w:eastAsia="zh-CN"/>
              </w:rPr>
              <w:t>项目设置</w:t>
            </w:r>
            <w:r>
              <w:rPr>
                <w:rFonts w:hint="eastAsia" w:ascii="Times New Roman" w:hAnsi="Times New Roman" w:eastAsia="宋体" w:cs="Times New Roman"/>
                <w:sz w:val="24"/>
                <w:szCs w:val="24"/>
                <w:lang w:val="en-US" w:eastAsia="zh-CN"/>
              </w:rPr>
              <w:t>两</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电泳水洗，容积共27.5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均为5.5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电泳水洗池按池子</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，则一次性补充</w:t>
            </w:r>
            <w:r>
              <w:rPr>
                <w:rFonts w:hint="eastAsia" w:ascii="Times New Roman" w:hAnsi="Times New Roman" w:eastAsia="宋体" w:cs="Times New Roman"/>
                <w:sz w:val="24"/>
                <w:szCs w:val="24"/>
                <w:lang w:val="en-US" w:eastAsia="zh-CN"/>
              </w:rPr>
              <w:t>纯水</w:t>
            </w:r>
            <w:r>
              <w:rPr>
                <w:rFonts w:hint="default" w:ascii="Times New Roman" w:hAnsi="Times New Roman" w:eastAsia="宋体" w:cs="Times New Roman"/>
                <w:sz w:val="24"/>
                <w:szCs w:val="24"/>
                <w:lang w:val="en-US" w:eastAsia="zh-CN"/>
              </w:rPr>
              <w:t>为</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。另外因自然蒸发和物料带走每天按10%计，</w:t>
            </w:r>
            <w:r>
              <w:rPr>
                <w:rFonts w:hint="eastAsia" w:ascii="Times New Roman" w:hAnsi="Times New Roman" w:eastAsia="宋体" w:cs="Times New Roman"/>
                <w:sz w:val="24"/>
                <w:szCs w:val="24"/>
                <w:lang w:val="en-US" w:eastAsia="zh-CN"/>
              </w:rPr>
              <w:t>纯</w:t>
            </w:r>
            <w:r>
              <w:rPr>
                <w:rFonts w:hint="default" w:ascii="Times New Roman" w:hAnsi="Times New Roman" w:eastAsia="宋体" w:cs="Times New Roman"/>
                <w:sz w:val="24"/>
                <w:szCs w:val="24"/>
                <w:lang w:val="en-US" w:eastAsia="zh-CN"/>
              </w:rPr>
              <w:t>水的补充量为</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2076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电泳</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1.47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440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363B06A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⑧表调补充用水：</w:t>
            </w:r>
            <w:r>
              <w:rPr>
                <w:rFonts w:hint="default" w:ascii="Times New Roman" w:hAnsi="Times New Roman" w:eastAsia="宋体" w:cs="Times New Roman"/>
                <w:sz w:val="24"/>
                <w:szCs w:val="24"/>
                <w:lang w:val="en-US" w:eastAsia="zh-CN"/>
              </w:rPr>
              <w:t>项目设置</w:t>
            </w:r>
            <w:r>
              <w:rPr>
                <w:rFonts w:hint="eastAsia" w:ascii="Times New Roman" w:hAnsi="Times New Roman" w:eastAsia="宋体" w:cs="Times New Roman"/>
                <w:sz w:val="24"/>
                <w:szCs w:val="24"/>
                <w:lang w:val="en-US" w:eastAsia="zh-CN"/>
              </w:rPr>
              <w:t>一座表调水池，容积共21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表调水池按池子</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表调剂与水按稀释比3：100进行稀释，则首次表调剂用量为0.49t，新鲜水用量为16.31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另外因自然蒸发和物料带走每天按10%计，</w:t>
            </w:r>
            <w:r>
              <w:rPr>
                <w:rFonts w:hint="eastAsia" w:ascii="Times New Roman" w:hAnsi="Times New Roman" w:eastAsia="宋体" w:cs="Times New Roman"/>
                <w:sz w:val="24"/>
                <w:szCs w:val="24"/>
                <w:lang w:val="en-US" w:eastAsia="zh-CN"/>
              </w:rPr>
              <w:t>表调液补充量为0.05t/d</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水的补充量为</w:t>
            </w:r>
            <w:r>
              <w:rPr>
                <w:rFonts w:hint="eastAsia" w:ascii="Times New Roman" w:hAnsi="Times New Roman" w:eastAsia="宋体" w:cs="Times New Roman"/>
                <w:sz w:val="24"/>
                <w:szCs w:val="24"/>
                <w:lang w:val="en-US" w:eastAsia="zh-CN"/>
              </w:rPr>
              <w:t>1.63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489</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2599899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⑨表调后水洗：</w:t>
            </w:r>
            <w:r>
              <w:rPr>
                <w:rFonts w:hint="default" w:ascii="Times New Roman" w:hAnsi="Times New Roman" w:eastAsia="宋体" w:cs="Times New Roman"/>
                <w:sz w:val="24"/>
                <w:szCs w:val="24"/>
                <w:lang w:val="en-US" w:eastAsia="zh-CN"/>
              </w:rPr>
              <w:t>项目设置</w:t>
            </w:r>
            <w:r>
              <w:rPr>
                <w:rFonts w:hint="eastAsia" w:ascii="Times New Roman" w:hAnsi="Times New Roman" w:eastAsia="宋体" w:cs="Times New Roman"/>
                <w:sz w:val="24"/>
                <w:szCs w:val="24"/>
                <w:lang w:val="en-US" w:eastAsia="zh-CN"/>
              </w:rPr>
              <w:t>一座表调水洗池，容积共21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表调水池按池子</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则一次性补充清水为16.8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另外因自然蒸发和物料带走每天按10%计，水的补充量为</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504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表调</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1.12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336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3BCE3E0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lang w:val="en-US" w:eastAsia="zh-CN"/>
              </w:rPr>
              <w:t>⑧碱喷淋用水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项目酸洗废气治理设施设置1套碱液喷淋塔，喷淋塔设1个</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循环水箱，循环水量</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/h</w:t>
            </w:r>
            <w:r>
              <w:rPr>
                <w:rFonts w:hint="default" w:ascii="Times New Roman" w:hAnsi="Times New Roman" w:eastAsia="宋体" w:cs="Times New Roman"/>
                <w:sz w:val="24"/>
                <w:szCs w:val="24"/>
                <w:lang w:val="en-US" w:eastAsia="zh-CN"/>
              </w:rPr>
              <w:t>，项目喷淋塔由于水分蒸发需定期补充，日耗散的水量约为循环量的1%，则日平均需补充新鲜水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，年需补充蒸发损耗新鲜水量为</w:t>
            </w:r>
            <w:r>
              <w:rPr>
                <w:rFonts w:hint="eastAsia" w:ascii="Times New Roman" w:hAnsi="Times New Roman" w:eastAsia="宋体" w:cs="Times New Roman"/>
                <w:sz w:val="24"/>
                <w:szCs w:val="24"/>
                <w:lang w:val="en-US" w:eastAsia="zh-CN"/>
              </w:rPr>
              <w:t>120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循环水箱</w:t>
            </w:r>
            <w:r>
              <w:rPr>
                <w:rFonts w:hint="default" w:ascii="Times New Roman" w:hAnsi="Times New Roman" w:eastAsia="宋体" w:cs="Times New Roman"/>
                <w:sz w:val="24"/>
                <w:szCs w:val="24"/>
                <w:lang w:val="en-US" w:eastAsia="zh-CN"/>
              </w:rPr>
              <w:t>15天更换一次，更换量为</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0.067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0D25DB56">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⑨纯水制备用水：项目配置一台纯水制备机，采用过滤+反渗透+离子交换树脂组合工艺</w:t>
            </w:r>
            <w:r>
              <w:rPr>
                <w:rFonts w:hint="default" w:ascii="Times New Roman" w:hAnsi="Times New Roman" w:eastAsia="宋体" w:cs="Times New Roman"/>
                <w:color w:val="auto"/>
                <w:sz w:val="24"/>
                <w:szCs w:val="24"/>
                <w:lang w:val="en-US" w:eastAsia="zh-CN"/>
              </w:rPr>
              <w:t>制备纯水</w:t>
            </w:r>
            <w:r>
              <w:rPr>
                <w:rFonts w:hint="eastAsia" w:ascii="Times New Roman" w:hAnsi="Times New Roman" w:eastAsia="宋体" w:cs="Times New Roman"/>
                <w:color w:val="auto"/>
                <w:sz w:val="24"/>
                <w:szCs w:val="24"/>
                <w:lang w:val="en-US" w:eastAsia="zh-CN"/>
              </w:rPr>
              <w:t>，根据上文纯水用量核算，项目一年共需纯水5361.33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color w:val="auto"/>
                <w:sz w:val="24"/>
                <w:szCs w:val="24"/>
                <w:lang w:val="en-US" w:eastAsia="zh-CN"/>
              </w:rPr>
              <w:t>制水系统纯水制备率70%，则本项目制备纯水年消耗新鲜水量为25.53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/d（7653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/a），纯水制备浓水产生7.64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/d（2291.67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p>
          <w:p w14:paraId="3D1EA7E4">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⑨车间保洁废水：厂区地面清洁</w:t>
            </w:r>
            <w:r>
              <w:rPr>
                <w:rFonts w:hint="eastAsia" w:ascii="Times New Roman" w:hAnsi="Times New Roman" w:eastAsia="宋体" w:cs="Times New Roman"/>
                <w:sz w:val="24"/>
                <w:szCs w:val="24"/>
                <w:lang w:val="en-US" w:eastAsia="zh-CN"/>
              </w:rPr>
              <w:t>以拖把拖洗或扫地机器人清扫为主</w:t>
            </w:r>
            <w:r>
              <w:rPr>
                <w:rFonts w:hint="default" w:ascii="Times New Roman" w:hAnsi="Times New Roman" w:eastAsia="宋体" w:cs="Times New Roman"/>
                <w:sz w:val="24"/>
                <w:szCs w:val="24"/>
                <w:lang w:val="en-US" w:eastAsia="zh-CN"/>
              </w:rPr>
              <w:t>，所产生的废水较少，不做定量分析。</w:t>
            </w:r>
          </w:p>
          <w:p w14:paraId="1654F478">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4E02296A">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01C5E79C">
            <w:pPr>
              <w:pStyle w:val="8"/>
              <w:keepNext w:val="0"/>
              <w:keepLines w:val="0"/>
              <w:pageBreakBefore w:val="0"/>
              <w:numPr>
                <w:ilvl w:val="0"/>
                <w:numId w:val="0"/>
              </w:numPr>
              <w:kinsoku/>
              <w:wordWrap/>
              <w:overflowPunct/>
              <w:topLinePunct w:val="0"/>
              <w:bidi w:val="0"/>
              <w:adjustRightInd/>
              <w:snapToGrid/>
              <w:spacing w:line="360" w:lineRule="auto"/>
              <w:ind w:firstLine="420" w:firstLineChars="200"/>
              <w:rPr>
                <w:rFonts w:hint="default" w:ascii="Times New Roman" w:hAnsi="Times New Roman" w:eastAsia="宋体" w:cs="Times New Roman"/>
                <w:sz w:val="24"/>
                <w:szCs w:val="24"/>
                <w:lang w:val="en-US" w:eastAsia="zh-CN"/>
              </w:rPr>
            </w:pPr>
            <w:r>
              <w:drawing>
                <wp:anchor distT="0" distB="0" distL="114300" distR="114300" simplePos="0" relativeHeight="251663360" behindDoc="1" locked="0" layoutInCell="1" allowOverlap="1">
                  <wp:simplePos x="0" y="0"/>
                  <wp:positionH relativeFrom="column">
                    <wp:posOffset>-13970</wp:posOffset>
                  </wp:positionH>
                  <wp:positionV relativeFrom="paragraph">
                    <wp:posOffset>23495</wp:posOffset>
                  </wp:positionV>
                  <wp:extent cx="5732145" cy="5826125"/>
                  <wp:effectExtent l="0" t="0" r="8255" b="3175"/>
                  <wp:wrapNone/>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7"/>
                          <a:stretch>
                            <a:fillRect/>
                          </a:stretch>
                        </pic:blipFill>
                        <pic:spPr>
                          <a:xfrm>
                            <a:off x="0" y="0"/>
                            <a:ext cx="5732145" cy="5826125"/>
                          </a:xfrm>
                          <a:prstGeom prst="rect">
                            <a:avLst/>
                          </a:prstGeom>
                          <a:noFill/>
                          <a:ln>
                            <a:noFill/>
                          </a:ln>
                        </pic:spPr>
                      </pic:pic>
                    </a:graphicData>
                  </a:graphic>
                </wp:anchor>
              </w:drawing>
            </w:r>
          </w:p>
          <w:p w14:paraId="47F185F0">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29806DA7">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3AC93BBF">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186A3D41">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3D2E4BA1">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493B9DAA">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75F80437">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564DA87C">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1EF07601">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3A87B6B6">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457B5F48">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3252EA9A">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34469159">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0D73C860">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206357BE">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7F02103B">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5939C72A">
            <w:pPr>
              <w:pStyle w:val="8"/>
              <w:keepNext w:val="0"/>
              <w:keepLines w:val="0"/>
              <w:pageBreakBefore w:val="0"/>
              <w:numPr>
                <w:ilvl w:val="0"/>
                <w:numId w:val="0"/>
              </w:numPr>
              <w:kinsoku/>
              <w:wordWrap/>
              <w:overflowPunct/>
              <w:topLinePunct w:val="0"/>
              <w:bidi w:val="0"/>
              <w:adjustRightInd/>
              <w:snapToGrid/>
              <w:spacing w:line="360" w:lineRule="auto"/>
              <w:rPr>
                <w:rFonts w:hint="default" w:ascii="Times New Roman" w:hAnsi="Times New Roman" w:eastAsia="宋体" w:cs="Times New Roman"/>
                <w:sz w:val="24"/>
                <w:szCs w:val="24"/>
                <w:lang w:val="en-US" w:eastAsia="zh-CN"/>
              </w:rPr>
            </w:pPr>
          </w:p>
          <w:p w14:paraId="6CAB5E9D">
            <w:pPr>
              <w:pStyle w:val="8"/>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sz w:val="24"/>
                <w:szCs w:val="24"/>
                <w:lang w:val="en-US" w:eastAsia="zh-CN"/>
              </w:rPr>
            </w:pPr>
          </w:p>
          <w:p w14:paraId="3198903A">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b/>
                <w:bCs/>
                <w:sz w:val="24"/>
              </w:rPr>
              <w:t>图2-</w:t>
            </w:r>
            <w:r>
              <w:rPr>
                <w:rFonts w:hint="eastAsia" w:ascii="Times New Roman" w:hAnsi="Times New Roman" w:eastAsia="宋体" w:cs="Times New Roman"/>
                <w:b/>
                <w:bCs/>
                <w:sz w:val="24"/>
                <w:lang w:val="en-US" w:eastAsia="zh-CN"/>
              </w:rPr>
              <w:t>1</w:t>
            </w:r>
            <w:r>
              <w:rPr>
                <w:rFonts w:hint="default" w:ascii="Times New Roman" w:hAnsi="Times New Roman" w:cs="Times New Roman"/>
                <w:b/>
                <w:bCs/>
                <w:sz w:val="24"/>
              </w:rPr>
              <w:t xml:space="preserve">  本项水平衡图单位：</w:t>
            </w:r>
            <w:r>
              <w:rPr>
                <w:rFonts w:hint="eastAsia" w:ascii="Times New Roman" w:hAnsi="Times New Roman" w:cs="Times New Roman"/>
                <w:b/>
                <w:bCs/>
                <w:sz w:val="24"/>
                <w:lang w:val="en-US" w:eastAsia="zh-CN"/>
              </w:rPr>
              <w:t>m</w:t>
            </w:r>
            <w:r>
              <w:rPr>
                <w:rFonts w:hint="eastAsia" w:ascii="Times New Roman" w:hAnsi="Times New Roman" w:cs="Times New Roman"/>
                <w:b/>
                <w:bCs/>
                <w:sz w:val="24"/>
                <w:vertAlign w:val="superscript"/>
                <w:lang w:val="en-US" w:eastAsia="zh-CN"/>
              </w:rPr>
              <w:t>3</w:t>
            </w:r>
            <w:r>
              <w:rPr>
                <w:rFonts w:hint="default" w:ascii="Times New Roman" w:hAnsi="Times New Roman" w:cs="Times New Roman"/>
                <w:b/>
                <w:bCs/>
                <w:sz w:val="24"/>
              </w:rPr>
              <w:t>/</w:t>
            </w:r>
            <w:r>
              <w:rPr>
                <w:rFonts w:hint="eastAsia" w:ascii="Times New Roman" w:hAnsi="Times New Roman" w:eastAsia="宋体" w:cs="Times New Roman"/>
                <w:b/>
                <w:bCs/>
                <w:sz w:val="24"/>
                <w:lang w:val="en-US" w:eastAsia="zh-CN"/>
              </w:rPr>
              <w:t>a</w:t>
            </w:r>
          </w:p>
        </w:tc>
      </w:tr>
      <w:tr w14:paraId="1170D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8" w:hRule="atLeast"/>
          <w:jc w:val="center"/>
        </w:trPr>
        <w:tc>
          <w:tcPr>
            <w:tcW w:w="411" w:type="pct"/>
            <w:vAlign w:val="center"/>
          </w:tcPr>
          <w:p w14:paraId="72905246">
            <w:pPr>
              <w:pStyle w:val="20"/>
              <w:pageBreakBefore w:val="0"/>
              <w:kinsoku/>
              <w:wordWrap/>
              <w:overflowPunct/>
              <w:topLinePunct w:val="0"/>
              <w:bidi w:val="0"/>
              <w:adjustRightInd/>
              <w:snapToGrid/>
              <w:spacing w:before="0" w:beforeAutospacing="0" w:after="0" w:afterAutospacing="0"/>
              <w:jc w:val="center"/>
              <w:rPr>
                <w:rFonts w:ascii="Times New Roman" w:hAnsi="Times New Roman"/>
                <w:szCs w:val="24"/>
              </w:rPr>
            </w:pPr>
            <w:r>
              <w:rPr>
                <w:rFonts w:hint="eastAsia" w:eastAsia="宋体" w:cs="宋体"/>
                <w:szCs w:val="24"/>
                <w:lang w:eastAsia="zh-CN"/>
              </w:rPr>
              <w:t>工艺流程和产排污环节</w:t>
            </w:r>
          </w:p>
        </w:tc>
        <w:tc>
          <w:tcPr>
            <w:tcW w:w="9143" w:type="dxa"/>
            <w:vAlign w:val="top"/>
          </w:tcPr>
          <w:p w14:paraId="1D4F53F6">
            <w:pPr>
              <w:keepNext w:val="0"/>
              <w:keepLines w:val="0"/>
              <w:pageBreakBefore w:val="0"/>
              <w:widowControl w:val="0"/>
              <w:kinsoku/>
              <w:wordWrap/>
              <w:overflowPunct/>
              <w:topLinePunct w:val="0"/>
              <w:autoSpaceDE w:val="0"/>
              <w:autoSpaceDN w:val="0"/>
              <w:bidi w:val="0"/>
              <w:adjustRightInd/>
              <w:snapToGrid/>
              <w:spacing w:line="360" w:lineRule="auto"/>
              <w:jc w:val="both"/>
              <w:textAlignment w:val="baseline"/>
              <w:rPr>
                <w:rFonts w:hint="eastAsia"/>
                <w:kern w:val="0"/>
                <w:sz w:val="24"/>
              </w:rPr>
            </w:pPr>
            <w:r>
              <w:rPr>
                <w:rFonts w:hint="eastAsia" w:ascii="宋体" w:hAnsi="宋体" w:eastAsia="宋体" w:cs="宋体"/>
                <w:b/>
                <w:sz w:val="24"/>
                <w:lang w:eastAsia="zh-CN"/>
              </w:rPr>
              <w:t>工艺流程简述（图示）：</w:t>
            </w:r>
          </w:p>
          <w:p w14:paraId="53463DB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sz w:val="24"/>
                <w:lang w:eastAsia="zh-CN" w:bidi="ar"/>
              </w:rPr>
            </w:pPr>
            <w:r>
              <w:rPr>
                <w:rFonts w:hint="eastAsia" w:ascii="Times New Roman" w:hAnsi="Times New Roman" w:eastAsia="宋体" w:cs="Times New Roman"/>
                <w:sz w:val="24"/>
                <w:lang w:val="en-US" w:eastAsia="zh-CN" w:bidi="ar"/>
              </w:rPr>
              <w:t>1、</w:t>
            </w:r>
            <w:r>
              <w:rPr>
                <w:rFonts w:hint="eastAsia" w:ascii="Times New Roman" w:hAnsi="Times New Roman" w:eastAsia="宋体" w:cs="Times New Roman"/>
                <w:sz w:val="24"/>
                <w:lang w:eastAsia="zh-CN" w:bidi="ar"/>
              </w:rPr>
              <w:t>机加工</w:t>
            </w:r>
            <w:r>
              <w:rPr>
                <w:rFonts w:ascii="Times New Roman" w:hAnsi="Times New Roman" w:eastAsia="宋体" w:cs="Times New Roman"/>
                <w:sz w:val="24"/>
                <w:lang w:eastAsia="zh-CN" w:bidi="ar"/>
              </w:rPr>
              <w:t>生产工艺流程及产污节点简图如下图。</w:t>
            </w:r>
          </w:p>
          <w:p w14:paraId="53AF9325">
            <w:pPr>
              <w:keepNext w:val="0"/>
              <w:keepLines w:val="0"/>
              <w:pageBreakBefore w:val="0"/>
              <w:widowControl/>
              <w:kinsoku/>
              <w:wordWrap/>
              <w:overflowPunct/>
              <w:topLinePunct w:val="0"/>
              <w:autoSpaceDE w:val="0"/>
              <w:autoSpaceDN w:val="0"/>
              <w:bidi w:val="0"/>
              <w:adjustRightInd w:val="0"/>
              <w:snapToGrid w:val="0"/>
              <w:spacing w:line="360" w:lineRule="auto"/>
              <w:ind w:firstLine="0"/>
              <w:jc w:val="center"/>
              <w:textAlignment w:val="baseline"/>
              <w:rPr>
                <w:rFonts w:ascii="Times New Roman" w:hAnsi="Times New Roman" w:eastAsia="宋体" w:cs="Times New Roman"/>
                <w:b/>
                <w:bCs/>
                <w:sz w:val="24"/>
                <w:szCs w:val="24"/>
                <w:lang w:eastAsia="zh-CN"/>
              </w:rPr>
            </w:pPr>
            <w:r>
              <w:drawing>
                <wp:anchor distT="0" distB="0" distL="114300" distR="114300" simplePos="0" relativeHeight="251663360" behindDoc="1" locked="0" layoutInCell="1" allowOverlap="1">
                  <wp:simplePos x="0" y="0"/>
                  <wp:positionH relativeFrom="column">
                    <wp:posOffset>521335</wp:posOffset>
                  </wp:positionH>
                  <wp:positionV relativeFrom="paragraph">
                    <wp:posOffset>50800</wp:posOffset>
                  </wp:positionV>
                  <wp:extent cx="4638040" cy="5155565"/>
                  <wp:effectExtent l="0" t="0" r="1016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638040" cy="5155565"/>
                          </a:xfrm>
                          <a:prstGeom prst="rect">
                            <a:avLst/>
                          </a:prstGeom>
                          <a:noFill/>
                          <a:ln>
                            <a:noFill/>
                          </a:ln>
                        </pic:spPr>
                      </pic:pic>
                    </a:graphicData>
                  </a:graphic>
                </wp:anchor>
              </w:drawing>
            </w:r>
          </w:p>
          <w:p w14:paraId="4578A07C">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79580BEA">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6E58FA75">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595B90D7">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55CA09E3">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2E5D7005">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F078917">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65E7E298">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45B7D423">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5FE14D16">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15828FDB">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7FEB0D2">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D7BC158">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0778B191">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6EC6A462">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4091C4B3">
            <w:pPr>
              <w:keepNext w:val="0"/>
              <w:keepLines w:val="0"/>
              <w:pageBreakBefore w:val="0"/>
              <w:widowControl/>
              <w:kinsoku/>
              <w:wordWrap/>
              <w:overflowPunct/>
              <w:topLinePunct w:val="0"/>
              <w:autoSpaceDE w:val="0"/>
              <w:autoSpaceDN w:val="0"/>
              <w:bidi w:val="0"/>
              <w:adjustRightInd/>
              <w:snapToGrid/>
              <w:spacing w:line="360" w:lineRule="auto"/>
              <w:jc w:val="both"/>
              <w:textAlignment w:val="baseline"/>
              <w:rPr>
                <w:rFonts w:ascii="Times New Roman" w:hAnsi="Times New Roman" w:eastAsia="宋体" w:cs="Times New Roman"/>
                <w:b/>
                <w:bCs/>
                <w:sz w:val="24"/>
                <w:szCs w:val="24"/>
                <w:lang w:eastAsia="zh-CN"/>
              </w:rPr>
            </w:pPr>
          </w:p>
          <w:p w14:paraId="79A7A2E1">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sz w:val="24"/>
                <w:lang w:eastAsia="zh-CN"/>
              </w:rPr>
            </w:pPr>
            <w:r>
              <w:rPr>
                <w:rFonts w:ascii="Times New Roman" w:hAnsi="Times New Roman" w:eastAsia="宋体" w:cs="Times New Roman"/>
                <w:b/>
                <w:bCs/>
                <w:sz w:val="24"/>
                <w:szCs w:val="24"/>
                <w:lang w:eastAsia="zh-CN"/>
              </w:rPr>
              <w:t>图2-</w:t>
            </w: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lang w:eastAsia="zh-CN"/>
              </w:rPr>
              <w:t xml:space="preserve"> 机加工</w:t>
            </w:r>
            <w:r>
              <w:rPr>
                <w:rFonts w:ascii="Times New Roman" w:hAnsi="Times New Roman" w:eastAsia="宋体" w:cs="Times New Roman"/>
                <w:b/>
                <w:bCs/>
                <w:sz w:val="24"/>
                <w:szCs w:val="24"/>
                <w:lang w:eastAsia="zh-CN"/>
              </w:rPr>
              <w:t>生产工艺流程及产污节点图</w:t>
            </w:r>
          </w:p>
          <w:p w14:paraId="12BE05B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2、</w:t>
            </w:r>
            <w:r>
              <w:rPr>
                <w:rFonts w:hint="eastAsia" w:ascii="Times New Roman" w:hAnsi="Times New Roman" w:eastAsia="宋体" w:cs="Times New Roman"/>
                <w:sz w:val="24"/>
                <w:szCs w:val="24"/>
                <w:lang w:eastAsia="zh-CN"/>
              </w:rPr>
              <w:t>机加工</w:t>
            </w:r>
            <w:r>
              <w:rPr>
                <w:rFonts w:ascii="Times New Roman" w:hAnsi="Times New Roman" w:eastAsia="宋体" w:cs="Times New Roman"/>
                <w:sz w:val="24"/>
                <w:szCs w:val="24"/>
                <w:lang w:eastAsia="zh-CN"/>
              </w:rPr>
              <w:t>工艺流程简述：</w:t>
            </w:r>
          </w:p>
          <w:p w14:paraId="0CFFA777">
            <w:pPr>
              <w:pStyle w:val="3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cs="Times New Roman"/>
                <w:b w:val="0"/>
                <w:bCs/>
                <w:color w:val="auto"/>
                <w:lang w:eastAsia="zh-CN"/>
              </w:rPr>
            </w:pPr>
            <w:r>
              <w:rPr>
                <w:rFonts w:ascii="Times New Roman" w:hAnsi="Times New Roman" w:eastAsia="宋体" w:cs="Times New Roman"/>
                <w:b w:val="0"/>
                <w:bCs/>
                <w:snapToGrid w:val="0"/>
                <w:color w:val="auto"/>
                <w:sz w:val="24"/>
                <w:szCs w:val="21"/>
                <w:lang w:val="en-US" w:eastAsia="zh-CN" w:bidi="ar-SA"/>
              </w:rPr>
              <w:t>（1）</w:t>
            </w:r>
            <w:r>
              <w:rPr>
                <w:rFonts w:ascii="Times New Roman" w:hAnsi="Times New Roman" w:cs="Times New Roman"/>
                <w:b w:val="0"/>
                <w:bCs/>
                <w:color w:val="auto"/>
                <w:lang w:eastAsia="zh-CN"/>
              </w:rPr>
              <w:t>切割下料：外购的</w:t>
            </w:r>
            <w:r>
              <w:rPr>
                <w:rFonts w:hint="eastAsia" w:ascii="Times New Roman" w:hAnsi="Times New Roman" w:cs="Times New Roman"/>
                <w:b w:val="0"/>
                <w:bCs/>
                <w:color w:val="auto"/>
                <w:lang w:eastAsia="zh-CN"/>
              </w:rPr>
              <w:t>钢板、型材等原料</w:t>
            </w:r>
            <w:r>
              <w:rPr>
                <w:rFonts w:ascii="Times New Roman" w:hAnsi="Times New Roman" w:cs="Times New Roman"/>
                <w:b w:val="0"/>
                <w:bCs/>
                <w:color w:val="auto"/>
                <w:lang w:eastAsia="zh-CN"/>
              </w:rPr>
              <w:t>入厂，根据设计图纸，采用</w:t>
            </w:r>
            <w:r>
              <w:rPr>
                <w:rFonts w:hint="eastAsia" w:ascii="Times New Roman" w:hAnsi="Times New Roman" w:cs="Times New Roman"/>
                <w:b w:val="0"/>
                <w:bCs/>
                <w:color w:val="auto"/>
                <w:lang w:eastAsia="zh-CN"/>
              </w:rPr>
              <w:t>切割机</w:t>
            </w:r>
            <w:r>
              <w:rPr>
                <w:rFonts w:ascii="Times New Roman" w:hAnsi="Times New Roman" w:cs="Times New Roman"/>
                <w:b w:val="0"/>
                <w:bCs/>
                <w:color w:val="auto"/>
                <w:lang w:eastAsia="zh-CN"/>
              </w:rPr>
              <w:t>将金属材料切割成需要的规格。该过程中有少量金属边角料产生。该工序产生的污染物主要为</w:t>
            </w:r>
            <w:r>
              <w:rPr>
                <w:rFonts w:hint="eastAsia" w:ascii="Times New Roman" w:hAnsi="Times New Roman" w:cs="Times New Roman"/>
                <w:b w:val="0"/>
                <w:bCs/>
                <w:color w:val="auto"/>
                <w:lang w:eastAsia="zh-CN"/>
              </w:rPr>
              <w:t>切割烟尘G1、</w:t>
            </w:r>
            <w:r>
              <w:rPr>
                <w:rFonts w:ascii="Times New Roman" w:hAnsi="Times New Roman" w:cs="Times New Roman"/>
                <w:b w:val="0"/>
                <w:bCs/>
                <w:color w:val="auto"/>
                <w:lang w:eastAsia="zh-CN"/>
              </w:rPr>
              <w:t>金属边角料S1和设备运行噪声N1。</w:t>
            </w:r>
          </w:p>
          <w:p w14:paraId="7C0A9050">
            <w:pPr>
              <w:pStyle w:val="3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cs="Times New Roman"/>
                <w:b w:val="0"/>
                <w:bCs/>
                <w:color w:val="auto"/>
                <w:lang w:eastAsia="zh-CN"/>
              </w:rPr>
            </w:pPr>
            <w:r>
              <w:rPr>
                <w:rFonts w:ascii="Times New Roman" w:hAnsi="Times New Roman" w:eastAsia="宋体" w:cs="Times New Roman"/>
                <w:b w:val="0"/>
                <w:bCs/>
                <w:snapToGrid w:val="0"/>
                <w:color w:val="auto"/>
                <w:sz w:val="24"/>
                <w:szCs w:val="21"/>
                <w:lang w:val="en-US" w:eastAsia="zh-CN" w:bidi="ar-SA"/>
              </w:rPr>
              <w:t>（2）</w:t>
            </w:r>
            <w:r>
              <w:rPr>
                <w:rFonts w:hint="eastAsia" w:ascii="Times New Roman" w:hAnsi="Times New Roman" w:cs="Times New Roman"/>
                <w:b w:val="0"/>
                <w:bCs/>
                <w:color w:val="auto"/>
                <w:lang w:eastAsia="zh-CN"/>
              </w:rPr>
              <w:t>钻孔</w:t>
            </w:r>
            <w:r>
              <w:rPr>
                <w:rFonts w:ascii="Times New Roman" w:hAnsi="Times New Roman" w:cs="Times New Roman"/>
                <w:b w:val="0"/>
                <w:bCs/>
                <w:color w:val="auto"/>
                <w:lang w:eastAsia="zh-CN"/>
              </w:rPr>
              <w:t>：采用</w:t>
            </w:r>
            <w:r>
              <w:rPr>
                <w:rFonts w:hint="eastAsia" w:ascii="Times New Roman" w:hAnsi="Times New Roman" w:cs="Times New Roman"/>
                <w:b w:val="0"/>
                <w:bCs/>
                <w:color w:val="auto"/>
                <w:lang w:eastAsia="zh-CN"/>
              </w:rPr>
              <w:t>钻孔机</w:t>
            </w:r>
            <w:r>
              <w:rPr>
                <w:rFonts w:ascii="Times New Roman" w:hAnsi="Times New Roman" w:cs="Times New Roman"/>
                <w:b w:val="0"/>
                <w:bCs/>
                <w:color w:val="auto"/>
                <w:lang w:eastAsia="zh-CN"/>
              </w:rPr>
              <w:t>对金属材料进行加工。该工序产生的污染物主要为金属边角料S</w:t>
            </w:r>
            <w:r>
              <w:rPr>
                <w:rFonts w:hint="eastAsia" w:ascii="Times New Roman" w:hAnsi="Times New Roman" w:cs="Times New Roman"/>
                <w:b w:val="0"/>
                <w:bCs/>
                <w:color w:val="auto"/>
                <w:lang w:eastAsia="zh-CN"/>
              </w:rPr>
              <w:t>2</w:t>
            </w:r>
            <w:r>
              <w:rPr>
                <w:rFonts w:ascii="Times New Roman" w:hAnsi="Times New Roman" w:cs="Times New Roman"/>
                <w:b w:val="0"/>
                <w:bCs/>
                <w:color w:val="auto"/>
                <w:lang w:eastAsia="zh-CN"/>
              </w:rPr>
              <w:t>和设备运行噪声N</w:t>
            </w:r>
            <w:r>
              <w:rPr>
                <w:rFonts w:hint="eastAsia" w:ascii="Times New Roman" w:hAnsi="Times New Roman" w:cs="Times New Roman"/>
                <w:b w:val="0"/>
                <w:bCs/>
                <w:color w:val="auto"/>
                <w:lang w:eastAsia="zh-CN"/>
              </w:rPr>
              <w:t>2</w:t>
            </w:r>
            <w:r>
              <w:rPr>
                <w:rFonts w:ascii="Times New Roman" w:hAnsi="Times New Roman" w:cs="Times New Roman"/>
                <w:b w:val="0"/>
                <w:bCs/>
                <w:color w:val="auto"/>
                <w:lang w:eastAsia="zh-CN"/>
              </w:rPr>
              <w:t>。</w:t>
            </w:r>
          </w:p>
          <w:p w14:paraId="3DD1AE73">
            <w:pPr>
              <w:pStyle w:val="3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cs="Times New Roman"/>
                <w:b w:val="0"/>
                <w:bCs/>
                <w:color w:val="auto"/>
                <w:lang w:eastAsia="zh-CN"/>
              </w:rPr>
            </w:pPr>
            <w:r>
              <w:rPr>
                <w:rFonts w:ascii="Times New Roman" w:hAnsi="Times New Roman" w:eastAsia="宋体" w:cs="Times New Roman"/>
                <w:b w:val="0"/>
                <w:bCs/>
                <w:snapToGrid w:val="0"/>
                <w:color w:val="auto"/>
                <w:sz w:val="24"/>
                <w:szCs w:val="21"/>
                <w:lang w:val="en-US" w:eastAsia="zh-CN" w:bidi="ar-SA"/>
              </w:rPr>
              <w:t>（3）</w:t>
            </w:r>
            <w:r>
              <w:rPr>
                <w:rFonts w:hint="eastAsia" w:ascii="Times New Roman" w:hAnsi="Times New Roman" w:cs="Times New Roman"/>
                <w:b w:val="0"/>
                <w:bCs/>
                <w:color w:val="auto"/>
                <w:lang w:eastAsia="zh-CN"/>
              </w:rPr>
              <w:t>折弯</w:t>
            </w:r>
            <w:r>
              <w:rPr>
                <w:rFonts w:ascii="Times New Roman" w:hAnsi="Times New Roman" w:cs="Times New Roman"/>
                <w:b w:val="0"/>
                <w:bCs/>
                <w:color w:val="auto"/>
                <w:lang w:eastAsia="zh-CN"/>
              </w:rPr>
              <w:t>：根据设计图纸，</w:t>
            </w:r>
            <w:r>
              <w:rPr>
                <w:rFonts w:hint="eastAsia" w:ascii="Times New Roman" w:hAnsi="Times New Roman" w:cs="Times New Roman"/>
                <w:b w:val="0"/>
                <w:bCs/>
                <w:color w:val="auto"/>
                <w:lang w:eastAsia="zh-CN"/>
              </w:rPr>
              <w:t>使用折弯机</w:t>
            </w:r>
            <w:r>
              <w:rPr>
                <w:rFonts w:ascii="Times New Roman" w:hAnsi="Times New Roman" w:cs="Times New Roman"/>
                <w:b w:val="0"/>
                <w:bCs/>
                <w:color w:val="auto"/>
                <w:lang w:eastAsia="zh-CN"/>
              </w:rPr>
              <w:t>将</w:t>
            </w:r>
            <w:r>
              <w:rPr>
                <w:rFonts w:hint="eastAsia" w:ascii="Times New Roman" w:hAnsi="Times New Roman" w:cs="Times New Roman"/>
                <w:b w:val="0"/>
                <w:bCs/>
                <w:color w:val="auto"/>
                <w:lang w:eastAsia="zh-CN"/>
              </w:rPr>
              <w:t>工件折弯处理</w:t>
            </w:r>
            <w:r>
              <w:rPr>
                <w:rFonts w:ascii="Times New Roman" w:hAnsi="Times New Roman" w:cs="Times New Roman"/>
                <w:b w:val="0"/>
                <w:bCs/>
                <w:color w:val="auto"/>
                <w:lang w:eastAsia="zh-CN"/>
              </w:rPr>
              <w:t>。该工序</w:t>
            </w:r>
            <w:r>
              <w:rPr>
                <w:rFonts w:hint="eastAsia" w:ascii="Times New Roman" w:hAnsi="Times New Roman" w:cs="Times New Roman"/>
                <w:b w:val="0"/>
                <w:bCs/>
                <w:color w:val="auto"/>
                <w:lang w:eastAsia="zh-CN"/>
              </w:rPr>
              <w:t>主要产生</w:t>
            </w:r>
            <w:r>
              <w:rPr>
                <w:rFonts w:ascii="Times New Roman" w:hAnsi="Times New Roman" w:cs="Times New Roman"/>
                <w:b w:val="0"/>
                <w:bCs/>
                <w:color w:val="auto"/>
                <w:lang w:eastAsia="zh-CN"/>
              </w:rPr>
              <w:t>设备运行噪声N</w:t>
            </w:r>
            <w:r>
              <w:rPr>
                <w:rFonts w:hint="eastAsia" w:ascii="Times New Roman" w:hAnsi="Times New Roman" w:cs="Times New Roman"/>
                <w:b w:val="0"/>
                <w:bCs/>
                <w:color w:val="auto"/>
                <w:lang w:val="en-US" w:eastAsia="zh-CN"/>
              </w:rPr>
              <w:t>3</w:t>
            </w:r>
            <w:r>
              <w:rPr>
                <w:rFonts w:ascii="Times New Roman" w:hAnsi="Times New Roman" w:cs="Times New Roman"/>
                <w:b w:val="0"/>
                <w:bCs/>
                <w:color w:val="auto"/>
                <w:lang w:eastAsia="zh-CN"/>
              </w:rPr>
              <w:t>。</w:t>
            </w:r>
          </w:p>
          <w:p w14:paraId="5EA2C4EC">
            <w:pPr>
              <w:pStyle w:val="3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cs="Times New Roman"/>
                <w:b w:val="0"/>
                <w:bCs/>
                <w:color w:val="auto"/>
                <w:lang w:eastAsia="zh-CN"/>
              </w:rPr>
            </w:pPr>
            <w:r>
              <w:rPr>
                <w:rFonts w:ascii="Times New Roman" w:hAnsi="Times New Roman" w:eastAsia="宋体" w:cs="Times New Roman"/>
                <w:b w:val="0"/>
                <w:bCs/>
                <w:snapToGrid w:val="0"/>
                <w:color w:val="auto"/>
                <w:sz w:val="24"/>
                <w:szCs w:val="21"/>
                <w:lang w:val="en-US" w:eastAsia="zh-CN" w:bidi="ar-SA"/>
              </w:rPr>
              <w:t>（4）</w:t>
            </w:r>
            <w:r>
              <w:rPr>
                <w:rFonts w:hint="eastAsia" w:ascii="Times New Roman" w:hAnsi="Times New Roman" w:cs="Times New Roman"/>
                <w:b w:val="0"/>
                <w:bCs/>
                <w:color w:val="auto"/>
                <w:lang w:eastAsia="zh-CN"/>
              </w:rPr>
              <w:t>焊接：</w:t>
            </w:r>
            <w:r>
              <w:rPr>
                <w:rFonts w:ascii="Times New Roman" w:hAnsi="Times New Roman" w:cs="Times New Roman"/>
                <w:b w:val="0"/>
                <w:bCs/>
                <w:color w:val="auto"/>
                <w:lang w:eastAsia="zh-CN"/>
              </w:rPr>
              <w:t>根据设计图纸，</w:t>
            </w:r>
            <w:r>
              <w:rPr>
                <w:rFonts w:hint="eastAsia" w:ascii="Times New Roman" w:hAnsi="Times New Roman" w:cs="Times New Roman"/>
                <w:b w:val="0"/>
                <w:bCs/>
                <w:color w:val="auto"/>
                <w:lang w:eastAsia="zh-CN"/>
              </w:rPr>
              <w:t>使用气保焊及电焊机对工件焊接成型</w:t>
            </w:r>
            <w:r>
              <w:rPr>
                <w:rFonts w:ascii="Times New Roman" w:hAnsi="Times New Roman" w:cs="Times New Roman"/>
                <w:b w:val="0"/>
                <w:bCs/>
                <w:color w:val="auto"/>
                <w:lang w:eastAsia="zh-CN"/>
              </w:rPr>
              <w:t>。该工序产生的污染物为焊接烟尘G</w:t>
            </w:r>
            <w:r>
              <w:rPr>
                <w:rFonts w:hint="eastAsia" w:ascii="Times New Roman" w:hAnsi="Times New Roman" w:cs="Times New Roman"/>
                <w:b w:val="0"/>
                <w:bCs/>
                <w:color w:val="auto"/>
                <w:lang w:val="en-US" w:eastAsia="zh-CN"/>
              </w:rPr>
              <w:t>2</w:t>
            </w:r>
            <w:r>
              <w:rPr>
                <w:rFonts w:hint="eastAsia" w:ascii="Times New Roman" w:hAnsi="Times New Roman" w:cs="Times New Roman"/>
                <w:b w:val="0"/>
                <w:bCs/>
                <w:color w:val="auto"/>
                <w:lang w:eastAsia="zh-CN"/>
              </w:rPr>
              <w:t>、</w:t>
            </w:r>
            <w:r>
              <w:rPr>
                <w:rFonts w:ascii="Times New Roman" w:hAnsi="Times New Roman" w:cs="Times New Roman"/>
                <w:b w:val="0"/>
                <w:bCs/>
                <w:color w:val="auto"/>
                <w:lang w:eastAsia="zh-CN"/>
              </w:rPr>
              <w:t>焊渣S</w:t>
            </w:r>
            <w:r>
              <w:rPr>
                <w:rFonts w:hint="eastAsia" w:ascii="Times New Roman" w:hAnsi="Times New Roman" w:cs="Times New Roman"/>
                <w:b w:val="0"/>
                <w:bCs/>
                <w:color w:val="auto"/>
                <w:lang w:eastAsia="zh-CN"/>
              </w:rPr>
              <w:t>3及</w:t>
            </w:r>
            <w:r>
              <w:rPr>
                <w:rFonts w:ascii="Times New Roman" w:hAnsi="Times New Roman" w:cs="Times New Roman"/>
                <w:b w:val="0"/>
                <w:bCs/>
                <w:color w:val="auto"/>
                <w:lang w:eastAsia="zh-CN"/>
              </w:rPr>
              <w:t>设备运行噪声N</w:t>
            </w:r>
            <w:r>
              <w:rPr>
                <w:rFonts w:hint="eastAsia" w:ascii="Times New Roman" w:hAnsi="Times New Roman" w:cs="Times New Roman"/>
                <w:b w:val="0"/>
                <w:bCs/>
                <w:color w:val="auto"/>
                <w:lang w:val="en-US" w:eastAsia="zh-CN"/>
              </w:rPr>
              <w:t>4</w:t>
            </w:r>
            <w:r>
              <w:rPr>
                <w:rFonts w:ascii="Times New Roman" w:hAnsi="Times New Roman" w:cs="Times New Roman"/>
                <w:b w:val="0"/>
                <w:bCs/>
                <w:color w:val="auto"/>
                <w:lang w:eastAsia="zh-CN"/>
              </w:rPr>
              <w:t>。</w:t>
            </w:r>
          </w:p>
          <w:p w14:paraId="014D2824">
            <w:pPr>
              <w:pStyle w:val="3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hAnsi="Times New Roman" w:cs="Times New Roman"/>
                <w:b w:val="0"/>
                <w:bCs/>
                <w:color w:val="auto"/>
                <w:lang w:eastAsia="zh-CN"/>
              </w:rPr>
            </w:pPr>
            <w:r>
              <w:rPr>
                <w:rFonts w:ascii="Times New Roman" w:hAnsi="Times New Roman" w:eastAsia="宋体" w:cs="Times New Roman"/>
                <w:b w:val="0"/>
                <w:bCs/>
                <w:snapToGrid w:val="0"/>
                <w:color w:val="auto"/>
                <w:sz w:val="24"/>
                <w:szCs w:val="21"/>
                <w:lang w:val="en-US" w:eastAsia="zh-CN" w:bidi="ar-SA"/>
              </w:rPr>
              <w:t>（</w:t>
            </w:r>
            <w:r>
              <w:rPr>
                <w:rFonts w:hint="eastAsia" w:ascii="Times New Roman" w:hAnsi="Times New Roman" w:cs="Times New Roman"/>
                <w:b w:val="0"/>
                <w:bCs/>
                <w:snapToGrid w:val="0"/>
                <w:color w:val="auto"/>
                <w:sz w:val="24"/>
                <w:szCs w:val="21"/>
                <w:lang w:val="en-US" w:eastAsia="zh-CN" w:bidi="ar-SA"/>
              </w:rPr>
              <w:t>5</w:t>
            </w:r>
            <w:r>
              <w:rPr>
                <w:rFonts w:ascii="Times New Roman" w:hAnsi="Times New Roman" w:eastAsia="宋体" w:cs="Times New Roman"/>
                <w:b w:val="0"/>
                <w:bCs/>
                <w:snapToGrid w:val="0"/>
                <w:color w:val="auto"/>
                <w:sz w:val="24"/>
                <w:szCs w:val="21"/>
                <w:lang w:val="en-US" w:eastAsia="zh-CN" w:bidi="ar-SA"/>
              </w:rPr>
              <w:t>）</w:t>
            </w:r>
            <w:r>
              <w:rPr>
                <w:rFonts w:hint="eastAsia" w:ascii="Times New Roman" w:hAnsi="Times New Roman" w:cs="Times New Roman"/>
                <w:b w:val="0"/>
                <w:bCs/>
                <w:color w:val="auto"/>
                <w:lang w:eastAsia="zh-CN"/>
              </w:rPr>
              <w:t>抛丸：焊接后的工件需通过抛丸工序去除少量表面氧化层。抛丸后的工件按客户要求分别进入电泳喷塑线、磷化线</w:t>
            </w:r>
            <w:r>
              <w:rPr>
                <w:rFonts w:hint="eastAsia" w:ascii="Times New Roman" w:hAnsi="Times New Roman" w:cs="Times New Roman"/>
                <w:b w:val="0"/>
                <w:bCs/>
                <w:color w:val="auto"/>
                <w:lang w:val="en-US" w:eastAsia="zh-CN"/>
              </w:rPr>
              <w:t>1#及磷化线2#。</w:t>
            </w:r>
            <w:r>
              <w:rPr>
                <w:rFonts w:hint="eastAsia" w:ascii="Times New Roman" w:hAnsi="Times New Roman" w:cs="Times New Roman"/>
                <w:b w:val="0"/>
                <w:bCs/>
                <w:color w:val="auto"/>
                <w:lang w:eastAsia="zh-CN"/>
              </w:rPr>
              <w:t>此过程会产生抛丸粉尘G3、废钢丸废砂</w:t>
            </w:r>
            <w:r>
              <w:rPr>
                <w:rFonts w:hint="eastAsia" w:ascii="Times New Roman" w:hAnsi="Times New Roman" w:cs="Times New Roman"/>
                <w:b w:val="0"/>
                <w:bCs/>
                <w:color w:val="auto"/>
                <w:lang w:val="en-US" w:eastAsia="zh-CN"/>
              </w:rPr>
              <w:t>S4和</w:t>
            </w:r>
            <w:r>
              <w:rPr>
                <w:rFonts w:hint="eastAsia" w:ascii="Times New Roman" w:hAnsi="Times New Roman" w:cs="Times New Roman"/>
                <w:b w:val="0"/>
                <w:bCs/>
                <w:color w:val="auto"/>
                <w:lang w:eastAsia="zh-CN"/>
              </w:rPr>
              <w:t>噪声N</w:t>
            </w:r>
            <w:r>
              <w:rPr>
                <w:rFonts w:hint="eastAsia" w:ascii="Times New Roman" w:hAnsi="Times New Roman" w:cs="Times New Roman"/>
                <w:b w:val="0"/>
                <w:bCs/>
                <w:color w:val="auto"/>
                <w:lang w:val="en-US" w:eastAsia="zh-CN"/>
              </w:rPr>
              <w:t>5</w:t>
            </w:r>
            <w:r>
              <w:rPr>
                <w:rFonts w:ascii="Times New Roman" w:hAnsi="Times New Roman" w:cs="Times New Roman"/>
                <w:b w:val="0"/>
                <w:bCs/>
                <w:color w:val="auto"/>
                <w:lang w:eastAsia="zh-CN"/>
              </w:rPr>
              <w:t>。</w:t>
            </w:r>
          </w:p>
          <w:p w14:paraId="4CA214B7">
            <w:pPr>
              <w:keepNext w:val="0"/>
              <w:keepLines w:val="0"/>
              <w:pageBreakBefore w:val="0"/>
              <w:widowControl/>
              <w:kinsoku/>
              <w:wordWrap/>
              <w:overflowPunct/>
              <w:topLinePunct w:val="0"/>
              <w:autoSpaceDE w:val="0"/>
              <w:autoSpaceDN w:val="0"/>
              <w:bidi w:val="0"/>
              <w:adjustRightInd/>
              <w:snapToGrid/>
              <w:spacing w:line="360" w:lineRule="auto"/>
              <w:ind w:firstLine="420" w:firstLineChars="200"/>
              <w:jc w:val="both"/>
              <w:textAlignment w:val="baseline"/>
              <w:rPr>
                <w:rFonts w:ascii="Times New Roman" w:hAnsi="Times New Roman" w:eastAsia="宋体" w:cs="Times New Roman"/>
                <w:sz w:val="24"/>
                <w:lang w:eastAsia="zh-CN" w:bidi="ar"/>
              </w:rPr>
            </w:pPr>
            <w:r>
              <w:drawing>
                <wp:anchor distT="0" distB="0" distL="114300" distR="114300" simplePos="0" relativeHeight="251663360" behindDoc="1" locked="0" layoutInCell="1" allowOverlap="1">
                  <wp:simplePos x="0" y="0"/>
                  <wp:positionH relativeFrom="column">
                    <wp:posOffset>1104900</wp:posOffset>
                  </wp:positionH>
                  <wp:positionV relativeFrom="paragraph">
                    <wp:posOffset>105410</wp:posOffset>
                  </wp:positionV>
                  <wp:extent cx="3431540" cy="7613015"/>
                  <wp:effectExtent l="0" t="0" r="10160" b="6985"/>
                  <wp:wrapNone/>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9"/>
                          <a:stretch>
                            <a:fillRect/>
                          </a:stretch>
                        </pic:blipFill>
                        <pic:spPr>
                          <a:xfrm>
                            <a:off x="0" y="0"/>
                            <a:ext cx="3431540" cy="7613015"/>
                          </a:xfrm>
                          <a:prstGeom prst="rect">
                            <a:avLst/>
                          </a:prstGeom>
                          <a:noFill/>
                          <a:ln>
                            <a:noFill/>
                          </a:ln>
                        </pic:spPr>
                      </pic:pic>
                    </a:graphicData>
                  </a:graphic>
                </wp:anchor>
              </w:drawing>
            </w:r>
            <w:r>
              <w:rPr>
                <w:rFonts w:hint="eastAsia" w:ascii="Times New Roman" w:hAnsi="Times New Roman" w:eastAsia="宋体" w:cs="Times New Roman"/>
                <w:sz w:val="24"/>
                <w:lang w:val="en-US" w:eastAsia="zh-CN" w:bidi="ar"/>
              </w:rPr>
              <w:t>3、</w:t>
            </w:r>
            <w:r>
              <w:rPr>
                <w:rFonts w:hint="eastAsia" w:ascii="Times New Roman" w:hAnsi="Times New Roman" w:eastAsia="宋体" w:cs="Times New Roman"/>
                <w:sz w:val="24"/>
                <w:lang w:eastAsia="zh-CN" w:bidi="ar"/>
              </w:rPr>
              <w:t>电泳喷塑</w:t>
            </w:r>
            <w:r>
              <w:rPr>
                <w:rFonts w:ascii="Times New Roman" w:hAnsi="Times New Roman" w:eastAsia="宋体" w:cs="Times New Roman"/>
                <w:sz w:val="24"/>
                <w:lang w:eastAsia="zh-CN" w:bidi="ar"/>
              </w:rPr>
              <w:t>生产工艺流程及产污节点简图如下图。</w:t>
            </w:r>
          </w:p>
          <w:p w14:paraId="34A59BDF">
            <w:pPr>
              <w:keepNext w:val="0"/>
              <w:keepLines w:val="0"/>
              <w:pageBreakBefore w:val="0"/>
              <w:widowControl w:val="0"/>
              <w:kinsoku/>
              <w:wordWrap/>
              <w:overflowPunct/>
              <w:topLinePunct w:val="0"/>
              <w:bidi w:val="0"/>
              <w:adjustRightInd/>
              <w:snapToGrid/>
              <w:jc w:val="both"/>
              <w:textAlignment w:val="auto"/>
              <w:rPr>
                <w:rFonts w:ascii="Times New Roman" w:hAnsi="Times New Roman" w:eastAsia="宋体" w:cs="Times New Roman"/>
                <w:b/>
                <w:bCs/>
                <w:sz w:val="24"/>
                <w:lang w:eastAsia="zh-CN"/>
              </w:rPr>
            </w:pPr>
          </w:p>
          <w:p w14:paraId="1E486A18">
            <w:pPr>
              <w:widowControl w:val="0"/>
              <w:kinsoku/>
              <w:jc w:val="both"/>
              <w:rPr>
                <w:rFonts w:ascii="Times New Roman" w:hAnsi="Times New Roman" w:eastAsia="宋体" w:cs="Times New Roman"/>
                <w:b/>
                <w:bCs/>
                <w:sz w:val="24"/>
                <w:lang w:eastAsia="zh-CN"/>
              </w:rPr>
            </w:pPr>
          </w:p>
          <w:p w14:paraId="38E9E94F">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1A4DE4CA">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04C7709">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49202E88">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0C340FA6">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6BEE0AF1">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29DC6069">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48AFB130">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10AD1600">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2280064A">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768337B4">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E327B18">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2FED0B13">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19C0D83B">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9E1799D">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69E4CAE6">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54FB859D">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434E9A68">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705CCC8F">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71585AA0">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30F5E6CF">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07025B31">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462D2C9B">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p>
          <w:p w14:paraId="184F6EA2">
            <w:pPr>
              <w:keepNext w:val="0"/>
              <w:keepLines w:val="0"/>
              <w:pageBreakBefore w:val="0"/>
              <w:widowControl/>
              <w:kinsoku/>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图2-</w:t>
            </w: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eastAsia="zh-CN"/>
              </w:rPr>
              <w:t xml:space="preserve"> 电泳喷塑</w:t>
            </w:r>
            <w:r>
              <w:rPr>
                <w:rFonts w:ascii="Times New Roman" w:hAnsi="Times New Roman" w:eastAsia="宋体" w:cs="Times New Roman"/>
                <w:b/>
                <w:bCs/>
                <w:sz w:val="24"/>
                <w:szCs w:val="24"/>
                <w:lang w:eastAsia="zh-CN"/>
              </w:rPr>
              <w:t>生产工艺流程及产污节点图</w:t>
            </w:r>
          </w:p>
          <w:p w14:paraId="7F535DC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电泳喷塑</w:t>
            </w:r>
            <w:r>
              <w:rPr>
                <w:rFonts w:ascii="Times New Roman" w:hAnsi="Times New Roman" w:eastAsia="宋体" w:cs="Times New Roman"/>
                <w:sz w:val="24"/>
                <w:szCs w:val="24"/>
                <w:lang w:eastAsia="zh-CN"/>
              </w:rPr>
              <w:t>工艺流程简述：</w:t>
            </w:r>
          </w:p>
          <w:p w14:paraId="1295D9EB">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（1）酸洗：</w:t>
            </w:r>
            <w:r>
              <w:rPr>
                <w:rFonts w:hint="default" w:ascii="Times New Roman" w:hAnsi="Times New Roman" w:eastAsia="宋体" w:cs="Times New Roman"/>
                <w:kern w:val="2"/>
                <w:sz w:val="24"/>
                <w:szCs w:val="24"/>
                <w:lang w:val="en-US" w:eastAsia="zh-CN" w:bidi="ar-SA"/>
              </w:rPr>
              <w:t>通过硫酸酸洗去毛坯件表面的氧化层和铁锈</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酸洗槽每年排放更换一次</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该工序产生的污染物为酸洗废气硫酸雾G</w:t>
            </w:r>
            <w:r>
              <w:rPr>
                <w:rFonts w:hint="eastAsia" w:ascii="Times New Roman" w:hAnsi="Times New Roman" w:eastAsia="宋体" w:cs="Times New Roman"/>
                <w:kern w:val="2"/>
                <w:sz w:val="24"/>
                <w:szCs w:val="24"/>
                <w:lang w:val="en-US" w:eastAsia="zh-CN" w:bidi="ar-SA"/>
              </w:rPr>
              <w:t>5、槽渣S5。</w:t>
            </w:r>
          </w:p>
          <w:p w14:paraId="13E6D4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（2）酸洗后水洗1：</w:t>
            </w:r>
            <w:r>
              <w:rPr>
                <w:rFonts w:hint="default" w:ascii="Times New Roman" w:hAnsi="Times New Roman" w:eastAsia="宋体" w:cs="Times New Roman"/>
                <w:kern w:val="2"/>
                <w:sz w:val="24"/>
                <w:szCs w:val="24"/>
                <w:lang w:val="en-US" w:eastAsia="zh-CN" w:bidi="ar-SA"/>
              </w:rPr>
              <w:t>通过水洗快速去除厚氧化皮</w:t>
            </w:r>
            <w:r>
              <w:rPr>
                <w:rFonts w:hint="eastAsia" w:ascii="Times New Roman" w:hAnsi="Times New Roman" w:eastAsia="宋体" w:cs="Times New Roman"/>
                <w:kern w:val="2"/>
                <w:sz w:val="24"/>
                <w:szCs w:val="24"/>
                <w:lang w:val="en-US" w:eastAsia="zh-CN" w:bidi="ar-SA"/>
              </w:rPr>
              <w:t>等杂质</w:t>
            </w:r>
            <w:r>
              <w:rPr>
                <w:rFonts w:hint="default" w:ascii="Times New Roman" w:hAnsi="Times New Roman" w:eastAsia="宋体" w:cs="Times New Roman"/>
                <w:kern w:val="2"/>
                <w:sz w:val="24"/>
                <w:szCs w:val="24"/>
                <w:lang w:val="en-US" w:eastAsia="zh-CN" w:bidi="ar-SA"/>
              </w:rPr>
              <w:t>。水洗槽每半个月排放更换一次。该工序产生的污染物为</w:t>
            </w:r>
            <w:r>
              <w:rPr>
                <w:rFonts w:hint="eastAsia" w:ascii="Times New Roman" w:hAnsi="Times New Roman" w:eastAsia="宋体" w:cs="Times New Roman"/>
                <w:kern w:val="2"/>
                <w:sz w:val="24"/>
                <w:szCs w:val="24"/>
                <w:lang w:val="en-US" w:eastAsia="zh-CN" w:bidi="ar-SA"/>
              </w:rPr>
              <w:t>酸洗水洗</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w:t>
            </w:r>
          </w:p>
          <w:p w14:paraId="2A048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（3）酸洗后水洗2：深度除锈、补蚀、均匀化表面，确保无残留氧化皮。</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酸洗水洗</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1-1</w:t>
            </w:r>
            <w:r>
              <w:rPr>
                <w:rFonts w:hint="default" w:ascii="Times New Roman" w:hAnsi="Times New Roman" w:eastAsia="宋体" w:cs="Times New Roman"/>
                <w:kern w:val="2"/>
                <w:sz w:val="24"/>
                <w:szCs w:val="24"/>
                <w:lang w:val="en-US" w:eastAsia="zh-CN" w:bidi="ar-SA"/>
              </w:rPr>
              <w:t>。</w:t>
            </w:r>
          </w:p>
          <w:p w14:paraId="5DA58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Arial" w:cs="Times New Roman"/>
                <w:snapToGrid w:val="0"/>
                <w:color w:val="000000"/>
                <w:sz w:val="24"/>
                <w:szCs w:val="24"/>
                <w:lang w:val="en-US" w:eastAsia="zh-CN" w:bidi="ar-SA"/>
              </w:rPr>
            </w:pPr>
            <w:r>
              <w:rPr>
                <w:rFonts w:hint="eastAsia" w:ascii="Times New Roman" w:hAnsi="Times New Roman" w:eastAsia="宋体" w:cs="Times New Roman"/>
                <w:kern w:val="2"/>
                <w:sz w:val="24"/>
                <w:szCs w:val="24"/>
                <w:lang w:val="en-US" w:eastAsia="zh-CN" w:bidi="ar-SA"/>
              </w:rPr>
              <w:t>（4）磷化：</w:t>
            </w:r>
            <w:r>
              <w:rPr>
                <w:rFonts w:hint="eastAsia" w:ascii="Times New Roman" w:hAnsi="Times New Roman" w:eastAsia="Arial" w:cs="Times New Roman"/>
                <w:snapToGrid w:val="0"/>
                <w:color w:val="000000"/>
                <w:sz w:val="24"/>
                <w:szCs w:val="24"/>
                <w:lang w:val="en-US" w:eastAsia="zh-CN" w:bidi="ar-SA"/>
              </w:rPr>
              <w:t>将酸洗后的工件进入磷化槽进行磷化，磷化液的主要组成：酸式磷酸盐5%-30%磷酸5%-30%，氧化锌1%-15%，水30%-90%，磷化温度50~55℃，磷化时间2~3min。</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槽渣S6</w:t>
            </w:r>
          </w:p>
          <w:p w14:paraId="721BBC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Arial" w:cs="Times New Roman"/>
                <w:snapToGrid w:val="0"/>
                <w:color w:val="000000"/>
                <w:sz w:val="24"/>
                <w:szCs w:val="24"/>
                <w:lang w:val="en-US" w:eastAsia="zh-CN" w:bidi="ar-SA"/>
              </w:rPr>
              <w:t>（5）磷化后纯水洗1：使用纯水</w:t>
            </w:r>
            <w:r>
              <w:rPr>
                <w:rFonts w:ascii="宋体" w:hAnsi="宋体" w:eastAsia="宋体" w:cs="宋体"/>
                <w:sz w:val="24"/>
                <w:szCs w:val="24"/>
              </w:rPr>
              <w:t>对磷化后的工件进行初次清洗，去除表面残留磷化液及悬浮杂质，防止磷化液带入电泳槽影响电泳质量</w:t>
            </w:r>
            <w:r>
              <w:rPr>
                <w:rFonts w:hint="eastAsia" w:ascii="宋体" w:hAnsi="宋体" w:eastAsia="宋体" w:cs="宋体"/>
                <w:sz w:val="24"/>
                <w:szCs w:val="24"/>
                <w:lang w:eastAsia="zh-CN"/>
              </w:rPr>
              <w:t>。</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磷化水洗</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w:t>
            </w:r>
          </w:p>
          <w:p w14:paraId="0D9117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Times New Roman" w:hAnsi="Times New Roman" w:eastAsia="宋体" w:cs="Times New Roman"/>
                <w:kern w:val="2"/>
                <w:sz w:val="24"/>
                <w:szCs w:val="24"/>
                <w:lang w:val="en-US" w:eastAsia="zh-CN" w:bidi="ar-SA"/>
              </w:rPr>
              <w:t>（6）</w:t>
            </w:r>
            <w:r>
              <w:rPr>
                <w:rFonts w:hint="eastAsia" w:ascii="Times New Roman" w:hAnsi="Times New Roman" w:eastAsia="Arial" w:cs="Times New Roman"/>
                <w:snapToGrid w:val="0"/>
                <w:color w:val="000000"/>
                <w:sz w:val="24"/>
                <w:szCs w:val="24"/>
                <w:lang w:val="en-US" w:eastAsia="zh-CN" w:bidi="ar-SA"/>
              </w:rPr>
              <w:t>磷化后纯水洗2：使用纯水</w:t>
            </w:r>
            <w:r>
              <w:rPr>
                <w:rFonts w:ascii="宋体" w:hAnsi="宋体" w:eastAsia="宋体" w:cs="宋体"/>
                <w:sz w:val="24"/>
                <w:szCs w:val="24"/>
              </w:rPr>
              <w:t>对工件进行二次</w:t>
            </w:r>
            <w:r>
              <w:rPr>
                <w:rFonts w:hint="eastAsia" w:ascii="宋体" w:hAnsi="宋体" w:eastAsia="宋体" w:cs="宋体"/>
                <w:sz w:val="24"/>
                <w:szCs w:val="24"/>
                <w:lang w:eastAsia="zh-CN"/>
              </w:rPr>
              <w:t>清洗</w:t>
            </w:r>
            <w:r>
              <w:rPr>
                <w:rFonts w:ascii="宋体" w:hAnsi="宋体" w:eastAsia="宋体" w:cs="宋体"/>
                <w:sz w:val="24"/>
                <w:szCs w:val="24"/>
              </w:rPr>
              <w:t>，彻底清除表面残留磷化药剂，保证工件表面洁净度，满足电泳前处理要求</w:t>
            </w:r>
            <w:r>
              <w:rPr>
                <w:rFonts w:hint="eastAsia" w:ascii="宋体" w:hAnsi="宋体" w:eastAsia="宋体" w:cs="宋体"/>
                <w:sz w:val="24"/>
                <w:szCs w:val="24"/>
                <w:lang w:eastAsia="zh-CN"/>
              </w:rPr>
              <w:t>。</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磷化水洗</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2-1</w:t>
            </w:r>
            <w:r>
              <w:rPr>
                <w:rFonts w:ascii="宋体" w:hAnsi="宋体" w:eastAsia="宋体" w:cs="宋体"/>
                <w:sz w:val="24"/>
                <w:szCs w:val="24"/>
              </w:rPr>
              <w:t>。</w:t>
            </w:r>
          </w:p>
          <w:p w14:paraId="12404D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）电泳：</w:t>
            </w:r>
            <w:r>
              <w:rPr>
                <w:rFonts w:ascii="宋体" w:hAnsi="宋体" w:eastAsia="宋体" w:cs="宋体"/>
                <w:sz w:val="24"/>
                <w:szCs w:val="24"/>
              </w:rPr>
              <w:t>将工件放入电泳槽中，在电场作用下使电泳涂料均匀沉积在工件表面，形成连续、均匀的电泳涂层，提升工件防腐与装饰效果</w:t>
            </w:r>
            <w:r>
              <w:rPr>
                <w:rFonts w:hint="eastAsia" w:ascii="宋体" w:hAnsi="宋体" w:eastAsia="宋体" w:cs="宋体"/>
                <w:sz w:val="24"/>
                <w:szCs w:val="24"/>
                <w:lang w:eastAsia="zh-CN"/>
              </w:rPr>
              <w:t>。</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电泳废气G5</w:t>
            </w:r>
            <w:r>
              <w:rPr>
                <w:rFonts w:hint="default" w:ascii="Times New Roman" w:hAnsi="Times New Roman" w:eastAsia="宋体" w:cs="Times New Roman"/>
                <w:kern w:val="2"/>
                <w:sz w:val="24"/>
                <w:szCs w:val="24"/>
                <w:lang w:val="en-US" w:eastAsia="zh-CN" w:bidi="ar-SA"/>
              </w:rPr>
              <w:t>。</w:t>
            </w:r>
          </w:p>
          <w:p w14:paraId="6F6D8C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r>
              <w:rPr>
                <w:rFonts w:hint="default" w:ascii="Times New Roman" w:hAnsi="Times New Roman" w:eastAsia="宋体" w:cs="Times New Roman"/>
                <w:sz w:val="24"/>
                <w:szCs w:val="24"/>
                <w:lang w:eastAsia="zh-CN"/>
              </w:rPr>
              <w:t>电泳</w:t>
            </w:r>
            <w:r>
              <w:rPr>
                <w:rFonts w:hint="eastAsia" w:ascii="Times New Roman" w:hAnsi="Times New Roman" w:eastAsia="宋体" w:cs="Times New Roman"/>
                <w:sz w:val="24"/>
                <w:szCs w:val="24"/>
                <w:lang w:eastAsia="zh-CN"/>
              </w:rPr>
              <w:t>后纯水洗</w:t>
            </w:r>
            <w:r>
              <w:rPr>
                <w:rFonts w:hint="eastAsia" w:ascii="Times New Roman" w:hAnsi="Times New Roman" w:eastAsia="宋体" w:cs="Times New Roman"/>
                <w:sz w:val="24"/>
                <w:szCs w:val="24"/>
                <w:lang w:val="en-US" w:eastAsia="zh-CN"/>
              </w:rPr>
              <w:t>1：</w:t>
            </w:r>
            <w:r>
              <w:rPr>
                <w:rFonts w:ascii="宋体" w:hAnsi="宋体" w:eastAsia="宋体" w:cs="宋体"/>
                <w:sz w:val="24"/>
                <w:szCs w:val="24"/>
              </w:rPr>
              <w:t>采用纯水对电泳后的工件进行初次清洗，去除表面未附着的电泳漆液，本工序产生电泳清洗废水。</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电泳水洗</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w:t>
            </w:r>
          </w:p>
          <w:p w14:paraId="4CDD4E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r>
              <w:rPr>
                <w:rFonts w:hint="default" w:ascii="Times New Roman" w:hAnsi="Times New Roman" w:eastAsia="宋体" w:cs="Times New Roman"/>
                <w:sz w:val="24"/>
                <w:szCs w:val="24"/>
                <w:lang w:eastAsia="zh-CN"/>
              </w:rPr>
              <w:t>电泳</w:t>
            </w:r>
            <w:r>
              <w:rPr>
                <w:rFonts w:hint="eastAsia" w:ascii="Times New Roman" w:hAnsi="Times New Roman" w:eastAsia="宋体" w:cs="Times New Roman"/>
                <w:sz w:val="24"/>
                <w:szCs w:val="24"/>
                <w:lang w:eastAsia="zh-CN"/>
              </w:rPr>
              <w:t>后纯水洗</w:t>
            </w:r>
            <w:r>
              <w:rPr>
                <w:rFonts w:hint="eastAsia" w:ascii="Times New Roman" w:hAnsi="Times New Roman" w:eastAsia="宋体" w:cs="Times New Roman"/>
                <w:sz w:val="24"/>
                <w:szCs w:val="24"/>
                <w:lang w:val="en-US" w:eastAsia="zh-CN"/>
              </w:rPr>
              <w:t>2</w:t>
            </w:r>
            <w:r>
              <w:rPr>
                <w:rFonts w:ascii="宋体" w:hAnsi="宋体" w:eastAsia="宋体" w:cs="宋体"/>
                <w:sz w:val="24"/>
                <w:szCs w:val="24"/>
              </w:rPr>
              <w:t>采用新鲜纯水对工件进行二次清洗，进一步清除表面残留浮漆，保证涂层表面光洁均匀，满足喷塑前表面质量要求</w:t>
            </w:r>
            <w:r>
              <w:rPr>
                <w:rFonts w:hint="eastAsia" w:ascii="宋体" w:hAnsi="宋体" w:eastAsia="宋体" w:cs="宋体"/>
                <w:sz w:val="24"/>
                <w:szCs w:val="24"/>
                <w:lang w:eastAsia="zh-CN"/>
              </w:rPr>
              <w:t>。</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电泳水洗</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3-1</w:t>
            </w:r>
            <w:r>
              <w:rPr>
                <w:rFonts w:hint="default" w:ascii="Times New Roman" w:hAnsi="Times New Roman" w:eastAsia="宋体" w:cs="Times New Roman"/>
                <w:kern w:val="2"/>
                <w:sz w:val="24"/>
                <w:szCs w:val="24"/>
                <w:lang w:val="en-US" w:eastAsia="zh-CN" w:bidi="ar-SA"/>
              </w:rPr>
              <w:t>。</w:t>
            </w:r>
          </w:p>
          <w:p w14:paraId="7950AD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（10）沥干、烘干：先</w:t>
            </w:r>
            <w:r>
              <w:rPr>
                <w:rFonts w:ascii="宋体" w:hAnsi="宋体" w:eastAsia="宋体" w:cs="宋体"/>
                <w:sz w:val="24"/>
                <w:szCs w:val="24"/>
              </w:rPr>
              <w:t>将清洗完成的工件</w:t>
            </w:r>
            <w:r>
              <w:rPr>
                <w:rFonts w:hint="eastAsia" w:ascii="宋体" w:hAnsi="宋体" w:eastAsia="宋体" w:cs="宋体"/>
                <w:sz w:val="24"/>
                <w:szCs w:val="24"/>
                <w:lang w:val="en-US" w:eastAsia="zh-CN"/>
              </w:rPr>
              <w:t>在空池体上方</w:t>
            </w:r>
            <w:r>
              <w:rPr>
                <w:rFonts w:ascii="宋体" w:hAnsi="宋体" w:eastAsia="宋体" w:cs="宋体"/>
                <w:sz w:val="24"/>
                <w:szCs w:val="24"/>
              </w:rPr>
              <w:t>自然沥干表面水分，</w:t>
            </w:r>
            <w:r>
              <w:rPr>
                <w:rFonts w:hint="eastAsia" w:ascii="宋体" w:hAnsi="宋体" w:eastAsia="宋体" w:cs="宋体"/>
                <w:sz w:val="24"/>
                <w:szCs w:val="24"/>
                <w:lang w:val="en-US" w:eastAsia="zh-CN"/>
              </w:rPr>
              <w:t>沥干废水定期排入自建污水处理站（废水量已计入物料带走水量），</w:t>
            </w:r>
            <w:r>
              <w:rPr>
                <w:rFonts w:ascii="宋体" w:hAnsi="宋体" w:eastAsia="宋体" w:cs="宋体"/>
                <w:sz w:val="24"/>
                <w:szCs w:val="24"/>
              </w:rPr>
              <w:t>再送入烘干炉内加热烘干，</w:t>
            </w:r>
            <w:r>
              <w:rPr>
                <w:rFonts w:hint="eastAsia" w:ascii="Times New Roman" w:hAnsi="Times New Roman" w:eastAsia="Arial" w:cs="Times New Roman"/>
                <w:snapToGrid w:val="0"/>
                <w:color w:val="000000"/>
                <w:sz w:val="24"/>
                <w:szCs w:val="24"/>
                <w:lang w:val="en-US" w:eastAsia="zh-CN" w:bidi="ar-SA"/>
              </w:rPr>
              <w:t>烘干采用液化石油气燃烧</w:t>
            </w:r>
            <w:r>
              <w:rPr>
                <w:rFonts w:hint="eastAsia" w:ascii="Times New Roman" w:hAnsi="Times New Roman" w:cs="Times New Roman"/>
                <w:snapToGrid w:val="0"/>
                <w:color w:val="000000"/>
                <w:sz w:val="24"/>
                <w:szCs w:val="24"/>
                <w:lang w:val="en-US" w:eastAsia="zh-CN" w:bidi="ar-SA"/>
              </w:rPr>
              <w:t>直接加热的</w:t>
            </w:r>
            <w:r>
              <w:rPr>
                <w:rFonts w:hint="eastAsia" w:ascii="Times New Roman" w:hAnsi="Times New Roman" w:eastAsia="Arial" w:cs="Times New Roman"/>
                <w:snapToGrid w:val="0"/>
                <w:color w:val="000000"/>
                <w:sz w:val="24"/>
                <w:szCs w:val="24"/>
                <w:lang w:val="en-US" w:eastAsia="zh-CN" w:bidi="ar-SA"/>
              </w:rPr>
              <w:t>方式，</w:t>
            </w:r>
            <w:r>
              <w:rPr>
                <w:rFonts w:ascii="宋体" w:hAnsi="宋体" w:eastAsia="宋体" w:cs="宋体"/>
                <w:sz w:val="24"/>
                <w:szCs w:val="24"/>
              </w:rPr>
              <w:t>去除工件表面残留水分，确保工件完全干燥，为喷塑工序做好准备</w:t>
            </w:r>
            <w:r>
              <w:rPr>
                <w:rFonts w:hint="eastAsia" w:ascii="宋体" w:hAnsi="宋体" w:eastAsia="宋体" w:cs="宋体"/>
                <w:sz w:val="24"/>
                <w:szCs w:val="24"/>
                <w:lang w:eastAsia="zh-CN"/>
              </w:rPr>
              <w:t>。</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电泳烘干废气G6及电泳沥干</w:t>
            </w:r>
            <w:r>
              <w:rPr>
                <w:rFonts w:hint="default" w:ascii="Times New Roman" w:hAnsi="Times New Roman" w:eastAsia="宋体" w:cs="Times New Roman"/>
                <w:kern w:val="2"/>
                <w:sz w:val="24"/>
                <w:szCs w:val="24"/>
                <w:lang w:val="en-US" w:eastAsia="zh-CN" w:bidi="ar-SA"/>
              </w:rPr>
              <w:t>废水W</w:t>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t>
            </w:r>
          </w:p>
          <w:p w14:paraId="34305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（11）喷塑：</w:t>
            </w:r>
            <w:r>
              <w:rPr>
                <w:rFonts w:hint="eastAsia" w:ascii="Times New Roman" w:hAnsi="Times New Roman" w:eastAsia="Arial" w:cs="Times New Roman"/>
                <w:snapToGrid w:val="0"/>
                <w:color w:val="000000"/>
                <w:sz w:val="24"/>
                <w:szCs w:val="24"/>
                <w:lang w:val="en-US" w:eastAsia="zh-CN" w:bidi="ar-SA"/>
              </w:rPr>
              <w:t>对已经进行过处理的产品进入喷塑房，采用喷枪方式对工件进行喷塑，再通过工装车推入固化室。</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喷塑废气G7</w:t>
            </w:r>
            <w:r>
              <w:rPr>
                <w:rFonts w:hint="default" w:ascii="Times New Roman" w:hAnsi="Times New Roman" w:eastAsia="宋体" w:cs="Times New Roman"/>
                <w:kern w:val="2"/>
                <w:sz w:val="24"/>
                <w:szCs w:val="24"/>
                <w:lang w:val="en-US" w:eastAsia="zh-CN" w:bidi="ar-SA"/>
              </w:rPr>
              <w:t>。</w:t>
            </w:r>
          </w:p>
          <w:p w14:paraId="1431AF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drawing>
                <wp:anchor distT="0" distB="0" distL="114300" distR="114300" simplePos="0" relativeHeight="251663360" behindDoc="1" locked="0" layoutInCell="1" allowOverlap="1">
                  <wp:simplePos x="0" y="0"/>
                  <wp:positionH relativeFrom="column">
                    <wp:posOffset>902335</wp:posOffset>
                  </wp:positionH>
                  <wp:positionV relativeFrom="paragraph">
                    <wp:posOffset>879475</wp:posOffset>
                  </wp:positionV>
                  <wp:extent cx="3821430" cy="5844540"/>
                  <wp:effectExtent l="0" t="0" r="1270" b="10160"/>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0"/>
                          <a:stretch>
                            <a:fillRect/>
                          </a:stretch>
                        </pic:blipFill>
                        <pic:spPr>
                          <a:xfrm>
                            <a:off x="0" y="0"/>
                            <a:ext cx="3821430" cy="5844540"/>
                          </a:xfrm>
                          <a:prstGeom prst="rect">
                            <a:avLst/>
                          </a:prstGeom>
                          <a:noFill/>
                          <a:ln>
                            <a:noFill/>
                          </a:ln>
                        </pic:spPr>
                      </pic:pic>
                    </a:graphicData>
                  </a:graphic>
                </wp:anchor>
              </w:drawing>
            </w:r>
            <w:r>
              <w:rPr>
                <w:rFonts w:hint="eastAsia" w:ascii="Times New Roman" w:hAnsi="Times New Roman" w:eastAsia="宋体" w:cs="Times New Roman"/>
                <w:kern w:val="2"/>
                <w:sz w:val="24"/>
                <w:szCs w:val="24"/>
                <w:lang w:val="en-US" w:eastAsia="zh-CN" w:bidi="ar-SA"/>
              </w:rPr>
              <w:t>（12）固化：</w:t>
            </w:r>
            <w:r>
              <w:rPr>
                <w:rFonts w:ascii="宋体" w:hAnsi="宋体" w:eastAsia="宋体" w:cs="宋体"/>
                <w:sz w:val="24"/>
                <w:szCs w:val="24"/>
              </w:rPr>
              <w:t>将喷塑完成的工件送入固化</w:t>
            </w:r>
            <w:r>
              <w:rPr>
                <w:rFonts w:hint="eastAsia" w:ascii="宋体" w:hAnsi="宋体" w:eastAsia="宋体" w:cs="宋体"/>
                <w:sz w:val="24"/>
                <w:szCs w:val="24"/>
                <w:lang w:eastAsia="zh-CN"/>
              </w:rPr>
              <w:t>室</w:t>
            </w:r>
            <w:r>
              <w:rPr>
                <w:rFonts w:ascii="宋体" w:hAnsi="宋体" w:eastAsia="宋体" w:cs="宋体"/>
                <w:sz w:val="24"/>
                <w:szCs w:val="24"/>
              </w:rPr>
              <w:t>，</w:t>
            </w:r>
            <w:r>
              <w:rPr>
                <w:rFonts w:hint="eastAsia" w:ascii="宋体" w:hAnsi="宋体" w:eastAsia="宋体" w:cs="宋体"/>
                <w:sz w:val="24"/>
                <w:szCs w:val="24"/>
                <w:lang w:eastAsia="zh-CN"/>
              </w:rPr>
              <w:t>使用液化石油气燃烧直接加热，</w:t>
            </w:r>
            <w:r>
              <w:rPr>
                <w:rFonts w:ascii="宋体" w:hAnsi="宋体" w:eastAsia="宋体" w:cs="宋体"/>
                <w:sz w:val="24"/>
                <w:szCs w:val="24"/>
              </w:rPr>
              <w:t>在设定温度下加热烘烤，使粉末涂料熔融、流平、固化，在工件表面形成坚硬、耐磨、耐腐蚀的永久性保护涂层</w:t>
            </w:r>
            <w:r>
              <w:rPr>
                <w:rFonts w:hint="eastAsia" w:ascii="宋体" w:hAnsi="宋体" w:eastAsia="宋体" w:cs="宋体"/>
                <w:sz w:val="24"/>
                <w:szCs w:val="24"/>
                <w:lang w:eastAsia="zh-CN"/>
              </w:rPr>
              <w:t>。</w:t>
            </w:r>
            <w:r>
              <w:rPr>
                <w:rFonts w:hint="default" w:ascii="Times New Roman" w:hAnsi="Times New Roman" w:eastAsia="宋体" w:cs="Times New Roman"/>
                <w:kern w:val="2"/>
                <w:sz w:val="24"/>
                <w:szCs w:val="24"/>
                <w:lang w:val="en-US" w:eastAsia="zh-CN" w:bidi="ar-SA"/>
              </w:rPr>
              <w:t>该工序产生的污染物为</w:t>
            </w:r>
            <w:r>
              <w:rPr>
                <w:rFonts w:hint="eastAsia" w:ascii="Times New Roman" w:hAnsi="Times New Roman" w:eastAsia="宋体" w:cs="Times New Roman"/>
                <w:kern w:val="2"/>
                <w:sz w:val="24"/>
                <w:szCs w:val="24"/>
                <w:lang w:val="en-US" w:eastAsia="zh-CN" w:bidi="ar-SA"/>
              </w:rPr>
              <w:t>固化废气G8</w:t>
            </w:r>
            <w:r>
              <w:rPr>
                <w:rFonts w:hint="default" w:ascii="Times New Roman" w:hAnsi="Times New Roman" w:eastAsia="宋体" w:cs="Times New Roman"/>
                <w:kern w:val="2"/>
                <w:sz w:val="24"/>
                <w:szCs w:val="24"/>
                <w:lang w:val="en-US" w:eastAsia="zh-CN" w:bidi="ar-SA"/>
              </w:rPr>
              <w:t>。</w:t>
            </w:r>
          </w:p>
          <w:p w14:paraId="3C5C500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sz w:val="24"/>
                <w:lang w:eastAsia="zh-CN" w:bidi="ar"/>
              </w:rPr>
            </w:pPr>
            <w:r>
              <w:rPr>
                <w:rFonts w:hint="eastAsia" w:ascii="Times New Roman" w:hAnsi="Times New Roman" w:eastAsia="宋体" w:cs="Times New Roman"/>
                <w:sz w:val="24"/>
                <w:lang w:val="en-US" w:eastAsia="zh-CN" w:bidi="ar"/>
              </w:rPr>
              <w:t>5、</w:t>
            </w:r>
            <w:r>
              <w:rPr>
                <w:rFonts w:hint="eastAsia" w:ascii="Times New Roman" w:hAnsi="Times New Roman" w:eastAsia="宋体" w:cs="Times New Roman"/>
                <w:sz w:val="24"/>
                <w:lang w:eastAsia="zh-CN" w:bidi="ar"/>
              </w:rPr>
              <w:t>磷化线</w:t>
            </w:r>
            <w:r>
              <w:rPr>
                <w:rFonts w:hint="eastAsia" w:ascii="Times New Roman" w:hAnsi="Times New Roman" w:eastAsia="宋体" w:cs="Times New Roman"/>
                <w:sz w:val="24"/>
                <w:lang w:val="en-US" w:eastAsia="zh-CN" w:bidi="ar"/>
              </w:rPr>
              <w:t>1#</w:t>
            </w:r>
            <w:r>
              <w:rPr>
                <w:rFonts w:ascii="Times New Roman" w:hAnsi="Times New Roman" w:eastAsia="宋体" w:cs="Times New Roman"/>
                <w:sz w:val="24"/>
                <w:lang w:eastAsia="zh-CN" w:bidi="ar"/>
              </w:rPr>
              <w:t>生产工艺流程及产污节点简图如下图。</w:t>
            </w:r>
          </w:p>
          <w:p w14:paraId="209D66EE">
            <w:pPr>
              <w:rPr>
                <w:rFonts w:ascii="Times New Roman" w:hAnsi="Times New Roman" w:eastAsia="宋体" w:cs="Times New Roman"/>
                <w:b/>
                <w:bCs/>
                <w:sz w:val="24"/>
                <w:szCs w:val="24"/>
                <w:lang w:eastAsia="zh-CN"/>
              </w:rPr>
            </w:pPr>
          </w:p>
          <w:p w14:paraId="1335B7E2">
            <w:pPr>
              <w:pStyle w:val="21"/>
              <w:rPr>
                <w:rFonts w:ascii="Times New Roman" w:hAnsi="Times New Roman" w:eastAsia="宋体" w:cs="Times New Roman"/>
                <w:b/>
                <w:bCs/>
                <w:sz w:val="24"/>
                <w:szCs w:val="24"/>
                <w:lang w:eastAsia="zh-CN"/>
              </w:rPr>
            </w:pPr>
          </w:p>
          <w:p w14:paraId="7D668152">
            <w:pPr>
              <w:jc w:val="center"/>
              <w:rPr>
                <w:rFonts w:ascii="Times New Roman" w:hAnsi="Times New Roman" w:eastAsia="宋体" w:cs="Times New Roman"/>
                <w:b/>
                <w:bCs/>
                <w:sz w:val="24"/>
                <w:szCs w:val="24"/>
                <w:lang w:eastAsia="zh-CN"/>
              </w:rPr>
            </w:pPr>
          </w:p>
          <w:p w14:paraId="0DF72562">
            <w:pPr>
              <w:jc w:val="center"/>
              <w:rPr>
                <w:rFonts w:ascii="Times New Roman" w:hAnsi="Times New Roman" w:eastAsia="宋体" w:cs="Times New Roman"/>
                <w:b/>
                <w:bCs/>
                <w:sz w:val="24"/>
                <w:szCs w:val="24"/>
                <w:lang w:eastAsia="zh-CN"/>
              </w:rPr>
            </w:pPr>
          </w:p>
          <w:p w14:paraId="7BD3032F">
            <w:pPr>
              <w:jc w:val="center"/>
              <w:rPr>
                <w:rFonts w:ascii="Times New Roman" w:hAnsi="Times New Roman" w:eastAsia="宋体" w:cs="Times New Roman"/>
                <w:b/>
                <w:bCs/>
                <w:sz w:val="24"/>
                <w:szCs w:val="24"/>
                <w:lang w:eastAsia="zh-CN"/>
              </w:rPr>
            </w:pPr>
          </w:p>
          <w:p w14:paraId="51212523">
            <w:pPr>
              <w:jc w:val="center"/>
              <w:rPr>
                <w:rFonts w:ascii="Times New Roman" w:hAnsi="Times New Roman" w:eastAsia="宋体" w:cs="Times New Roman"/>
                <w:b/>
                <w:bCs/>
                <w:sz w:val="24"/>
                <w:szCs w:val="24"/>
                <w:lang w:eastAsia="zh-CN"/>
              </w:rPr>
            </w:pPr>
          </w:p>
          <w:p w14:paraId="3174BBDE">
            <w:pPr>
              <w:jc w:val="center"/>
              <w:rPr>
                <w:rFonts w:ascii="Times New Roman" w:hAnsi="Times New Roman" w:eastAsia="宋体" w:cs="Times New Roman"/>
                <w:b/>
                <w:bCs/>
                <w:sz w:val="24"/>
                <w:szCs w:val="24"/>
                <w:lang w:eastAsia="zh-CN"/>
              </w:rPr>
            </w:pPr>
          </w:p>
          <w:p w14:paraId="67291BE6">
            <w:pPr>
              <w:jc w:val="center"/>
              <w:rPr>
                <w:rFonts w:ascii="Times New Roman" w:hAnsi="Times New Roman" w:eastAsia="宋体" w:cs="Times New Roman"/>
                <w:b/>
                <w:bCs/>
                <w:sz w:val="24"/>
                <w:szCs w:val="24"/>
                <w:lang w:eastAsia="zh-CN"/>
              </w:rPr>
            </w:pPr>
          </w:p>
          <w:p w14:paraId="2043E8D1">
            <w:pPr>
              <w:jc w:val="center"/>
              <w:rPr>
                <w:rFonts w:ascii="Times New Roman" w:hAnsi="Times New Roman" w:eastAsia="宋体" w:cs="Times New Roman"/>
                <w:b/>
                <w:bCs/>
                <w:sz w:val="24"/>
                <w:szCs w:val="24"/>
                <w:lang w:eastAsia="zh-CN"/>
              </w:rPr>
            </w:pPr>
          </w:p>
          <w:p w14:paraId="54971E6E">
            <w:pPr>
              <w:jc w:val="center"/>
              <w:rPr>
                <w:rFonts w:ascii="Times New Roman" w:hAnsi="Times New Roman" w:eastAsia="宋体" w:cs="Times New Roman"/>
                <w:b/>
                <w:bCs/>
                <w:sz w:val="24"/>
                <w:szCs w:val="24"/>
                <w:lang w:eastAsia="zh-CN"/>
              </w:rPr>
            </w:pPr>
          </w:p>
          <w:p w14:paraId="3B617126">
            <w:pPr>
              <w:jc w:val="center"/>
              <w:rPr>
                <w:rFonts w:ascii="Times New Roman" w:hAnsi="Times New Roman" w:eastAsia="宋体" w:cs="Times New Roman"/>
                <w:b/>
                <w:bCs/>
                <w:sz w:val="24"/>
                <w:szCs w:val="24"/>
                <w:lang w:eastAsia="zh-CN"/>
              </w:rPr>
            </w:pPr>
          </w:p>
          <w:p w14:paraId="0303F7A4">
            <w:pPr>
              <w:jc w:val="center"/>
              <w:rPr>
                <w:rFonts w:ascii="Times New Roman" w:hAnsi="Times New Roman" w:eastAsia="宋体" w:cs="Times New Roman"/>
                <w:b/>
                <w:bCs/>
                <w:sz w:val="24"/>
                <w:szCs w:val="24"/>
                <w:lang w:eastAsia="zh-CN"/>
              </w:rPr>
            </w:pPr>
          </w:p>
          <w:p w14:paraId="516DAD0F">
            <w:pPr>
              <w:jc w:val="center"/>
              <w:rPr>
                <w:rFonts w:ascii="Times New Roman" w:hAnsi="Times New Roman" w:eastAsia="宋体" w:cs="Times New Roman"/>
                <w:b/>
                <w:bCs/>
                <w:sz w:val="24"/>
                <w:szCs w:val="24"/>
                <w:lang w:eastAsia="zh-CN"/>
              </w:rPr>
            </w:pPr>
          </w:p>
          <w:p w14:paraId="55B953F9">
            <w:pPr>
              <w:jc w:val="center"/>
              <w:rPr>
                <w:rFonts w:ascii="Times New Roman" w:hAnsi="Times New Roman" w:eastAsia="宋体" w:cs="Times New Roman"/>
                <w:b/>
                <w:bCs/>
                <w:sz w:val="24"/>
                <w:szCs w:val="24"/>
                <w:lang w:eastAsia="zh-CN"/>
              </w:rPr>
            </w:pPr>
          </w:p>
          <w:p w14:paraId="7B204F80">
            <w:pPr>
              <w:jc w:val="center"/>
              <w:rPr>
                <w:rFonts w:ascii="Times New Roman" w:hAnsi="Times New Roman" w:eastAsia="宋体" w:cs="Times New Roman"/>
                <w:b/>
                <w:bCs/>
                <w:sz w:val="24"/>
                <w:szCs w:val="24"/>
                <w:lang w:eastAsia="zh-CN"/>
              </w:rPr>
            </w:pPr>
          </w:p>
          <w:p w14:paraId="768442AF">
            <w:pPr>
              <w:jc w:val="center"/>
              <w:rPr>
                <w:rFonts w:ascii="Times New Roman" w:hAnsi="Times New Roman" w:eastAsia="宋体" w:cs="Times New Roman"/>
                <w:b/>
                <w:bCs/>
                <w:sz w:val="24"/>
                <w:szCs w:val="24"/>
                <w:lang w:eastAsia="zh-CN"/>
              </w:rPr>
            </w:pPr>
          </w:p>
          <w:p w14:paraId="5B3B690E">
            <w:pPr>
              <w:jc w:val="center"/>
              <w:rPr>
                <w:rFonts w:ascii="Times New Roman" w:hAnsi="Times New Roman" w:eastAsia="宋体" w:cs="Times New Roman"/>
                <w:b/>
                <w:bCs/>
                <w:sz w:val="24"/>
                <w:szCs w:val="24"/>
                <w:lang w:eastAsia="zh-CN"/>
              </w:rPr>
            </w:pPr>
          </w:p>
          <w:p w14:paraId="1C27321A">
            <w:pPr>
              <w:jc w:val="center"/>
              <w:rPr>
                <w:rFonts w:ascii="Times New Roman" w:hAnsi="Times New Roman" w:eastAsia="宋体" w:cs="Times New Roman"/>
                <w:b/>
                <w:bCs/>
                <w:sz w:val="24"/>
                <w:szCs w:val="24"/>
                <w:lang w:eastAsia="zh-CN"/>
              </w:rPr>
            </w:pPr>
          </w:p>
          <w:p w14:paraId="6907CAB6">
            <w:pPr>
              <w:jc w:val="center"/>
              <w:rPr>
                <w:rFonts w:ascii="Times New Roman" w:hAnsi="Times New Roman" w:eastAsia="宋体" w:cs="Times New Roman"/>
                <w:b/>
                <w:bCs/>
                <w:sz w:val="24"/>
                <w:szCs w:val="24"/>
                <w:lang w:eastAsia="zh-CN"/>
              </w:rPr>
            </w:pPr>
          </w:p>
          <w:p w14:paraId="6866D409">
            <w:pPr>
              <w:jc w:val="center"/>
              <w:rPr>
                <w:rFonts w:ascii="Times New Roman" w:hAnsi="Times New Roman" w:eastAsia="宋体" w:cs="Times New Roman"/>
                <w:b/>
                <w:bCs/>
                <w:sz w:val="24"/>
                <w:szCs w:val="24"/>
                <w:lang w:eastAsia="zh-CN"/>
              </w:rPr>
            </w:pPr>
          </w:p>
          <w:p w14:paraId="5F5560ED">
            <w:pPr>
              <w:jc w:val="center"/>
              <w:rPr>
                <w:rFonts w:ascii="Times New Roman" w:hAnsi="Times New Roman" w:eastAsia="宋体" w:cs="Times New Roman"/>
                <w:b/>
                <w:bCs/>
                <w:sz w:val="24"/>
                <w:szCs w:val="24"/>
                <w:lang w:eastAsia="zh-CN"/>
              </w:rPr>
            </w:pPr>
          </w:p>
          <w:p w14:paraId="61CAF2DA">
            <w:pPr>
              <w:jc w:val="center"/>
              <w:rPr>
                <w:rFonts w:ascii="Times New Roman" w:hAnsi="Times New Roman" w:eastAsia="宋体" w:cs="Times New Roman"/>
                <w:b/>
                <w:bCs/>
                <w:sz w:val="24"/>
                <w:szCs w:val="24"/>
                <w:lang w:eastAsia="zh-CN"/>
              </w:rPr>
            </w:pPr>
          </w:p>
          <w:p w14:paraId="0649F396">
            <w:pPr>
              <w:jc w:val="center"/>
              <w:rPr>
                <w:rFonts w:ascii="Times New Roman" w:hAnsi="Times New Roman" w:eastAsia="宋体" w:cs="Times New Roman"/>
                <w:b/>
                <w:bCs/>
                <w:sz w:val="24"/>
                <w:szCs w:val="24"/>
                <w:lang w:eastAsia="zh-CN"/>
              </w:rPr>
            </w:pPr>
          </w:p>
          <w:p w14:paraId="10F603DF">
            <w:pPr>
              <w:jc w:val="center"/>
              <w:rPr>
                <w:rFonts w:ascii="Times New Roman" w:hAnsi="Times New Roman" w:eastAsia="宋体" w:cs="Times New Roman"/>
                <w:b/>
                <w:bCs/>
                <w:sz w:val="24"/>
                <w:szCs w:val="24"/>
                <w:lang w:eastAsia="zh-CN"/>
              </w:rPr>
            </w:pPr>
          </w:p>
          <w:p w14:paraId="36CF6A2F">
            <w:pPr>
              <w:jc w:val="center"/>
              <w:rPr>
                <w:rFonts w:ascii="Times New Roman" w:hAnsi="Times New Roman" w:eastAsia="宋体" w:cs="Times New Roman"/>
                <w:b/>
                <w:bCs/>
                <w:sz w:val="24"/>
                <w:szCs w:val="24"/>
                <w:lang w:eastAsia="zh-CN"/>
              </w:rPr>
            </w:pPr>
          </w:p>
          <w:p w14:paraId="3BB79942">
            <w:pPr>
              <w:jc w:val="center"/>
              <w:rPr>
                <w:rFonts w:ascii="Times New Roman" w:hAnsi="Times New Roman" w:eastAsia="宋体" w:cs="Times New Roman"/>
                <w:b/>
                <w:bCs/>
                <w:sz w:val="24"/>
                <w:szCs w:val="24"/>
                <w:lang w:eastAsia="zh-CN"/>
              </w:rPr>
            </w:pPr>
          </w:p>
          <w:p w14:paraId="05C79125">
            <w:pPr>
              <w:jc w:val="center"/>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图2-</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eastAsia="zh-CN"/>
              </w:rPr>
              <w:t xml:space="preserve"> 磷化线</w:t>
            </w:r>
            <w:r>
              <w:rPr>
                <w:rFonts w:hint="eastAsia" w:ascii="Times New Roman" w:hAnsi="Times New Roman" w:eastAsia="宋体" w:cs="Times New Roman"/>
                <w:b/>
                <w:bCs/>
                <w:sz w:val="24"/>
                <w:szCs w:val="24"/>
                <w:lang w:val="en-US" w:eastAsia="zh-CN"/>
              </w:rPr>
              <w:t>1#</w:t>
            </w:r>
            <w:r>
              <w:rPr>
                <w:rFonts w:ascii="Times New Roman" w:hAnsi="Times New Roman" w:eastAsia="宋体" w:cs="Times New Roman"/>
                <w:b/>
                <w:bCs/>
                <w:sz w:val="24"/>
                <w:szCs w:val="24"/>
                <w:lang w:eastAsia="zh-CN"/>
              </w:rPr>
              <w:t>生产工艺流程及产污节点图</w:t>
            </w:r>
          </w:p>
          <w:p w14:paraId="39190D4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磷化线</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lang w:eastAsia="zh-CN"/>
              </w:rPr>
              <w:t>工艺流程简述：</w:t>
            </w:r>
          </w:p>
          <w:p w14:paraId="705B8886">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（1）酸洗：</w:t>
            </w:r>
            <w:r>
              <w:rPr>
                <w:rFonts w:ascii="宋体" w:hAnsi="宋体" w:eastAsia="宋体" w:cs="宋体"/>
                <w:sz w:val="24"/>
                <w:szCs w:val="24"/>
              </w:rPr>
              <w:t>将工件浸入酸洗槽内，利用酸液与工件表面铁锈、氧化皮发生化学反应，去除表面锈蚀、氧化层及油污杂质，使工件表面洁净，为后续处理提供基础</w:t>
            </w:r>
            <w:r>
              <w:rPr>
                <w:rFonts w:hint="eastAsia" w:ascii="宋体" w:hAnsi="宋体" w:eastAsia="宋体" w:cs="宋体"/>
                <w:sz w:val="24"/>
                <w:szCs w:val="24"/>
                <w:lang w:eastAsia="zh-CN"/>
              </w:rPr>
              <w:t>。</w:t>
            </w:r>
            <w:r>
              <w:rPr>
                <w:rFonts w:ascii="宋体" w:hAnsi="宋体" w:eastAsia="宋体" w:cs="宋体"/>
                <w:sz w:val="24"/>
                <w:szCs w:val="24"/>
                <w:lang w:eastAsia="zh-CN"/>
              </w:rPr>
              <w:t>该工序产生的污染物为</w:t>
            </w:r>
            <w:r>
              <w:rPr>
                <w:rFonts w:hint="default" w:ascii="宋体" w:hAnsi="宋体" w:eastAsia="宋体" w:cs="宋体"/>
                <w:sz w:val="24"/>
                <w:szCs w:val="24"/>
                <w:lang w:val="en-US" w:eastAsia="zh-CN"/>
              </w:rPr>
              <w:t>酸洗</w:t>
            </w:r>
            <w:r>
              <w:rPr>
                <w:rFonts w:hint="default" w:ascii="Times New Roman" w:hAnsi="Times New Roman" w:eastAsia="宋体" w:cs="Times New Roman"/>
                <w:kern w:val="2"/>
                <w:sz w:val="24"/>
                <w:szCs w:val="24"/>
                <w:lang w:val="en-US" w:eastAsia="zh-CN" w:bidi="ar-SA"/>
              </w:rPr>
              <w:t>废气硫酸雾G</w:t>
            </w:r>
            <w:r>
              <w:rPr>
                <w:rFonts w:hint="eastAsia" w:ascii="Times New Roman" w:hAnsi="Times New Roman" w:eastAsia="宋体" w:cs="Times New Roman"/>
                <w:kern w:val="2"/>
                <w:sz w:val="24"/>
                <w:szCs w:val="24"/>
                <w:lang w:val="en-US" w:eastAsia="zh-CN" w:bidi="ar-SA"/>
              </w:rPr>
              <w:t>9及槽渣S8。</w:t>
            </w:r>
          </w:p>
          <w:p w14:paraId="01662D26">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default" w:ascii="宋体" w:hAnsi="宋体" w:eastAsia="宋体" w:cs="宋体"/>
                <w:sz w:val="24"/>
                <w:szCs w:val="24"/>
                <w:lang w:val="en-US" w:eastAsia="zh-CN"/>
              </w:rPr>
            </w:pPr>
            <w:r>
              <w:rPr>
                <w:rFonts w:hint="eastAsia" w:ascii="Times New Roman" w:hAnsi="Times New Roman" w:eastAsia="宋体" w:cs="Times New Roman"/>
                <w:kern w:val="2"/>
                <w:sz w:val="24"/>
                <w:szCs w:val="24"/>
                <w:lang w:val="en-US" w:eastAsia="zh-CN" w:bidi="ar-SA"/>
              </w:rPr>
              <w:t>（2）</w:t>
            </w:r>
            <w:r>
              <w:rPr>
                <w:rFonts w:hint="eastAsia" w:ascii="宋体" w:hAnsi="宋体" w:eastAsia="宋体" w:cs="宋体"/>
                <w:sz w:val="24"/>
                <w:szCs w:val="24"/>
                <w:lang w:val="en-US" w:eastAsia="zh-CN"/>
              </w:rPr>
              <w:t>酸洗2：</w:t>
            </w:r>
            <w:r>
              <w:rPr>
                <w:rFonts w:ascii="宋体" w:hAnsi="宋体" w:eastAsia="宋体" w:cs="宋体"/>
                <w:sz w:val="24"/>
                <w:szCs w:val="24"/>
              </w:rPr>
              <w:t>对工件进行二次酸洗，进一步深度去除残留氧化皮、锈蚀及顽固杂质，确保表面处理彻底，提升后续表调和磷化质量。</w:t>
            </w:r>
            <w:r>
              <w:rPr>
                <w:rFonts w:ascii="宋体" w:hAnsi="宋体" w:eastAsia="宋体" w:cs="宋体"/>
                <w:sz w:val="24"/>
                <w:szCs w:val="24"/>
                <w:lang w:eastAsia="zh-CN"/>
              </w:rPr>
              <w:t>该工序产生的污染物为</w:t>
            </w:r>
            <w:r>
              <w:rPr>
                <w:rFonts w:hint="default" w:ascii="宋体" w:hAnsi="宋体" w:eastAsia="宋体" w:cs="宋体"/>
                <w:sz w:val="24"/>
                <w:szCs w:val="24"/>
                <w:lang w:val="en-US" w:eastAsia="zh-CN"/>
              </w:rPr>
              <w:t>酸洗废气硫酸雾G</w:t>
            </w:r>
            <w:r>
              <w:rPr>
                <w:rFonts w:hint="eastAsia" w:ascii="宋体" w:hAnsi="宋体" w:eastAsia="宋体" w:cs="宋体"/>
                <w:sz w:val="24"/>
                <w:szCs w:val="24"/>
                <w:lang w:val="en-US" w:eastAsia="zh-CN"/>
              </w:rPr>
              <w:t>9-1及槽渣S8-1。</w:t>
            </w:r>
          </w:p>
          <w:p w14:paraId="07BA61E6">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（3）酸洗后水洗：采用清水对二次酸洗后的工件进行清洗，去除表面残留酸液与污物，防止酸液带入下道工序造成药剂污染。该工序产生的污染物为清洗废水W5。</w:t>
            </w:r>
          </w:p>
          <w:p w14:paraId="70CE70D9">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（4）表调：</w:t>
            </w:r>
            <w:r>
              <w:rPr>
                <w:rFonts w:ascii="宋体" w:hAnsi="宋体" w:eastAsia="宋体" w:cs="宋体"/>
                <w:sz w:val="24"/>
                <w:szCs w:val="24"/>
              </w:rPr>
              <w:t>将清洗后的工件浸入表调槽中，通过表面调整剂对工件表面进行活化处理，使工件表面形成均匀活性位点，提高后续磷化膜的致密度与均匀性</w:t>
            </w:r>
            <w:r>
              <w:rPr>
                <w:rFonts w:hint="eastAsia" w:ascii="宋体" w:hAnsi="宋体" w:eastAsia="宋体" w:cs="宋体"/>
                <w:sz w:val="24"/>
                <w:szCs w:val="24"/>
                <w:lang w:eastAsia="zh-CN"/>
              </w:rPr>
              <w:t>。</w:t>
            </w:r>
          </w:p>
          <w:p w14:paraId="1F8F8C18">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（5）表调后水洗：使用清水</w:t>
            </w:r>
            <w:r>
              <w:rPr>
                <w:rFonts w:ascii="宋体" w:hAnsi="宋体" w:eastAsia="宋体" w:cs="宋体"/>
                <w:sz w:val="24"/>
                <w:szCs w:val="24"/>
              </w:rPr>
              <w:t>对表调后的工件进行清洗，去除表面残留表调液，避免表调剂带入磷化槽影响磷化效果</w:t>
            </w:r>
            <w:r>
              <w:rPr>
                <w:rFonts w:hint="eastAsia" w:ascii="宋体" w:hAnsi="宋体" w:eastAsia="宋体" w:cs="宋体"/>
                <w:sz w:val="24"/>
                <w:szCs w:val="24"/>
                <w:lang w:eastAsia="zh-CN"/>
              </w:rPr>
              <w:t>。</w:t>
            </w:r>
            <w:r>
              <w:rPr>
                <w:rFonts w:ascii="宋体" w:hAnsi="宋体" w:eastAsia="宋体" w:cs="宋体"/>
                <w:sz w:val="24"/>
                <w:szCs w:val="24"/>
                <w:lang w:eastAsia="zh-CN"/>
              </w:rPr>
              <w:t>该工序产生的污染物为</w:t>
            </w:r>
            <w:r>
              <w:rPr>
                <w:rFonts w:hint="eastAsia" w:ascii="宋体" w:hAnsi="宋体" w:eastAsia="宋体" w:cs="宋体"/>
                <w:sz w:val="24"/>
                <w:szCs w:val="24"/>
                <w:lang w:val="en-US" w:eastAsia="zh-CN"/>
              </w:rPr>
              <w:t>清洗废水W6。</w:t>
            </w:r>
          </w:p>
          <w:p w14:paraId="3A52835F">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（6）磷化：将工件浸入磷化液中，在表面形成一层均匀、致密的磷化膜，增强工件防腐性能与涂层附着力，为后续涂装提供良好基底。该工序产生的污染物为槽渣S9。</w:t>
            </w:r>
          </w:p>
          <w:p w14:paraId="716E7EFB">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ascii="宋体" w:hAnsi="宋体" w:eastAsia="宋体" w:cs="宋体"/>
                <w:sz w:val="24"/>
                <w:szCs w:val="24"/>
              </w:rPr>
            </w:pPr>
            <w:r>
              <w:rPr>
                <w:rFonts w:hint="eastAsia" w:ascii="宋体" w:hAnsi="宋体" w:eastAsia="宋体" w:cs="宋体"/>
                <w:sz w:val="24"/>
                <w:szCs w:val="24"/>
                <w:lang w:val="en-US" w:eastAsia="zh-CN"/>
              </w:rPr>
              <w:t>（7）磷化2：</w:t>
            </w:r>
            <w:r>
              <w:rPr>
                <w:rFonts w:ascii="宋体" w:hAnsi="宋体" w:eastAsia="宋体" w:cs="宋体"/>
                <w:sz w:val="24"/>
                <w:szCs w:val="24"/>
              </w:rPr>
              <w:t>对工件进行二次磷化处理，进一步强化磷化膜厚度与均匀性，提升工件耐蚀性，保证后续涂装质量。</w:t>
            </w:r>
            <w:r>
              <w:rPr>
                <w:rFonts w:hint="eastAsia" w:ascii="宋体" w:hAnsi="宋体" w:eastAsia="宋体" w:cs="宋体"/>
                <w:sz w:val="24"/>
                <w:szCs w:val="24"/>
                <w:lang w:val="en-US" w:eastAsia="zh-CN"/>
              </w:rPr>
              <w:t>该工序产生的污染物为槽渣S9-1。</w:t>
            </w:r>
          </w:p>
          <w:p w14:paraId="18CEC7A2">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）磷化后水洗：使用清水</w:t>
            </w:r>
            <w:r>
              <w:rPr>
                <w:rFonts w:ascii="宋体" w:hAnsi="宋体" w:eastAsia="宋体" w:cs="宋体"/>
                <w:sz w:val="24"/>
                <w:szCs w:val="24"/>
              </w:rPr>
              <w:t>二次磷化后的工件进行最终清洗，彻底去除表面残留磷化液及杂质，保证工件表面洁净，满足后续工序要求</w:t>
            </w:r>
            <w:r>
              <w:rPr>
                <w:rFonts w:hint="eastAsia" w:ascii="宋体" w:hAnsi="宋体" w:eastAsia="宋体" w:cs="宋体"/>
                <w:sz w:val="24"/>
                <w:szCs w:val="24"/>
                <w:lang w:eastAsia="zh-CN"/>
              </w:rPr>
              <w:t>。</w:t>
            </w:r>
            <w:r>
              <w:rPr>
                <w:rFonts w:ascii="宋体" w:hAnsi="宋体" w:eastAsia="宋体" w:cs="宋体"/>
                <w:sz w:val="24"/>
                <w:szCs w:val="24"/>
                <w:lang w:eastAsia="zh-CN"/>
              </w:rPr>
              <w:t>该工序产生的污染物为</w:t>
            </w:r>
            <w:r>
              <w:rPr>
                <w:rFonts w:hint="eastAsia" w:ascii="宋体" w:hAnsi="宋体" w:eastAsia="宋体" w:cs="宋体"/>
                <w:sz w:val="24"/>
                <w:szCs w:val="24"/>
                <w:lang w:val="en-US" w:eastAsia="zh-CN"/>
              </w:rPr>
              <w:t>清洗废水W7。</w:t>
            </w:r>
          </w:p>
          <w:p w14:paraId="3F8450BD">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ascii="宋体" w:hAnsi="宋体" w:eastAsia="宋体" w:cs="宋体"/>
                <w:sz w:val="24"/>
                <w:szCs w:val="24"/>
                <w:lang w:eastAsia="zh-CN"/>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1397635</wp:posOffset>
                  </wp:positionH>
                  <wp:positionV relativeFrom="paragraph">
                    <wp:posOffset>3810</wp:posOffset>
                  </wp:positionV>
                  <wp:extent cx="3296285" cy="4132580"/>
                  <wp:effectExtent l="0" t="0" r="5715" b="7620"/>
                  <wp:wrapNone/>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1"/>
                          <a:stretch>
                            <a:fillRect/>
                          </a:stretch>
                        </pic:blipFill>
                        <pic:spPr>
                          <a:xfrm>
                            <a:off x="0" y="0"/>
                            <a:ext cx="3296285" cy="4132580"/>
                          </a:xfrm>
                          <a:prstGeom prst="rect">
                            <a:avLst/>
                          </a:prstGeom>
                          <a:noFill/>
                          <a:ln>
                            <a:noFill/>
                          </a:ln>
                        </pic:spPr>
                      </pic:pic>
                    </a:graphicData>
                  </a:graphic>
                </wp:anchor>
              </w:drawing>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磷化线</w:t>
            </w:r>
            <w:r>
              <w:rPr>
                <w:rFonts w:hint="eastAsia" w:ascii="宋体" w:hAnsi="宋体" w:eastAsia="宋体" w:cs="宋体"/>
                <w:sz w:val="24"/>
                <w:szCs w:val="24"/>
                <w:lang w:val="en-US" w:eastAsia="zh-CN"/>
              </w:rPr>
              <w:t>2#</w:t>
            </w:r>
            <w:r>
              <w:rPr>
                <w:rFonts w:ascii="宋体" w:hAnsi="宋体" w:eastAsia="宋体" w:cs="宋体"/>
                <w:sz w:val="24"/>
                <w:szCs w:val="24"/>
                <w:lang w:eastAsia="zh-CN"/>
              </w:rPr>
              <w:t>生产工艺流程及产污节点简图如下图。</w:t>
            </w:r>
          </w:p>
          <w:p w14:paraId="6B23E4EB">
            <w:pPr>
              <w:numPr>
                <w:ilvl w:val="0"/>
                <w:numId w:val="0"/>
              </w:numPr>
              <w:jc w:val="center"/>
              <w:rPr>
                <w:rFonts w:ascii="Times New Roman" w:hAnsi="Times New Roman" w:eastAsia="宋体" w:cs="Times New Roman"/>
                <w:b/>
                <w:bCs/>
                <w:sz w:val="24"/>
                <w:szCs w:val="24"/>
                <w:lang w:eastAsia="zh-CN"/>
              </w:rPr>
            </w:pPr>
          </w:p>
          <w:p w14:paraId="3FA13061">
            <w:pPr>
              <w:numPr>
                <w:ilvl w:val="0"/>
                <w:numId w:val="0"/>
              </w:numPr>
              <w:jc w:val="center"/>
              <w:rPr>
                <w:rFonts w:ascii="Times New Roman" w:hAnsi="Times New Roman" w:eastAsia="宋体" w:cs="Times New Roman"/>
                <w:b/>
                <w:bCs/>
                <w:sz w:val="24"/>
                <w:szCs w:val="24"/>
                <w:lang w:eastAsia="zh-CN"/>
              </w:rPr>
            </w:pPr>
          </w:p>
          <w:p w14:paraId="6CF8B9EF">
            <w:pPr>
              <w:numPr>
                <w:ilvl w:val="0"/>
                <w:numId w:val="0"/>
              </w:numPr>
              <w:jc w:val="center"/>
              <w:rPr>
                <w:rFonts w:ascii="Times New Roman" w:hAnsi="Times New Roman" w:eastAsia="宋体" w:cs="Times New Roman"/>
                <w:b/>
                <w:bCs/>
                <w:sz w:val="24"/>
                <w:szCs w:val="24"/>
                <w:lang w:eastAsia="zh-CN"/>
              </w:rPr>
            </w:pPr>
          </w:p>
          <w:p w14:paraId="1D99611E">
            <w:pPr>
              <w:numPr>
                <w:ilvl w:val="0"/>
                <w:numId w:val="0"/>
              </w:numPr>
              <w:jc w:val="center"/>
              <w:rPr>
                <w:rFonts w:ascii="Times New Roman" w:hAnsi="Times New Roman" w:eastAsia="宋体" w:cs="Times New Roman"/>
                <w:b/>
                <w:bCs/>
                <w:sz w:val="24"/>
                <w:szCs w:val="24"/>
                <w:lang w:eastAsia="zh-CN"/>
              </w:rPr>
            </w:pPr>
          </w:p>
          <w:p w14:paraId="6C694135">
            <w:pPr>
              <w:numPr>
                <w:ilvl w:val="0"/>
                <w:numId w:val="0"/>
              </w:numPr>
              <w:jc w:val="center"/>
              <w:rPr>
                <w:rFonts w:ascii="Times New Roman" w:hAnsi="Times New Roman" w:eastAsia="宋体" w:cs="Times New Roman"/>
                <w:b/>
                <w:bCs/>
                <w:sz w:val="24"/>
                <w:szCs w:val="24"/>
                <w:lang w:eastAsia="zh-CN"/>
              </w:rPr>
            </w:pPr>
          </w:p>
          <w:p w14:paraId="55C2FD56">
            <w:pPr>
              <w:numPr>
                <w:ilvl w:val="0"/>
                <w:numId w:val="0"/>
              </w:numPr>
              <w:jc w:val="center"/>
              <w:rPr>
                <w:rFonts w:ascii="Times New Roman" w:hAnsi="Times New Roman" w:eastAsia="宋体" w:cs="Times New Roman"/>
                <w:b/>
                <w:bCs/>
                <w:sz w:val="24"/>
                <w:szCs w:val="24"/>
                <w:lang w:eastAsia="zh-CN"/>
              </w:rPr>
            </w:pPr>
          </w:p>
          <w:p w14:paraId="3EA8D6AE">
            <w:pPr>
              <w:numPr>
                <w:ilvl w:val="0"/>
                <w:numId w:val="0"/>
              </w:numPr>
              <w:jc w:val="center"/>
              <w:rPr>
                <w:rFonts w:ascii="Times New Roman" w:hAnsi="Times New Roman" w:eastAsia="宋体" w:cs="Times New Roman"/>
                <w:b/>
                <w:bCs/>
                <w:sz w:val="24"/>
                <w:szCs w:val="24"/>
                <w:lang w:eastAsia="zh-CN"/>
              </w:rPr>
            </w:pPr>
          </w:p>
          <w:p w14:paraId="7115F8CC">
            <w:pPr>
              <w:numPr>
                <w:ilvl w:val="0"/>
                <w:numId w:val="0"/>
              </w:numPr>
              <w:jc w:val="center"/>
              <w:rPr>
                <w:rFonts w:ascii="Times New Roman" w:hAnsi="Times New Roman" w:eastAsia="宋体" w:cs="Times New Roman"/>
                <w:b/>
                <w:bCs/>
                <w:sz w:val="24"/>
                <w:szCs w:val="24"/>
                <w:lang w:eastAsia="zh-CN"/>
              </w:rPr>
            </w:pPr>
          </w:p>
          <w:p w14:paraId="08B6FDF1">
            <w:pPr>
              <w:numPr>
                <w:ilvl w:val="0"/>
                <w:numId w:val="0"/>
              </w:numPr>
              <w:jc w:val="center"/>
              <w:rPr>
                <w:rFonts w:ascii="Times New Roman" w:hAnsi="Times New Roman" w:eastAsia="宋体" w:cs="Times New Roman"/>
                <w:b/>
                <w:bCs/>
                <w:sz w:val="24"/>
                <w:szCs w:val="24"/>
                <w:lang w:eastAsia="zh-CN"/>
              </w:rPr>
            </w:pPr>
          </w:p>
          <w:p w14:paraId="48173C8A">
            <w:pPr>
              <w:numPr>
                <w:ilvl w:val="0"/>
                <w:numId w:val="0"/>
              </w:numPr>
              <w:jc w:val="center"/>
              <w:rPr>
                <w:rFonts w:ascii="Times New Roman" w:hAnsi="Times New Roman" w:eastAsia="宋体" w:cs="Times New Roman"/>
                <w:b/>
                <w:bCs/>
                <w:sz w:val="24"/>
                <w:szCs w:val="24"/>
                <w:lang w:eastAsia="zh-CN"/>
              </w:rPr>
            </w:pPr>
          </w:p>
          <w:p w14:paraId="58CDAF95">
            <w:pPr>
              <w:numPr>
                <w:ilvl w:val="0"/>
                <w:numId w:val="0"/>
              </w:numPr>
              <w:jc w:val="center"/>
              <w:rPr>
                <w:rFonts w:ascii="Times New Roman" w:hAnsi="Times New Roman" w:eastAsia="宋体" w:cs="Times New Roman"/>
                <w:b/>
                <w:bCs/>
                <w:sz w:val="24"/>
                <w:szCs w:val="24"/>
                <w:lang w:eastAsia="zh-CN"/>
              </w:rPr>
            </w:pPr>
          </w:p>
          <w:p w14:paraId="13BA5459">
            <w:pPr>
              <w:numPr>
                <w:ilvl w:val="0"/>
                <w:numId w:val="0"/>
              </w:numPr>
              <w:jc w:val="center"/>
              <w:rPr>
                <w:rFonts w:ascii="Times New Roman" w:hAnsi="Times New Roman" w:eastAsia="宋体" w:cs="Times New Roman"/>
                <w:b/>
                <w:bCs/>
                <w:sz w:val="24"/>
                <w:szCs w:val="24"/>
                <w:lang w:eastAsia="zh-CN"/>
              </w:rPr>
            </w:pPr>
          </w:p>
          <w:p w14:paraId="2A9EBF6F">
            <w:pPr>
              <w:numPr>
                <w:ilvl w:val="0"/>
                <w:numId w:val="0"/>
              </w:numPr>
              <w:jc w:val="center"/>
              <w:rPr>
                <w:rFonts w:ascii="Times New Roman" w:hAnsi="Times New Roman" w:eastAsia="宋体" w:cs="Times New Roman"/>
                <w:b/>
                <w:bCs/>
                <w:sz w:val="24"/>
                <w:szCs w:val="24"/>
                <w:lang w:eastAsia="zh-CN"/>
              </w:rPr>
            </w:pPr>
          </w:p>
          <w:p w14:paraId="698BE568">
            <w:pPr>
              <w:numPr>
                <w:ilvl w:val="0"/>
                <w:numId w:val="0"/>
              </w:numPr>
              <w:jc w:val="center"/>
              <w:rPr>
                <w:rFonts w:ascii="Times New Roman" w:hAnsi="Times New Roman" w:eastAsia="宋体" w:cs="Times New Roman"/>
                <w:b/>
                <w:bCs/>
                <w:sz w:val="24"/>
                <w:szCs w:val="24"/>
                <w:lang w:eastAsia="zh-CN"/>
              </w:rPr>
            </w:pPr>
          </w:p>
          <w:p w14:paraId="0DCD4A85">
            <w:pPr>
              <w:numPr>
                <w:ilvl w:val="0"/>
                <w:numId w:val="0"/>
              </w:numPr>
              <w:jc w:val="center"/>
              <w:rPr>
                <w:rFonts w:ascii="Times New Roman" w:hAnsi="Times New Roman" w:eastAsia="宋体" w:cs="Times New Roman"/>
                <w:b/>
                <w:bCs/>
                <w:sz w:val="24"/>
                <w:szCs w:val="24"/>
                <w:lang w:eastAsia="zh-CN"/>
              </w:rPr>
            </w:pPr>
          </w:p>
          <w:p w14:paraId="09C737DC">
            <w:pPr>
              <w:numPr>
                <w:ilvl w:val="0"/>
                <w:numId w:val="0"/>
              </w:numPr>
              <w:jc w:val="center"/>
              <w:rPr>
                <w:rFonts w:ascii="Times New Roman" w:hAnsi="Times New Roman" w:eastAsia="宋体" w:cs="Times New Roman"/>
                <w:b/>
                <w:bCs/>
                <w:sz w:val="24"/>
                <w:szCs w:val="24"/>
                <w:lang w:eastAsia="zh-CN"/>
              </w:rPr>
            </w:pPr>
          </w:p>
          <w:p w14:paraId="6A211BFB">
            <w:pPr>
              <w:numPr>
                <w:ilvl w:val="0"/>
                <w:numId w:val="0"/>
              </w:numPr>
              <w:jc w:val="center"/>
              <w:rPr>
                <w:rFonts w:ascii="Times New Roman" w:hAnsi="Times New Roman" w:eastAsia="宋体" w:cs="Times New Roman"/>
                <w:b/>
                <w:bCs/>
                <w:sz w:val="24"/>
                <w:szCs w:val="24"/>
                <w:lang w:eastAsia="zh-CN"/>
              </w:rPr>
            </w:pPr>
          </w:p>
          <w:p w14:paraId="44D4E317">
            <w:pPr>
              <w:numPr>
                <w:ilvl w:val="0"/>
                <w:numId w:val="0"/>
              </w:numPr>
              <w:jc w:val="center"/>
              <w:rPr>
                <w:rFonts w:ascii="Times New Roman" w:hAnsi="Times New Roman" w:eastAsia="宋体" w:cs="Times New Roman"/>
                <w:b/>
                <w:bCs/>
                <w:sz w:val="24"/>
                <w:szCs w:val="24"/>
                <w:lang w:eastAsia="zh-CN"/>
              </w:rPr>
            </w:pPr>
          </w:p>
          <w:p w14:paraId="4503902A">
            <w:pPr>
              <w:numPr>
                <w:ilvl w:val="0"/>
                <w:numId w:val="0"/>
              </w:numPr>
              <w:jc w:val="center"/>
              <w:rPr>
                <w:rFonts w:ascii="Times New Roman" w:hAnsi="Times New Roman" w:eastAsia="宋体" w:cs="Times New Roman"/>
                <w:b/>
                <w:bCs/>
                <w:sz w:val="24"/>
                <w:szCs w:val="24"/>
                <w:lang w:eastAsia="zh-CN"/>
              </w:rPr>
            </w:pPr>
          </w:p>
          <w:p w14:paraId="7CA583BC">
            <w:pPr>
              <w:numPr>
                <w:ilvl w:val="0"/>
                <w:numId w:val="0"/>
              </w:numPr>
              <w:jc w:val="center"/>
              <w:rPr>
                <w:rFonts w:ascii="Times New Roman" w:hAnsi="Times New Roman" w:eastAsia="宋体" w:cs="Times New Roman"/>
                <w:b/>
                <w:bCs/>
                <w:sz w:val="24"/>
                <w:lang w:eastAsia="zh-CN"/>
              </w:rPr>
            </w:pPr>
            <w:r>
              <w:rPr>
                <w:rFonts w:ascii="Times New Roman" w:hAnsi="Times New Roman" w:eastAsia="宋体" w:cs="Times New Roman"/>
                <w:b/>
                <w:bCs/>
                <w:sz w:val="24"/>
                <w:szCs w:val="24"/>
                <w:lang w:eastAsia="zh-CN"/>
              </w:rPr>
              <w:t>图2-</w:t>
            </w:r>
            <w:r>
              <w:rPr>
                <w:rFonts w:hint="eastAsia" w:ascii="Times New Roman" w:hAnsi="Times New Roman" w:eastAsia="宋体" w:cs="Times New Roman"/>
                <w:b/>
                <w:bCs/>
                <w:sz w:val="24"/>
                <w:szCs w:val="24"/>
                <w:lang w:val="en-US" w:eastAsia="zh-CN"/>
              </w:rPr>
              <w:t>5</w:t>
            </w:r>
            <w:r>
              <w:rPr>
                <w:rFonts w:hint="eastAsia" w:ascii="Times New Roman" w:hAnsi="Times New Roman" w:eastAsia="宋体" w:cs="Times New Roman"/>
                <w:b/>
                <w:bCs/>
                <w:sz w:val="24"/>
                <w:szCs w:val="24"/>
                <w:lang w:eastAsia="zh-CN"/>
              </w:rPr>
              <w:t xml:space="preserve"> 磷化线</w:t>
            </w:r>
            <w:r>
              <w:rPr>
                <w:rFonts w:hint="eastAsia" w:ascii="Times New Roman" w:hAnsi="Times New Roman" w:eastAsia="宋体" w:cs="Times New Roman"/>
                <w:b/>
                <w:bCs/>
                <w:sz w:val="24"/>
                <w:szCs w:val="24"/>
                <w:lang w:val="en-US" w:eastAsia="zh-CN"/>
              </w:rPr>
              <w:t>2#</w:t>
            </w:r>
            <w:r>
              <w:rPr>
                <w:rFonts w:ascii="Times New Roman" w:hAnsi="Times New Roman" w:eastAsia="宋体" w:cs="Times New Roman"/>
                <w:b/>
                <w:bCs/>
                <w:sz w:val="24"/>
                <w:szCs w:val="24"/>
                <w:lang w:eastAsia="zh-CN"/>
              </w:rPr>
              <w:t>生产工艺流程及产污节点图</w:t>
            </w:r>
          </w:p>
          <w:p w14:paraId="5CDFD1D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b/>
                <w:bCs/>
                <w:sz w:val="24"/>
                <w:lang w:eastAsia="zh-CN"/>
              </w:rPr>
            </w:pP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磷化线</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lang w:eastAsia="zh-CN"/>
              </w:rPr>
              <w:t>工艺流程简述：</w:t>
            </w:r>
          </w:p>
          <w:p w14:paraId="4AC601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酸洗：</w:t>
            </w:r>
            <w:r>
              <w:rPr>
                <w:rFonts w:hint="default" w:ascii="Times New Roman" w:hAnsi="Times New Roman" w:eastAsia="宋体" w:cs="Times New Roman"/>
                <w:sz w:val="24"/>
                <w:szCs w:val="24"/>
              </w:rPr>
              <w:t>将工件浸入酸洗槽内，利用酸液与工件表面铁锈、氧化皮发生化学反应，去除表面锈蚀、氧化层及油污杂质，使工件表面洁净，为后续处理提供基础</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color w:val="auto"/>
                <w:sz w:val="24"/>
                <w:szCs w:val="24"/>
                <w:lang w:eastAsia="zh-CN"/>
              </w:rPr>
              <w:t>该工序产生的污染物为</w:t>
            </w:r>
            <w:r>
              <w:rPr>
                <w:rFonts w:hint="default" w:ascii="Times New Roman" w:hAnsi="Times New Roman" w:eastAsia="宋体" w:cs="Times New Roman"/>
                <w:kern w:val="2"/>
                <w:sz w:val="24"/>
                <w:szCs w:val="24"/>
                <w:lang w:val="en-US" w:eastAsia="zh-CN" w:bidi="ar-SA"/>
              </w:rPr>
              <w:t>酸洗废气硫酸雾G</w:t>
            </w:r>
            <w:r>
              <w:rPr>
                <w:rFonts w:hint="eastAsia" w:ascii="Times New Roman" w:hAnsi="Times New Roman" w:eastAsia="宋体" w:cs="Times New Roman"/>
                <w:kern w:val="2"/>
                <w:sz w:val="24"/>
                <w:szCs w:val="24"/>
                <w:lang w:val="en-US" w:eastAsia="zh-CN" w:bidi="ar-SA"/>
              </w:rPr>
              <w:t>10及槽渣S10</w:t>
            </w:r>
            <w:r>
              <w:rPr>
                <w:rFonts w:hint="default" w:ascii="Times New Roman" w:hAnsi="Times New Roman" w:eastAsia="宋体" w:cs="Times New Roman"/>
                <w:kern w:val="2"/>
                <w:sz w:val="24"/>
                <w:szCs w:val="24"/>
                <w:lang w:val="en-US" w:eastAsia="zh-CN" w:bidi="ar-SA"/>
              </w:rPr>
              <w:t>。</w:t>
            </w:r>
          </w:p>
          <w:p w14:paraId="572093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（2）酸洗后水洗：采用清水对酸洗后的工件进行清洗，去除表面残留酸液与污物，防止酸液带入下道工序造成药剂污染。该工序产生的污染物为清洗废水W8。</w:t>
            </w:r>
          </w:p>
          <w:p w14:paraId="2F5D4095">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（3）表调：</w:t>
            </w:r>
            <w:r>
              <w:rPr>
                <w:rFonts w:ascii="宋体" w:hAnsi="宋体" w:eastAsia="宋体" w:cs="宋体"/>
                <w:sz w:val="24"/>
                <w:szCs w:val="24"/>
              </w:rPr>
              <w:t>将清洗后的工件浸入表调槽中，通过表面调整剂对工件表面进行活化处理，使工件表面形成均匀活性位点，提高后续磷化膜的致密度与均匀性</w:t>
            </w:r>
            <w:r>
              <w:rPr>
                <w:rFonts w:hint="eastAsia" w:ascii="宋体" w:hAnsi="宋体" w:eastAsia="宋体" w:cs="宋体"/>
                <w:sz w:val="24"/>
                <w:szCs w:val="24"/>
                <w:lang w:eastAsia="zh-CN"/>
              </w:rPr>
              <w:t>。</w:t>
            </w:r>
          </w:p>
          <w:p w14:paraId="78A10737">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（4）表调后水洗：使用清水</w:t>
            </w:r>
            <w:r>
              <w:rPr>
                <w:rFonts w:ascii="宋体" w:hAnsi="宋体" w:eastAsia="宋体" w:cs="宋体"/>
                <w:sz w:val="24"/>
                <w:szCs w:val="24"/>
              </w:rPr>
              <w:t>对表调后的工件进行清洗，去除表面残留表调液，避免表调剂带入磷化槽影响磷化效果</w:t>
            </w:r>
            <w:r>
              <w:rPr>
                <w:rFonts w:hint="eastAsia" w:ascii="宋体" w:hAnsi="宋体" w:eastAsia="宋体" w:cs="宋体"/>
                <w:sz w:val="24"/>
                <w:szCs w:val="24"/>
                <w:lang w:eastAsia="zh-CN"/>
              </w:rPr>
              <w:t>。</w:t>
            </w:r>
            <w:r>
              <w:rPr>
                <w:rFonts w:ascii="宋体" w:hAnsi="宋体" w:eastAsia="宋体" w:cs="宋体"/>
                <w:sz w:val="24"/>
                <w:szCs w:val="24"/>
                <w:lang w:eastAsia="zh-CN"/>
              </w:rPr>
              <w:t>该工序产生的污染物为</w:t>
            </w:r>
            <w:r>
              <w:rPr>
                <w:rFonts w:hint="eastAsia" w:ascii="Times New Roman" w:hAnsi="Times New Roman" w:eastAsia="宋体" w:cs="Times New Roman"/>
                <w:kern w:val="2"/>
                <w:sz w:val="24"/>
                <w:szCs w:val="24"/>
                <w:lang w:val="en-US" w:eastAsia="zh-CN" w:bidi="ar-SA"/>
              </w:rPr>
              <w:t>清洗废水W9。</w:t>
            </w:r>
          </w:p>
          <w:p w14:paraId="31BF32AC">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（5）磷化：将工件浸入磷化液中，在表面形成一层均匀、致密的磷化膜，增强工件防腐性能与涂层附着力，为后续涂装提供良好基底。</w:t>
            </w:r>
            <w:r>
              <w:rPr>
                <w:rFonts w:hint="default" w:ascii="Times New Roman" w:hAnsi="Times New Roman" w:eastAsia="宋体" w:cs="Times New Roman"/>
                <w:b w:val="0"/>
                <w:bCs/>
                <w:color w:val="auto"/>
                <w:sz w:val="24"/>
                <w:szCs w:val="24"/>
                <w:lang w:eastAsia="zh-CN"/>
              </w:rPr>
              <w:t>该工序产生的污染物为</w:t>
            </w:r>
            <w:r>
              <w:rPr>
                <w:rFonts w:hint="eastAsia" w:ascii="Times New Roman" w:hAnsi="Times New Roman" w:eastAsia="宋体" w:cs="Times New Roman"/>
                <w:kern w:val="2"/>
                <w:sz w:val="24"/>
                <w:szCs w:val="24"/>
                <w:lang w:val="en-US" w:eastAsia="zh-CN" w:bidi="ar-SA"/>
              </w:rPr>
              <w:t>槽渣S11</w:t>
            </w:r>
            <w:r>
              <w:rPr>
                <w:rFonts w:hint="default" w:ascii="Times New Roman" w:hAnsi="Times New Roman" w:eastAsia="宋体" w:cs="Times New Roman"/>
                <w:kern w:val="2"/>
                <w:sz w:val="24"/>
                <w:szCs w:val="24"/>
                <w:lang w:val="en-US" w:eastAsia="zh-CN" w:bidi="ar-SA"/>
              </w:rPr>
              <w:t>。</w:t>
            </w:r>
          </w:p>
          <w:p w14:paraId="3D73D436">
            <w:pPr>
              <w:pStyle w:val="21"/>
              <w:keepNext w:val="0"/>
              <w:keepLines w:val="0"/>
              <w:pageBreakBefore w:val="0"/>
              <w:widowControl w:val="0"/>
              <w:kinsoku/>
              <w:wordWrap/>
              <w:overflowPunct/>
              <w:topLinePunct w:val="0"/>
              <w:bidi w:val="0"/>
              <w:adjustRightInd/>
              <w:snapToGrid/>
              <w:spacing w:after="0" w:line="360" w:lineRule="auto"/>
              <w:ind w:left="0" w:leftChars="0"/>
              <w:textAlignment w:val="auto"/>
              <w:rPr>
                <w:rFonts w:ascii="Times New Roman" w:hAnsi="Times New Roman" w:eastAsia="宋体" w:cs="Times New Roman"/>
                <w:b/>
                <w:bCs/>
                <w:sz w:val="24"/>
                <w:lang w:eastAsia="zh-CN"/>
              </w:rPr>
            </w:pPr>
            <w:r>
              <w:rPr>
                <w:rFonts w:hint="eastAsia" w:ascii="Times New Roman" w:hAnsi="Times New Roman" w:eastAsia="宋体" w:cs="Times New Roman"/>
                <w:kern w:val="2"/>
                <w:sz w:val="24"/>
                <w:szCs w:val="24"/>
                <w:lang w:val="en-US" w:eastAsia="zh-CN" w:bidi="ar-SA"/>
              </w:rPr>
              <w:t>（6）磷化后水洗：使用清水清洗二次磷化后的工件进行最终清洗，彻底去除表面残留磷化液及杂质，保证工件表面洁净，满足后续工序要求。该工序产生的污染物为清洗废水W10。</w:t>
            </w:r>
          </w:p>
          <w:p w14:paraId="72162C17">
            <w:pPr>
              <w:widowControl w:val="0"/>
              <w:kinsoku/>
              <w:jc w:val="both"/>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产污节点分析：</w:t>
            </w:r>
          </w:p>
          <w:p w14:paraId="3E306CC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sz w:val="24"/>
                <w:lang w:eastAsia="zh-CN"/>
              </w:rPr>
            </w:pPr>
            <w:r>
              <w:rPr>
                <w:rFonts w:ascii="Times New Roman" w:hAnsi="Times New Roman" w:eastAsia="宋体" w:cs="Times New Roman"/>
                <w:b/>
                <w:bCs/>
                <w:sz w:val="24"/>
                <w:szCs w:val="24"/>
                <w:lang w:eastAsia="zh-CN"/>
              </w:rPr>
              <w:t>表2-</w:t>
            </w:r>
            <w:r>
              <w:rPr>
                <w:rFonts w:hint="eastAsia" w:ascii="Times New Roman" w:hAnsi="Times New Roman" w:eastAsia="宋体" w:cs="Times New Roman"/>
                <w:b/>
                <w:bCs/>
                <w:sz w:val="24"/>
                <w:szCs w:val="24"/>
                <w:lang w:val="en-US" w:eastAsia="zh-CN"/>
              </w:rPr>
              <w:t>8</w:t>
            </w:r>
            <w:r>
              <w:rPr>
                <w:rFonts w:hint="eastAsia" w:ascii="Times New Roman" w:hAnsi="Times New Roman" w:eastAsia="宋体" w:cs="Times New Roman"/>
                <w:b/>
                <w:bCs/>
                <w:sz w:val="24"/>
                <w:szCs w:val="24"/>
                <w:lang w:eastAsia="zh-CN"/>
              </w:rPr>
              <w:t xml:space="preserve"> </w:t>
            </w:r>
            <w:r>
              <w:rPr>
                <w:rFonts w:ascii="Times New Roman" w:hAnsi="Times New Roman" w:eastAsia="宋体" w:cs="Times New Roman"/>
                <w:b/>
                <w:bCs/>
                <w:sz w:val="24"/>
                <w:szCs w:val="24"/>
                <w:lang w:eastAsia="zh-CN"/>
              </w:rPr>
              <w:t>生产过程产污环节及治理措施一览表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622"/>
              <w:gridCol w:w="1710"/>
              <w:gridCol w:w="1150"/>
              <w:gridCol w:w="1671"/>
              <w:gridCol w:w="2650"/>
            </w:tblGrid>
            <w:tr w14:paraId="29D8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Align w:val="center"/>
                </w:tcPr>
                <w:p w14:paraId="37F152F1">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产污单元</w:t>
                  </w:r>
                </w:p>
              </w:tc>
              <w:tc>
                <w:tcPr>
                  <w:tcW w:w="637" w:type="dxa"/>
                  <w:vAlign w:val="center"/>
                </w:tcPr>
                <w:p w14:paraId="695DFC2F">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类型</w:t>
                  </w:r>
                </w:p>
              </w:tc>
              <w:tc>
                <w:tcPr>
                  <w:tcW w:w="1773" w:type="dxa"/>
                  <w:vAlign w:val="center"/>
                </w:tcPr>
                <w:p w14:paraId="654FCCA6">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编号</w:t>
                  </w:r>
                </w:p>
              </w:tc>
              <w:tc>
                <w:tcPr>
                  <w:tcW w:w="1191" w:type="dxa"/>
                  <w:vAlign w:val="center"/>
                </w:tcPr>
                <w:p w14:paraId="78C7879C">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污染工序</w:t>
                  </w:r>
                </w:p>
              </w:tc>
              <w:tc>
                <w:tcPr>
                  <w:tcW w:w="1729" w:type="dxa"/>
                  <w:vAlign w:val="center"/>
                </w:tcPr>
                <w:p w14:paraId="5D7EB2A3">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主要成分</w:t>
                  </w:r>
                </w:p>
              </w:tc>
              <w:tc>
                <w:tcPr>
                  <w:tcW w:w="2793" w:type="dxa"/>
                  <w:vAlign w:val="center"/>
                </w:tcPr>
                <w:p w14:paraId="020F1625">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治理措施及排放形式</w:t>
                  </w:r>
                </w:p>
              </w:tc>
            </w:tr>
            <w:tr w14:paraId="5A46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9" w:type="dxa"/>
                  <w:vMerge w:val="restart"/>
                  <w:vAlign w:val="center"/>
                </w:tcPr>
                <w:p w14:paraId="52800DFA">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营运期</w:t>
                  </w:r>
                </w:p>
              </w:tc>
              <w:tc>
                <w:tcPr>
                  <w:tcW w:w="637" w:type="dxa"/>
                  <w:vMerge w:val="restart"/>
                  <w:vAlign w:val="center"/>
                </w:tcPr>
                <w:p w14:paraId="40E4594F">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废气</w:t>
                  </w:r>
                </w:p>
              </w:tc>
              <w:tc>
                <w:tcPr>
                  <w:tcW w:w="1773" w:type="dxa"/>
                  <w:vAlign w:val="center"/>
                </w:tcPr>
                <w:p w14:paraId="3755A7F6">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G1</w:t>
                  </w:r>
                </w:p>
              </w:tc>
              <w:tc>
                <w:tcPr>
                  <w:tcW w:w="1191" w:type="dxa"/>
                  <w:vAlign w:val="center"/>
                </w:tcPr>
                <w:p w14:paraId="2691902A">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切割下料</w:t>
                  </w:r>
                </w:p>
              </w:tc>
              <w:tc>
                <w:tcPr>
                  <w:tcW w:w="1729" w:type="dxa"/>
                  <w:vAlign w:val="center"/>
                </w:tcPr>
                <w:p w14:paraId="27B4510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颗粒物</w:t>
                  </w:r>
                </w:p>
              </w:tc>
              <w:tc>
                <w:tcPr>
                  <w:tcW w:w="2793" w:type="dxa"/>
                  <w:vMerge w:val="restart"/>
                  <w:vAlign w:val="center"/>
                </w:tcPr>
                <w:p w14:paraId="7C14A9BC">
                  <w:pPr>
                    <w:pStyle w:val="41"/>
                    <w:kinsoku/>
                    <w:jc w:val="center"/>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切割废气经切割机下吸收集、焊接废气经</w:t>
                  </w:r>
                  <w:r>
                    <w:rPr>
                      <w:rFonts w:hint="eastAsia" w:ascii="Times New Roman" w:hAnsi="Times New Roman" w:eastAsia="宋体"/>
                      <w:color w:val="000000" w:themeColor="text1"/>
                      <w:lang w:eastAsia="zh-CN"/>
                      <w14:textFill>
                        <w14:solidFill>
                          <w14:schemeClr w14:val="tx1"/>
                        </w14:solidFill>
                      </w14:textFill>
                    </w:rPr>
                    <w:t>集气罩</w:t>
                  </w:r>
                  <w:r>
                    <w:rPr>
                      <w:rFonts w:hint="eastAsia" w:ascii="Times New Roman" w:hAnsi="Times New Roman" w:eastAsia="宋体"/>
                      <w:color w:val="000000" w:themeColor="text1"/>
                      <w:lang w:val="en-US" w:eastAsia="zh-CN"/>
                      <w14:textFill>
                        <w14:solidFill>
                          <w14:schemeClr w14:val="tx1"/>
                        </w14:solidFill>
                      </w14:textFill>
                    </w:rPr>
                    <w:t>收集、抛丸废气经抛丸机内部收集经自带旋风除尘器处理后+</w:t>
                  </w:r>
                  <w:r>
                    <w:rPr>
                      <w:rFonts w:ascii="Times New Roman" w:hAnsi="Times New Roman" w:eastAsia="宋体"/>
                      <w:color w:val="000000" w:themeColor="text1"/>
                      <w:lang w:eastAsia="zh-CN"/>
                      <w14:textFill>
                        <w14:solidFill>
                          <w14:schemeClr w14:val="tx1"/>
                        </w14:solidFill>
                      </w14:textFill>
                    </w:rPr>
                    <w:t>布袋除尘器</w:t>
                  </w:r>
                  <w:r>
                    <w:rPr>
                      <w:rFonts w:hint="eastAsia" w:ascii="Times New Roman" w:hAnsi="Times New Roman" w:eastAsia="宋体"/>
                      <w:color w:val="000000" w:themeColor="text1"/>
                      <w:lang w:val="en-US" w:eastAsia="zh-CN"/>
                      <w14:textFill>
                        <w14:solidFill>
                          <w14:schemeClr w14:val="tx1"/>
                        </w14:solidFill>
                      </w14:textFill>
                    </w:rPr>
                    <w:t>+15m</w:t>
                  </w:r>
                  <w:r>
                    <w:rPr>
                      <w:rFonts w:ascii="Times New Roman" w:hAnsi="Times New Roman" w:eastAsia="宋体"/>
                      <w:color w:val="000000" w:themeColor="text1"/>
                      <w:lang w:eastAsia="zh-CN"/>
                      <w14:textFill>
                        <w14:solidFill>
                          <w14:schemeClr w14:val="tx1"/>
                        </w14:solidFill>
                      </w14:textFill>
                    </w:rPr>
                    <w:t>高排气筒DA00</w:t>
                  </w:r>
                  <w:r>
                    <w:rPr>
                      <w:rFonts w:hint="eastAsia" w:ascii="Times New Roman" w:hAnsi="Times New Roman" w:eastAsia="宋体"/>
                      <w:color w:val="000000" w:themeColor="text1"/>
                      <w:lang w:val="en-US" w:eastAsia="zh-CN"/>
                      <w14:textFill>
                        <w14:solidFill>
                          <w14:schemeClr w14:val="tx1"/>
                        </w14:solidFill>
                      </w14:textFill>
                    </w:rPr>
                    <w:t>1</w:t>
                  </w:r>
                  <w:r>
                    <w:rPr>
                      <w:rFonts w:ascii="Times New Roman" w:hAnsi="Times New Roman" w:eastAsia="宋体"/>
                      <w:color w:val="000000" w:themeColor="text1"/>
                      <w:lang w:eastAsia="zh-CN"/>
                      <w14:textFill>
                        <w14:solidFill>
                          <w14:schemeClr w14:val="tx1"/>
                        </w14:solidFill>
                      </w14:textFill>
                    </w:rPr>
                    <w:t>排放</w:t>
                  </w:r>
                </w:p>
              </w:tc>
            </w:tr>
            <w:tr w14:paraId="126E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3F2BA280">
                  <w:pPr>
                    <w:pStyle w:val="41"/>
                    <w:kinsoku/>
                    <w:jc w:val="center"/>
                    <w:rPr>
                      <w:rFonts w:ascii="Times New Roman" w:hAnsi="Times New Roman" w:eastAsia="宋体"/>
                      <w:color w:val="000000" w:themeColor="text1"/>
                      <w14:textFill>
                        <w14:solidFill>
                          <w14:schemeClr w14:val="tx1"/>
                        </w14:solidFill>
                      </w14:textFill>
                    </w:rPr>
                  </w:pPr>
                </w:p>
              </w:tc>
              <w:tc>
                <w:tcPr>
                  <w:tcW w:w="637" w:type="dxa"/>
                  <w:vMerge w:val="continue"/>
                  <w:vAlign w:val="center"/>
                </w:tcPr>
                <w:p w14:paraId="191C66DB">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6CA702BA">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G2</w:t>
                  </w:r>
                </w:p>
              </w:tc>
              <w:tc>
                <w:tcPr>
                  <w:tcW w:w="1191" w:type="dxa"/>
                  <w:vAlign w:val="center"/>
                </w:tcPr>
                <w:p w14:paraId="65AA30D2">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焊接</w:t>
                  </w:r>
                </w:p>
              </w:tc>
              <w:tc>
                <w:tcPr>
                  <w:tcW w:w="1729" w:type="dxa"/>
                  <w:vAlign w:val="center"/>
                </w:tcPr>
                <w:p w14:paraId="4EECA366">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颗粒物</w:t>
                  </w:r>
                </w:p>
              </w:tc>
              <w:tc>
                <w:tcPr>
                  <w:tcW w:w="2793" w:type="dxa"/>
                  <w:vMerge w:val="continue"/>
                  <w:vAlign w:val="center"/>
                </w:tcPr>
                <w:p w14:paraId="3A47FCC9">
                  <w:pPr>
                    <w:pStyle w:val="41"/>
                    <w:kinsoku/>
                    <w:jc w:val="center"/>
                    <w:rPr>
                      <w:rFonts w:hint="eastAsia" w:ascii="Times New Roman" w:hAnsi="Times New Roman" w:eastAsia="宋体"/>
                      <w:color w:val="000000" w:themeColor="text1"/>
                      <w:lang w:eastAsia="zh-CN"/>
                      <w14:textFill>
                        <w14:solidFill>
                          <w14:schemeClr w14:val="tx1"/>
                        </w14:solidFill>
                      </w14:textFill>
                    </w:rPr>
                  </w:pPr>
                </w:p>
              </w:tc>
            </w:tr>
            <w:tr w14:paraId="33FD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69" w:type="dxa"/>
                  <w:vMerge w:val="continue"/>
                  <w:vAlign w:val="center"/>
                </w:tcPr>
                <w:p w14:paraId="45DE9446">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0F77280B">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1876C772">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G</w:t>
                  </w:r>
                  <w:r>
                    <w:rPr>
                      <w:rFonts w:hint="eastAsia" w:ascii="Times New Roman" w:hAnsi="Times New Roman" w:eastAsia="宋体"/>
                      <w:color w:val="000000" w:themeColor="text1"/>
                      <w:lang w:val="en-US" w:eastAsia="zh-CN"/>
                      <w14:textFill>
                        <w14:solidFill>
                          <w14:schemeClr w14:val="tx1"/>
                        </w14:solidFill>
                      </w14:textFill>
                    </w:rPr>
                    <w:t>3</w:t>
                  </w:r>
                </w:p>
              </w:tc>
              <w:tc>
                <w:tcPr>
                  <w:tcW w:w="1191" w:type="dxa"/>
                  <w:vAlign w:val="center"/>
                </w:tcPr>
                <w:p w14:paraId="71ECD906">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抛丸</w:t>
                  </w:r>
                </w:p>
              </w:tc>
              <w:tc>
                <w:tcPr>
                  <w:tcW w:w="1729" w:type="dxa"/>
                  <w:vAlign w:val="center"/>
                </w:tcPr>
                <w:p w14:paraId="1EE62072">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颗粒物</w:t>
                  </w:r>
                </w:p>
              </w:tc>
              <w:tc>
                <w:tcPr>
                  <w:tcW w:w="2793" w:type="dxa"/>
                  <w:vMerge w:val="continue"/>
                  <w:vAlign w:val="center"/>
                </w:tcPr>
                <w:p w14:paraId="359A2EE1">
                  <w:pPr>
                    <w:pStyle w:val="41"/>
                    <w:kinsoku/>
                    <w:jc w:val="center"/>
                    <w:rPr>
                      <w:rFonts w:ascii="Times New Roman" w:hAnsi="Times New Roman" w:eastAsia="宋体"/>
                      <w:color w:val="000000" w:themeColor="text1"/>
                      <w:lang w:eastAsia="zh-CN"/>
                      <w14:textFill>
                        <w14:solidFill>
                          <w14:schemeClr w14:val="tx1"/>
                        </w14:solidFill>
                      </w14:textFill>
                    </w:rPr>
                  </w:pPr>
                </w:p>
              </w:tc>
            </w:tr>
            <w:tr w14:paraId="1629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69" w:type="dxa"/>
                  <w:vMerge w:val="continue"/>
                  <w:vAlign w:val="center"/>
                </w:tcPr>
                <w:p w14:paraId="586946B1">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2445D6DB">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08255A8F">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G</w:t>
                  </w:r>
                  <w:r>
                    <w:rPr>
                      <w:rFonts w:hint="eastAsia" w:ascii="Times New Roman" w:hAnsi="Times New Roman" w:eastAsia="宋体"/>
                      <w:color w:val="000000" w:themeColor="text1"/>
                      <w:lang w:val="en-US" w:eastAsia="zh-CN"/>
                      <w14:textFill>
                        <w14:solidFill>
                          <w14:schemeClr w14:val="tx1"/>
                        </w14:solidFill>
                      </w14:textFill>
                    </w:rPr>
                    <w:t>4、G9、G9-1、G10</w:t>
                  </w:r>
                </w:p>
              </w:tc>
              <w:tc>
                <w:tcPr>
                  <w:tcW w:w="1191" w:type="dxa"/>
                  <w:vAlign w:val="center"/>
                </w:tcPr>
                <w:p w14:paraId="0F9ABB1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酸洗</w:t>
                  </w:r>
                </w:p>
              </w:tc>
              <w:tc>
                <w:tcPr>
                  <w:tcW w:w="1729" w:type="dxa"/>
                  <w:vAlign w:val="center"/>
                </w:tcPr>
                <w:p w14:paraId="154CA480">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硫酸雾</w:t>
                  </w:r>
                </w:p>
              </w:tc>
              <w:tc>
                <w:tcPr>
                  <w:tcW w:w="2793" w:type="dxa"/>
                  <w:vAlign w:val="center"/>
                </w:tcPr>
                <w:p w14:paraId="7CC18BDC">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碱液喷淋</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15</w:t>
                  </w:r>
                  <w:r>
                    <w:rPr>
                      <w:rFonts w:ascii="Times New Roman" w:hAnsi="Times New Roman" w:eastAsia="宋体"/>
                      <w:color w:val="000000" w:themeColor="text1"/>
                      <w:lang w:eastAsia="zh-CN"/>
                      <w14:textFill>
                        <w14:solidFill>
                          <w14:schemeClr w14:val="tx1"/>
                        </w14:solidFill>
                      </w14:textFill>
                    </w:rPr>
                    <w:t>m高排气筒DA00</w:t>
                  </w:r>
                  <w:r>
                    <w:rPr>
                      <w:rFonts w:hint="eastAsia" w:ascii="Times New Roman" w:hAnsi="Times New Roman" w:eastAsia="宋体"/>
                      <w:color w:val="000000" w:themeColor="text1"/>
                      <w:lang w:val="en-US" w:eastAsia="zh-CN"/>
                      <w14:textFill>
                        <w14:solidFill>
                          <w14:schemeClr w14:val="tx1"/>
                        </w14:solidFill>
                      </w14:textFill>
                    </w:rPr>
                    <w:t>4</w:t>
                  </w:r>
                  <w:r>
                    <w:rPr>
                      <w:rFonts w:ascii="Times New Roman" w:hAnsi="Times New Roman" w:eastAsia="宋体"/>
                      <w:color w:val="000000" w:themeColor="text1"/>
                      <w:lang w:eastAsia="zh-CN"/>
                      <w14:textFill>
                        <w14:solidFill>
                          <w14:schemeClr w14:val="tx1"/>
                        </w14:solidFill>
                      </w14:textFill>
                    </w:rPr>
                    <w:t>排放</w:t>
                  </w:r>
                </w:p>
              </w:tc>
            </w:tr>
            <w:tr w14:paraId="3B7C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69" w:type="dxa"/>
                  <w:vMerge w:val="continue"/>
                  <w:vAlign w:val="center"/>
                </w:tcPr>
                <w:p w14:paraId="0137A7D6">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09B202BD">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6825A26A">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G</w:t>
                  </w:r>
                  <w:r>
                    <w:rPr>
                      <w:rFonts w:hint="eastAsia" w:ascii="Times New Roman" w:hAnsi="Times New Roman" w:eastAsia="宋体"/>
                      <w:color w:val="000000" w:themeColor="text1"/>
                      <w:lang w:val="en-US" w:eastAsia="zh-CN"/>
                      <w14:textFill>
                        <w14:solidFill>
                          <w14:schemeClr w14:val="tx1"/>
                        </w14:solidFill>
                      </w14:textFill>
                    </w:rPr>
                    <w:t>5</w:t>
                  </w:r>
                </w:p>
              </w:tc>
              <w:tc>
                <w:tcPr>
                  <w:tcW w:w="1191" w:type="dxa"/>
                  <w:vAlign w:val="center"/>
                </w:tcPr>
                <w:p w14:paraId="628CE853">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电泳</w:t>
                  </w:r>
                </w:p>
              </w:tc>
              <w:tc>
                <w:tcPr>
                  <w:tcW w:w="1729" w:type="dxa"/>
                  <w:vAlign w:val="center"/>
                </w:tcPr>
                <w:p w14:paraId="71FD2033">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挥发性有机物</w:t>
                  </w:r>
                </w:p>
              </w:tc>
              <w:tc>
                <w:tcPr>
                  <w:tcW w:w="2793" w:type="dxa"/>
                  <w:vAlign w:val="center"/>
                </w:tcPr>
                <w:p w14:paraId="16A3E9D4">
                  <w:pPr>
                    <w:pStyle w:val="41"/>
                    <w:kinsoku/>
                    <w:jc w:val="center"/>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集气罩收集</w:t>
                  </w:r>
                  <w:r>
                    <w:rPr>
                      <w:rFonts w:hint="eastAsia" w:ascii="Times New Roman" w:hAnsi="Times New Roman" w:eastAsia="宋体"/>
                      <w:color w:val="000000" w:themeColor="text1"/>
                      <w:lang w:val="en-US" w:eastAsia="zh-CN"/>
                      <w14:textFill>
                        <w14:solidFill>
                          <w14:schemeClr w14:val="tx1"/>
                        </w14:solidFill>
                      </w14:textFill>
                    </w:rPr>
                    <w:t>+过滤棉+</w:t>
                  </w:r>
                  <w:r>
                    <w:rPr>
                      <w:rFonts w:ascii="Times New Roman" w:hAnsi="Times New Roman" w:eastAsia="宋体"/>
                      <w:color w:val="000000" w:themeColor="text1"/>
                      <w:lang w:eastAsia="zh-CN"/>
                      <w14:textFill>
                        <w14:solidFill>
                          <w14:schemeClr w14:val="tx1"/>
                        </w14:solidFill>
                      </w14:textFill>
                    </w:rPr>
                    <w:t>二级活性炭吸</w:t>
                  </w:r>
                  <w:r>
                    <w:rPr>
                      <w:rFonts w:ascii="Times New Roman" w:hAnsi="Times New Roman" w:eastAsia="宋体"/>
                      <w:color w:val="000000" w:themeColor="text1"/>
                      <w:spacing w:val="-2"/>
                      <w:lang w:eastAsia="zh-CN"/>
                      <w14:textFill>
                        <w14:solidFill>
                          <w14:schemeClr w14:val="tx1"/>
                        </w14:solidFill>
                      </w14:textFill>
                    </w:rPr>
                    <w:t>附后</w:t>
                  </w:r>
                  <w:r>
                    <w:rPr>
                      <w:rFonts w:hint="eastAsia" w:ascii="Times New Roman" w:hAnsi="Times New Roman" w:eastAsia="宋体"/>
                      <w:color w:val="000000" w:themeColor="text1"/>
                      <w:spacing w:val="-2"/>
                      <w:lang w:val="en-US" w:eastAsia="zh-CN"/>
                      <w14:textFill>
                        <w14:solidFill>
                          <w14:schemeClr w14:val="tx1"/>
                        </w14:solidFill>
                      </w14:textFill>
                    </w:rPr>
                    <w:t>+15</w:t>
                  </w:r>
                  <w:r>
                    <w:rPr>
                      <w:rFonts w:ascii="Times New Roman" w:hAnsi="Times New Roman" w:eastAsia="宋体"/>
                      <w:color w:val="000000" w:themeColor="text1"/>
                      <w:spacing w:val="-2"/>
                      <w:lang w:eastAsia="zh-CN"/>
                      <w14:textFill>
                        <w14:solidFill>
                          <w14:schemeClr w14:val="tx1"/>
                        </w14:solidFill>
                      </w14:textFill>
                    </w:rPr>
                    <w:t>m高排</w:t>
                  </w:r>
                  <w:r>
                    <w:rPr>
                      <w:rFonts w:ascii="Times New Roman" w:hAnsi="Times New Roman" w:eastAsia="宋体"/>
                      <w:color w:val="000000" w:themeColor="text1"/>
                      <w:lang w:eastAsia="zh-CN"/>
                      <w14:textFill>
                        <w14:solidFill>
                          <w14:schemeClr w14:val="tx1"/>
                        </w14:solidFill>
                      </w14:textFill>
                    </w:rPr>
                    <w:t>气筒</w:t>
                  </w:r>
                  <w:r>
                    <w:rPr>
                      <w:rFonts w:hint="eastAsia" w:ascii="Times New Roman" w:hAnsi="Times New Roman" w:eastAsia="宋体"/>
                      <w:color w:val="000000" w:themeColor="text1"/>
                      <w:lang w:eastAsia="zh-CN"/>
                      <w14:textFill>
                        <w14:solidFill>
                          <w14:schemeClr w14:val="tx1"/>
                        </w14:solidFill>
                      </w14:textFill>
                    </w:rPr>
                    <w:t>DA</w:t>
                  </w:r>
                  <w:r>
                    <w:rPr>
                      <w:rFonts w:hint="eastAsia" w:ascii="Times New Roman" w:hAnsi="Times New Roman" w:eastAsia="宋体"/>
                      <w:color w:val="000000" w:themeColor="text1"/>
                      <w:lang w:val="en-US" w:eastAsia="zh-CN"/>
                      <w14:textFill>
                        <w14:solidFill>
                          <w14:schemeClr w14:val="tx1"/>
                        </w14:solidFill>
                      </w14:textFill>
                    </w:rPr>
                    <w:t>0</w:t>
                  </w:r>
                  <w:r>
                    <w:rPr>
                      <w:rFonts w:hint="eastAsia" w:ascii="Times New Roman" w:hAnsi="Times New Roman" w:eastAsia="宋体"/>
                      <w:color w:val="000000" w:themeColor="text1"/>
                      <w:lang w:eastAsia="zh-CN"/>
                      <w14:textFill>
                        <w14:solidFill>
                          <w14:schemeClr w14:val="tx1"/>
                        </w14:solidFill>
                      </w14:textFill>
                    </w:rPr>
                    <w:t>0</w:t>
                  </w:r>
                  <w:r>
                    <w:rPr>
                      <w:rFonts w:hint="eastAsia" w:ascii="Times New Roman" w:hAnsi="Times New Roman" w:eastAsia="宋体"/>
                      <w:color w:val="000000" w:themeColor="text1"/>
                      <w:lang w:val="en-US" w:eastAsia="zh-CN"/>
                      <w14:textFill>
                        <w14:solidFill>
                          <w14:schemeClr w14:val="tx1"/>
                        </w14:solidFill>
                      </w14:textFill>
                    </w:rPr>
                    <w:t>3</w:t>
                  </w:r>
                  <w:r>
                    <w:rPr>
                      <w:rFonts w:ascii="Times New Roman" w:hAnsi="Times New Roman" w:eastAsia="宋体"/>
                      <w:color w:val="000000" w:themeColor="text1"/>
                      <w:lang w:eastAsia="zh-CN"/>
                      <w14:textFill>
                        <w14:solidFill>
                          <w14:schemeClr w14:val="tx1"/>
                        </w14:solidFill>
                      </w14:textFill>
                    </w:rPr>
                    <w:t>排放</w:t>
                  </w:r>
                </w:p>
              </w:tc>
            </w:tr>
            <w:tr w14:paraId="43C7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69" w:type="dxa"/>
                  <w:vMerge w:val="continue"/>
                  <w:vAlign w:val="center"/>
                </w:tcPr>
                <w:p w14:paraId="51DEE365">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198FD676">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606EC469">
                  <w:pPr>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G</w:t>
                  </w:r>
                  <w:r>
                    <w:rPr>
                      <w:rFonts w:hint="eastAsia" w:ascii="Times New Roman" w:hAnsi="Times New Roman" w:eastAsia="宋体"/>
                      <w:color w:val="000000" w:themeColor="text1"/>
                      <w:lang w:val="en-US" w:eastAsia="zh-CN"/>
                      <w14:textFill>
                        <w14:solidFill>
                          <w14:schemeClr w14:val="tx1"/>
                        </w14:solidFill>
                      </w14:textFill>
                    </w:rPr>
                    <w:t>6</w:t>
                  </w:r>
                </w:p>
              </w:tc>
              <w:tc>
                <w:tcPr>
                  <w:tcW w:w="1191" w:type="dxa"/>
                  <w:vAlign w:val="center"/>
                </w:tcPr>
                <w:p w14:paraId="43FB9D3F">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沥干、烘干</w:t>
                  </w:r>
                </w:p>
              </w:tc>
              <w:tc>
                <w:tcPr>
                  <w:tcW w:w="1729" w:type="dxa"/>
                  <w:vAlign w:val="center"/>
                </w:tcPr>
                <w:p w14:paraId="660FEF16">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挥发性有机物、颗粒物、</w:t>
                  </w:r>
                  <w:r>
                    <w:rPr>
                      <w:rFonts w:hint="eastAsia" w:ascii="Times New Roman" w:hAnsi="Times New Roman" w:eastAsia="宋体" w:cs="Times New Roman"/>
                      <w:color w:val="000000" w:themeColor="text1"/>
                      <w:lang w:val="en-US" w:eastAsia="zh-CN"/>
                      <w14:textFill>
                        <w14:solidFill>
                          <w14:schemeClr w14:val="tx1"/>
                        </w14:solidFill>
                      </w14:textFill>
                    </w:rPr>
                    <w:t>SO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、NO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X</w:t>
                  </w:r>
                </w:p>
              </w:tc>
              <w:tc>
                <w:tcPr>
                  <w:tcW w:w="2793" w:type="dxa"/>
                  <w:vAlign w:val="center"/>
                </w:tcPr>
                <w:p w14:paraId="756DE283">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密闭收集</w:t>
                  </w:r>
                  <w:r>
                    <w:rPr>
                      <w:rFonts w:hint="eastAsia" w:ascii="Times New Roman" w:hAnsi="Times New Roman" w:eastAsia="宋体"/>
                      <w:color w:val="000000" w:themeColor="text1"/>
                      <w:lang w:val="en-US" w:eastAsia="zh-CN"/>
                      <w14:textFill>
                        <w14:solidFill>
                          <w14:schemeClr w14:val="tx1"/>
                        </w14:solidFill>
                      </w14:textFill>
                    </w:rPr>
                    <w:t>+</w:t>
                  </w:r>
                  <w:r>
                    <w:rPr>
                      <w:rFonts w:ascii="Times New Roman" w:hAnsi="Times New Roman" w:eastAsia="宋体"/>
                      <w:color w:val="000000" w:themeColor="text1"/>
                      <w:lang w:eastAsia="zh-CN"/>
                      <w14:textFill>
                        <w14:solidFill>
                          <w14:schemeClr w14:val="tx1"/>
                        </w14:solidFill>
                      </w14:textFill>
                    </w:rPr>
                    <w:t>二级活性炭吸</w:t>
                  </w:r>
                  <w:r>
                    <w:rPr>
                      <w:rFonts w:ascii="Times New Roman" w:hAnsi="Times New Roman" w:eastAsia="宋体"/>
                      <w:color w:val="000000" w:themeColor="text1"/>
                      <w:spacing w:val="-2"/>
                      <w:lang w:eastAsia="zh-CN"/>
                      <w14:textFill>
                        <w14:solidFill>
                          <w14:schemeClr w14:val="tx1"/>
                        </w14:solidFill>
                      </w14:textFill>
                    </w:rPr>
                    <w:t>附后</w:t>
                  </w:r>
                  <w:r>
                    <w:rPr>
                      <w:rFonts w:hint="eastAsia" w:ascii="Times New Roman" w:hAnsi="Times New Roman" w:eastAsia="宋体"/>
                      <w:color w:val="000000" w:themeColor="text1"/>
                      <w:spacing w:val="-2"/>
                      <w:lang w:val="en-US" w:eastAsia="zh-CN"/>
                      <w14:textFill>
                        <w14:solidFill>
                          <w14:schemeClr w14:val="tx1"/>
                        </w14:solidFill>
                      </w14:textFill>
                    </w:rPr>
                    <w:t>+15</w:t>
                  </w:r>
                  <w:r>
                    <w:rPr>
                      <w:rFonts w:ascii="Times New Roman" w:hAnsi="Times New Roman" w:eastAsia="宋体"/>
                      <w:color w:val="000000" w:themeColor="text1"/>
                      <w:spacing w:val="-2"/>
                      <w:lang w:eastAsia="zh-CN"/>
                      <w14:textFill>
                        <w14:solidFill>
                          <w14:schemeClr w14:val="tx1"/>
                        </w14:solidFill>
                      </w14:textFill>
                    </w:rPr>
                    <w:t>m高排</w:t>
                  </w:r>
                  <w:r>
                    <w:rPr>
                      <w:rFonts w:ascii="Times New Roman" w:hAnsi="Times New Roman" w:eastAsia="宋体"/>
                      <w:color w:val="000000" w:themeColor="text1"/>
                      <w:lang w:eastAsia="zh-CN"/>
                      <w14:textFill>
                        <w14:solidFill>
                          <w14:schemeClr w14:val="tx1"/>
                        </w14:solidFill>
                      </w14:textFill>
                    </w:rPr>
                    <w:t>气筒</w:t>
                  </w:r>
                  <w:r>
                    <w:rPr>
                      <w:rFonts w:hint="eastAsia" w:ascii="Times New Roman" w:hAnsi="Times New Roman" w:eastAsia="宋体"/>
                      <w:color w:val="000000" w:themeColor="text1"/>
                      <w:lang w:eastAsia="zh-CN"/>
                      <w14:textFill>
                        <w14:solidFill>
                          <w14:schemeClr w14:val="tx1"/>
                        </w14:solidFill>
                      </w14:textFill>
                    </w:rPr>
                    <w:t>DA</w:t>
                  </w:r>
                  <w:r>
                    <w:rPr>
                      <w:rFonts w:hint="eastAsia" w:ascii="Times New Roman" w:hAnsi="Times New Roman" w:eastAsia="宋体"/>
                      <w:color w:val="000000" w:themeColor="text1"/>
                      <w:lang w:val="en-US" w:eastAsia="zh-CN"/>
                      <w14:textFill>
                        <w14:solidFill>
                          <w14:schemeClr w14:val="tx1"/>
                        </w14:solidFill>
                      </w14:textFill>
                    </w:rPr>
                    <w:t>0</w:t>
                  </w:r>
                  <w:r>
                    <w:rPr>
                      <w:rFonts w:hint="eastAsia" w:ascii="Times New Roman" w:hAnsi="Times New Roman" w:eastAsia="宋体"/>
                      <w:color w:val="000000" w:themeColor="text1"/>
                      <w:lang w:eastAsia="zh-CN"/>
                      <w14:textFill>
                        <w14:solidFill>
                          <w14:schemeClr w14:val="tx1"/>
                        </w14:solidFill>
                      </w14:textFill>
                    </w:rPr>
                    <w:t>0</w:t>
                  </w:r>
                  <w:r>
                    <w:rPr>
                      <w:rFonts w:hint="eastAsia" w:ascii="Times New Roman" w:hAnsi="Times New Roman" w:eastAsia="宋体"/>
                      <w:color w:val="000000" w:themeColor="text1"/>
                      <w:lang w:val="en-US" w:eastAsia="zh-CN"/>
                      <w14:textFill>
                        <w14:solidFill>
                          <w14:schemeClr w14:val="tx1"/>
                        </w14:solidFill>
                      </w14:textFill>
                    </w:rPr>
                    <w:t>3</w:t>
                  </w:r>
                  <w:r>
                    <w:rPr>
                      <w:rFonts w:ascii="Times New Roman" w:hAnsi="Times New Roman" w:eastAsia="宋体"/>
                      <w:color w:val="000000" w:themeColor="text1"/>
                      <w:lang w:eastAsia="zh-CN"/>
                      <w14:textFill>
                        <w14:solidFill>
                          <w14:schemeClr w14:val="tx1"/>
                        </w14:solidFill>
                      </w14:textFill>
                    </w:rPr>
                    <w:t>排放</w:t>
                  </w:r>
                </w:p>
              </w:tc>
            </w:tr>
            <w:tr w14:paraId="6993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69" w:type="dxa"/>
                  <w:vMerge w:val="continue"/>
                  <w:vAlign w:val="center"/>
                </w:tcPr>
                <w:p w14:paraId="318A3AB7">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3830CDE2">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3232FF12">
                  <w:pPr>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G</w:t>
                  </w:r>
                  <w:r>
                    <w:rPr>
                      <w:rFonts w:hint="eastAsia" w:ascii="Times New Roman" w:hAnsi="Times New Roman" w:eastAsia="宋体"/>
                      <w:color w:val="000000" w:themeColor="text1"/>
                      <w:lang w:val="en-US" w:eastAsia="zh-CN"/>
                      <w14:textFill>
                        <w14:solidFill>
                          <w14:schemeClr w14:val="tx1"/>
                        </w14:solidFill>
                      </w14:textFill>
                    </w:rPr>
                    <w:t>7</w:t>
                  </w:r>
                </w:p>
              </w:tc>
              <w:tc>
                <w:tcPr>
                  <w:tcW w:w="1191" w:type="dxa"/>
                  <w:vAlign w:val="center"/>
                </w:tcPr>
                <w:p w14:paraId="2E81642E">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喷塑</w:t>
                  </w:r>
                </w:p>
              </w:tc>
              <w:tc>
                <w:tcPr>
                  <w:tcW w:w="1729" w:type="dxa"/>
                  <w:vAlign w:val="center"/>
                </w:tcPr>
                <w:p w14:paraId="51B91BAB">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颗粒物</w:t>
                  </w:r>
                </w:p>
              </w:tc>
              <w:tc>
                <w:tcPr>
                  <w:tcW w:w="2793" w:type="dxa"/>
                  <w:vAlign w:val="center"/>
                </w:tcPr>
                <w:p w14:paraId="19AC96DA">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密闭收集</w:t>
                  </w:r>
                  <w:r>
                    <w:rPr>
                      <w:rFonts w:hint="eastAsia" w:ascii="Times New Roman" w:hAnsi="Times New Roman" w:eastAsia="宋体"/>
                      <w:color w:val="000000" w:themeColor="text1"/>
                      <w:lang w:val="en-US" w:eastAsia="zh-CN"/>
                      <w14:textFill>
                        <w14:solidFill>
                          <w14:schemeClr w14:val="tx1"/>
                        </w14:solidFill>
                      </w14:textFill>
                    </w:rPr>
                    <w:t>+旋风回收装置+布袋除尘器+15m高排气筒</w:t>
                  </w:r>
                  <w:r>
                    <w:rPr>
                      <w:rFonts w:hint="eastAsia" w:ascii="Times New Roman" w:hAnsi="Times New Roman" w:eastAsia="宋体"/>
                      <w:color w:val="000000" w:themeColor="text1"/>
                      <w:lang w:eastAsia="zh-CN"/>
                      <w14:textFill>
                        <w14:solidFill>
                          <w14:schemeClr w14:val="tx1"/>
                        </w14:solidFill>
                      </w14:textFill>
                    </w:rPr>
                    <w:t>DA</w:t>
                  </w:r>
                  <w:r>
                    <w:rPr>
                      <w:rFonts w:hint="eastAsia" w:ascii="Times New Roman" w:hAnsi="Times New Roman" w:eastAsia="宋体"/>
                      <w:color w:val="000000" w:themeColor="text1"/>
                      <w:lang w:val="en-US" w:eastAsia="zh-CN"/>
                      <w14:textFill>
                        <w14:solidFill>
                          <w14:schemeClr w14:val="tx1"/>
                        </w14:solidFill>
                      </w14:textFill>
                    </w:rPr>
                    <w:t>0</w:t>
                  </w:r>
                  <w:r>
                    <w:rPr>
                      <w:rFonts w:hint="eastAsia" w:ascii="Times New Roman" w:hAnsi="Times New Roman" w:eastAsia="宋体"/>
                      <w:color w:val="000000" w:themeColor="text1"/>
                      <w:lang w:eastAsia="zh-CN"/>
                      <w14:textFill>
                        <w14:solidFill>
                          <w14:schemeClr w14:val="tx1"/>
                        </w14:solidFill>
                      </w14:textFill>
                    </w:rPr>
                    <w:t>0</w:t>
                  </w:r>
                  <w:r>
                    <w:rPr>
                      <w:rFonts w:hint="eastAsia" w:ascii="Times New Roman" w:hAnsi="Times New Roman" w:eastAsia="宋体"/>
                      <w:color w:val="000000" w:themeColor="text1"/>
                      <w:lang w:val="en-US" w:eastAsia="zh-CN"/>
                      <w14:textFill>
                        <w14:solidFill>
                          <w14:schemeClr w14:val="tx1"/>
                        </w14:solidFill>
                      </w14:textFill>
                    </w:rPr>
                    <w:t>2排放</w:t>
                  </w:r>
                </w:p>
              </w:tc>
            </w:tr>
            <w:tr w14:paraId="193D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69" w:type="dxa"/>
                  <w:vMerge w:val="continue"/>
                  <w:vAlign w:val="center"/>
                </w:tcPr>
                <w:p w14:paraId="1DEE4193">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24E4B3A0">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0F48778F">
                  <w:pPr>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G</w:t>
                  </w:r>
                  <w:r>
                    <w:rPr>
                      <w:rFonts w:hint="eastAsia" w:ascii="Times New Roman" w:hAnsi="Times New Roman" w:eastAsia="宋体"/>
                      <w:color w:val="000000" w:themeColor="text1"/>
                      <w:lang w:val="en-US" w:eastAsia="zh-CN"/>
                      <w14:textFill>
                        <w14:solidFill>
                          <w14:schemeClr w14:val="tx1"/>
                        </w14:solidFill>
                      </w14:textFill>
                    </w:rPr>
                    <w:t>8</w:t>
                  </w:r>
                </w:p>
              </w:tc>
              <w:tc>
                <w:tcPr>
                  <w:tcW w:w="1191" w:type="dxa"/>
                  <w:vAlign w:val="center"/>
                </w:tcPr>
                <w:p w14:paraId="2526B5D8">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固化</w:t>
                  </w:r>
                </w:p>
              </w:tc>
              <w:tc>
                <w:tcPr>
                  <w:tcW w:w="1729" w:type="dxa"/>
                  <w:vAlign w:val="center"/>
                </w:tcPr>
                <w:p w14:paraId="4B75C769">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发性有机物、颗粒物、</w:t>
                  </w:r>
                  <w:r>
                    <w:rPr>
                      <w:rFonts w:hint="eastAsia" w:ascii="Times New Roman" w:hAnsi="Times New Roman" w:eastAsia="宋体" w:cs="Times New Roman"/>
                      <w:color w:val="000000" w:themeColor="text1"/>
                      <w:lang w:val="en-US" w:eastAsia="zh-CN"/>
                      <w14:textFill>
                        <w14:solidFill>
                          <w14:schemeClr w14:val="tx1"/>
                        </w14:solidFill>
                      </w14:textFill>
                    </w:rPr>
                    <w:t>SO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、NO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X</w:t>
                  </w:r>
                </w:p>
              </w:tc>
              <w:tc>
                <w:tcPr>
                  <w:tcW w:w="2793" w:type="dxa"/>
                  <w:vAlign w:val="center"/>
                </w:tcPr>
                <w:p w14:paraId="6807357B">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密闭收集</w:t>
                  </w:r>
                  <w:r>
                    <w:rPr>
                      <w:rFonts w:hint="eastAsia" w:ascii="Times New Roman" w:hAnsi="Times New Roman" w:eastAsia="宋体"/>
                      <w:color w:val="000000" w:themeColor="text1"/>
                      <w:lang w:val="en-US" w:eastAsia="zh-CN"/>
                      <w14:textFill>
                        <w14:solidFill>
                          <w14:schemeClr w14:val="tx1"/>
                        </w14:solidFill>
                      </w14:textFill>
                    </w:rPr>
                    <w:t>+空气冷却器+</w:t>
                  </w:r>
                  <w:r>
                    <w:rPr>
                      <w:rFonts w:ascii="Times New Roman" w:hAnsi="Times New Roman" w:eastAsia="宋体"/>
                      <w:color w:val="000000" w:themeColor="text1"/>
                      <w:lang w:eastAsia="zh-CN"/>
                      <w14:textFill>
                        <w14:solidFill>
                          <w14:schemeClr w14:val="tx1"/>
                        </w14:solidFill>
                      </w14:textFill>
                    </w:rPr>
                    <w:t>二级活性炭吸</w:t>
                  </w:r>
                  <w:r>
                    <w:rPr>
                      <w:rFonts w:ascii="Times New Roman" w:hAnsi="Times New Roman" w:eastAsia="宋体"/>
                      <w:color w:val="000000" w:themeColor="text1"/>
                      <w:spacing w:val="-2"/>
                      <w:lang w:eastAsia="zh-CN"/>
                      <w14:textFill>
                        <w14:solidFill>
                          <w14:schemeClr w14:val="tx1"/>
                        </w14:solidFill>
                      </w14:textFill>
                    </w:rPr>
                    <w:t>附后</w:t>
                  </w:r>
                  <w:r>
                    <w:rPr>
                      <w:rFonts w:hint="eastAsia" w:ascii="Times New Roman" w:hAnsi="Times New Roman" w:eastAsia="宋体"/>
                      <w:color w:val="000000" w:themeColor="text1"/>
                      <w:spacing w:val="-2"/>
                      <w:lang w:val="en-US" w:eastAsia="zh-CN"/>
                      <w14:textFill>
                        <w14:solidFill>
                          <w14:schemeClr w14:val="tx1"/>
                        </w14:solidFill>
                      </w14:textFill>
                    </w:rPr>
                    <w:t>+15</w:t>
                  </w:r>
                  <w:r>
                    <w:rPr>
                      <w:rFonts w:ascii="Times New Roman" w:hAnsi="Times New Roman" w:eastAsia="宋体"/>
                      <w:color w:val="000000" w:themeColor="text1"/>
                      <w:spacing w:val="-2"/>
                      <w:lang w:eastAsia="zh-CN"/>
                      <w14:textFill>
                        <w14:solidFill>
                          <w14:schemeClr w14:val="tx1"/>
                        </w14:solidFill>
                      </w14:textFill>
                    </w:rPr>
                    <w:t>m高排</w:t>
                  </w:r>
                  <w:r>
                    <w:rPr>
                      <w:rFonts w:ascii="Times New Roman" w:hAnsi="Times New Roman" w:eastAsia="宋体"/>
                      <w:color w:val="000000" w:themeColor="text1"/>
                      <w:lang w:eastAsia="zh-CN"/>
                      <w14:textFill>
                        <w14:solidFill>
                          <w14:schemeClr w14:val="tx1"/>
                        </w14:solidFill>
                      </w14:textFill>
                    </w:rPr>
                    <w:t>气筒</w:t>
                  </w:r>
                  <w:r>
                    <w:rPr>
                      <w:rFonts w:hint="eastAsia" w:ascii="Times New Roman" w:hAnsi="Times New Roman" w:eastAsia="宋体"/>
                      <w:color w:val="000000" w:themeColor="text1"/>
                      <w:lang w:eastAsia="zh-CN"/>
                      <w14:textFill>
                        <w14:solidFill>
                          <w14:schemeClr w14:val="tx1"/>
                        </w14:solidFill>
                      </w14:textFill>
                    </w:rPr>
                    <w:t>DA</w:t>
                  </w:r>
                  <w:r>
                    <w:rPr>
                      <w:rFonts w:hint="eastAsia" w:ascii="Times New Roman" w:hAnsi="Times New Roman" w:eastAsia="宋体"/>
                      <w:color w:val="000000" w:themeColor="text1"/>
                      <w:lang w:val="en-US" w:eastAsia="zh-CN"/>
                      <w14:textFill>
                        <w14:solidFill>
                          <w14:schemeClr w14:val="tx1"/>
                        </w14:solidFill>
                      </w14:textFill>
                    </w:rPr>
                    <w:t>0</w:t>
                  </w:r>
                  <w:r>
                    <w:rPr>
                      <w:rFonts w:hint="eastAsia" w:ascii="Times New Roman" w:hAnsi="Times New Roman" w:eastAsia="宋体"/>
                      <w:color w:val="000000" w:themeColor="text1"/>
                      <w:lang w:eastAsia="zh-CN"/>
                      <w14:textFill>
                        <w14:solidFill>
                          <w14:schemeClr w14:val="tx1"/>
                        </w14:solidFill>
                      </w14:textFill>
                    </w:rPr>
                    <w:t>0</w:t>
                  </w:r>
                  <w:r>
                    <w:rPr>
                      <w:rFonts w:hint="eastAsia" w:ascii="Times New Roman" w:hAnsi="Times New Roman" w:eastAsia="宋体"/>
                      <w:color w:val="000000" w:themeColor="text1"/>
                      <w:lang w:val="en-US" w:eastAsia="zh-CN"/>
                      <w14:textFill>
                        <w14:solidFill>
                          <w14:schemeClr w14:val="tx1"/>
                        </w14:solidFill>
                      </w14:textFill>
                    </w:rPr>
                    <w:t>3</w:t>
                  </w:r>
                  <w:r>
                    <w:rPr>
                      <w:rFonts w:ascii="Times New Roman" w:hAnsi="Times New Roman" w:eastAsia="宋体"/>
                      <w:color w:val="000000" w:themeColor="text1"/>
                      <w:lang w:eastAsia="zh-CN"/>
                      <w14:textFill>
                        <w14:solidFill>
                          <w14:schemeClr w14:val="tx1"/>
                        </w14:solidFill>
                      </w14:textFill>
                    </w:rPr>
                    <w:t>排放</w:t>
                  </w:r>
                </w:p>
              </w:tc>
            </w:tr>
            <w:tr w14:paraId="16C6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3B5F86D9">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restart"/>
                  <w:vAlign w:val="center"/>
                </w:tcPr>
                <w:p w14:paraId="768C27EB">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废水</w:t>
                  </w:r>
                </w:p>
              </w:tc>
              <w:tc>
                <w:tcPr>
                  <w:tcW w:w="1773" w:type="dxa"/>
                  <w:vAlign w:val="center"/>
                </w:tcPr>
                <w:p w14:paraId="215F99A3">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W1</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W1-1、W5、W8</w:t>
                  </w:r>
                </w:p>
              </w:tc>
              <w:tc>
                <w:tcPr>
                  <w:tcW w:w="1191" w:type="dxa"/>
                  <w:vAlign w:val="center"/>
                </w:tcPr>
                <w:p w14:paraId="483BFBC7">
                  <w:pPr>
                    <w:pStyle w:val="41"/>
                    <w:kinsoku/>
                    <w:jc w:val="center"/>
                    <w:rPr>
                      <w:rFonts w:hint="eastAsia" w:ascii="Times New Roman" w:hAnsi="Times New Roman" w:eastAsia="宋体"/>
                      <w:color w:val="000000" w:themeColor="text1"/>
                      <w:szCs w:val="24"/>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酸洗后水洗</w:t>
                  </w:r>
                </w:p>
              </w:tc>
              <w:tc>
                <w:tcPr>
                  <w:tcW w:w="1729" w:type="dxa"/>
                  <w:vAlign w:val="center"/>
                </w:tcPr>
                <w:p w14:paraId="6C0B1628">
                  <w:pPr>
                    <w:pStyle w:val="41"/>
                    <w:kinsoku/>
                    <w:jc w:val="center"/>
                    <w:rPr>
                      <w:rFonts w:hint="eastAsia" w:ascii="Times New Roman" w:hAnsi="Times New Roman" w:eastAsia="宋体"/>
                      <w:color w:val="000000" w:themeColor="text1"/>
                      <w:szCs w:val="24"/>
                      <w:lang w:eastAsia="zh-CN"/>
                      <w14:textFill>
                        <w14:solidFill>
                          <w14:schemeClr w14:val="tx1"/>
                        </w14:solidFill>
                      </w14:textFill>
                    </w:rPr>
                  </w:pPr>
                  <w:r>
                    <w:rPr>
                      <w:rFonts w:hint="default" w:ascii="Times New Roman" w:hAnsi="Times New Roman" w:cs="Times New Roman"/>
                      <w:kern w:val="0"/>
                      <w:sz w:val="21"/>
                      <w:szCs w:val="21"/>
                      <w:lang w:bidi="ar"/>
                    </w:rPr>
                    <w:t>pH、COD、</w:t>
                  </w:r>
                  <w:r>
                    <w:rPr>
                      <w:rFonts w:hint="eastAsia" w:ascii="Times New Roman" w:hAnsi="Times New Roman" w:eastAsia="宋体" w:cs="Times New Roman"/>
                      <w:kern w:val="0"/>
                      <w:sz w:val="21"/>
                      <w:szCs w:val="21"/>
                      <w:lang w:val="en-US" w:eastAsia="zh-CN" w:bidi="ar"/>
                    </w:rPr>
                    <w:t>TN、</w:t>
                  </w:r>
                  <w:r>
                    <w:rPr>
                      <w:rFonts w:hint="default" w:ascii="Times New Roman" w:hAnsi="Times New Roman" w:cs="Times New Roman"/>
                      <w:kern w:val="0"/>
                      <w:sz w:val="21"/>
                      <w:szCs w:val="21"/>
                      <w:lang w:bidi="ar"/>
                    </w:rPr>
                    <w:t>BOD</w:t>
                  </w:r>
                  <w:r>
                    <w:rPr>
                      <w:rFonts w:hint="default" w:ascii="Times New Roman" w:hAnsi="Times New Roman" w:cs="Times New Roman"/>
                      <w:kern w:val="0"/>
                      <w:sz w:val="21"/>
                      <w:szCs w:val="21"/>
                      <w:vertAlign w:val="subscript"/>
                      <w:lang w:bidi="ar"/>
                    </w:rPr>
                    <w:t>5</w:t>
                  </w:r>
                  <w:r>
                    <w:rPr>
                      <w:rFonts w:hint="default" w:ascii="Times New Roman" w:hAnsi="Times New Roman" w:cs="Times New Roman"/>
                      <w:kern w:val="0"/>
                      <w:sz w:val="21"/>
                      <w:szCs w:val="21"/>
                      <w:lang w:bidi="ar"/>
                    </w:rPr>
                    <w:t>、SS、石油类、</w:t>
                  </w:r>
                  <w:r>
                    <w:rPr>
                      <w:rFonts w:hint="default" w:ascii="Times New Roman" w:hAnsi="Times New Roman" w:cs="Times New Roman"/>
                      <w:sz w:val="21"/>
                      <w:szCs w:val="21"/>
                      <w:lang w:bidi="ar"/>
                    </w:rPr>
                    <w:t>NH</w:t>
                  </w:r>
                  <w:r>
                    <w:rPr>
                      <w:rFonts w:hint="default" w:ascii="Times New Roman" w:hAnsi="Times New Roman" w:cs="Times New Roman"/>
                      <w:sz w:val="21"/>
                      <w:szCs w:val="21"/>
                      <w:vertAlign w:val="subscript"/>
                      <w:lang w:bidi="ar"/>
                    </w:rPr>
                    <w:t>3</w:t>
                  </w:r>
                  <w:r>
                    <w:rPr>
                      <w:rFonts w:hint="default" w:ascii="Times New Roman" w:hAnsi="Times New Roman" w:cs="Times New Roman"/>
                      <w:sz w:val="21"/>
                      <w:szCs w:val="21"/>
                      <w:lang w:bidi="ar"/>
                    </w:rPr>
                    <w:t>-N</w:t>
                  </w:r>
                </w:p>
              </w:tc>
              <w:tc>
                <w:tcPr>
                  <w:tcW w:w="2793" w:type="dxa"/>
                  <w:vMerge w:val="restart"/>
                  <w:vAlign w:val="center"/>
                </w:tcPr>
                <w:p w14:paraId="36633317">
                  <w:pPr>
                    <w:pStyle w:val="41"/>
                    <w:kinsoku/>
                    <w:jc w:val="center"/>
                    <w:rPr>
                      <w:rFonts w:ascii="Times New Roman" w:hAnsi="Times New Roman" w:eastAsia="宋体"/>
                      <w:color w:val="000000" w:themeColor="text1"/>
                      <w:szCs w:val="24"/>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经厂区自建污水处理站处理后排入市政污水管网排入宿州市埇桥区曹村污水处理有限公司</w:t>
                  </w:r>
                </w:p>
              </w:tc>
            </w:tr>
            <w:tr w14:paraId="39B2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3B11FC59">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5A361BE5">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62E0E876">
                  <w:pPr>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W</w:t>
                  </w:r>
                  <w:r>
                    <w:rPr>
                      <w:rFonts w:hint="eastAsia" w:ascii="Times New Roman" w:hAnsi="Times New Roman" w:eastAsia="宋体"/>
                      <w:color w:val="000000" w:themeColor="text1"/>
                      <w:lang w:val="en-US" w:eastAsia="zh-CN"/>
                      <w14:textFill>
                        <w14:solidFill>
                          <w14:schemeClr w14:val="tx1"/>
                        </w14:solidFill>
                      </w14:textFill>
                    </w:rPr>
                    <w:t>2、W2-1、W7、W10</w:t>
                  </w:r>
                </w:p>
              </w:tc>
              <w:tc>
                <w:tcPr>
                  <w:tcW w:w="1191" w:type="dxa"/>
                  <w:vAlign w:val="center"/>
                </w:tcPr>
                <w:p w14:paraId="39A968B9">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磷化后水洗</w:t>
                  </w:r>
                </w:p>
              </w:tc>
              <w:tc>
                <w:tcPr>
                  <w:tcW w:w="1729" w:type="dxa"/>
                  <w:vAlign w:val="center"/>
                </w:tcPr>
                <w:p w14:paraId="216A61B7">
                  <w:pPr>
                    <w:pStyle w:val="41"/>
                    <w:kinsoku/>
                    <w:jc w:val="center"/>
                    <w:rPr>
                      <w:rFonts w:ascii="Times New Roman" w:hAnsi="Times New Roman" w:eastAsia="宋体"/>
                      <w:color w:val="000000" w:themeColor="text1"/>
                      <w14:textFill>
                        <w14:solidFill>
                          <w14:schemeClr w14:val="tx1"/>
                        </w14:solidFill>
                      </w14:textFill>
                    </w:rPr>
                  </w:pPr>
                  <w:r>
                    <w:rPr>
                      <w:rFonts w:hint="default" w:ascii="Times New Roman" w:hAnsi="Times New Roman" w:cs="Times New Roman"/>
                      <w:kern w:val="0"/>
                      <w:sz w:val="21"/>
                      <w:szCs w:val="21"/>
                      <w:lang w:bidi="ar"/>
                    </w:rPr>
                    <w:t>pH、COD、TP、</w:t>
                  </w:r>
                  <w:r>
                    <w:rPr>
                      <w:rFonts w:hint="eastAsia" w:ascii="Times New Roman" w:hAnsi="Times New Roman" w:eastAsia="宋体" w:cs="Times New Roman"/>
                      <w:kern w:val="0"/>
                      <w:sz w:val="21"/>
                      <w:szCs w:val="21"/>
                      <w:lang w:val="en-US" w:eastAsia="zh-CN" w:bidi="ar"/>
                    </w:rPr>
                    <w:t>TN、</w:t>
                  </w:r>
                  <w:r>
                    <w:rPr>
                      <w:rFonts w:hint="default" w:ascii="Times New Roman" w:hAnsi="Times New Roman" w:cs="Times New Roman"/>
                      <w:kern w:val="0"/>
                      <w:sz w:val="21"/>
                      <w:szCs w:val="21"/>
                      <w:lang w:bidi="ar"/>
                    </w:rPr>
                    <w:t>BOD</w:t>
                  </w:r>
                  <w:r>
                    <w:rPr>
                      <w:rFonts w:hint="default" w:ascii="Times New Roman" w:hAnsi="Times New Roman" w:cs="Times New Roman"/>
                      <w:kern w:val="0"/>
                      <w:sz w:val="21"/>
                      <w:szCs w:val="21"/>
                      <w:vertAlign w:val="subscript"/>
                      <w:lang w:bidi="ar"/>
                    </w:rPr>
                    <w:t>5</w:t>
                  </w:r>
                  <w:r>
                    <w:rPr>
                      <w:rFonts w:hint="default" w:ascii="Times New Roman" w:hAnsi="Times New Roman" w:cs="Times New Roman"/>
                      <w:kern w:val="0"/>
                      <w:sz w:val="21"/>
                      <w:szCs w:val="21"/>
                      <w:lang w:bidi="ar"/>
                    </w:rPr>
                    <w:t>、SS、石油类、</w:t>
                  </w:r>
                  <w:r>
                    <w:rPr>
                      <w:rFonts w:hint="default" w:ascii="Times New Roman" w:hAnsi="Times New Roman" w:cs="Times New Roman"/>
                      <w:sz w:val="21"/>
                      <w:szCs w:val="21"/>
                      <w:lang w:bidi="ar"/>
                    </w:rPr>
                    <w:t>NH</w:t>
                  </w:r>
                  <w:r>
                    <w:rPr>
                      <w:rFonts w:hint="default" w:ascii="Times New Roman" w:hAnsi="Times New Roman" w:cs="Times New Roman"/>
                      <w:sz w:val="21"/>
                      <w:szCs w:val="21"/>
                      <w:vertAlign w:val="subscript"/>
                      <w:lang w:bidi="ar"/>
                    </w:rPr>
                    <w:t>3</w:t>
                  </w:r>
                  <w:r>
                    <w:rPr>
                      <w:rFonts w:hint="default" w:ascii="Times New Roman" w:hAnsi="Times New Roman" w:cs="Times New Roman"/>
                      <w:sz w:val="21"/>
                      <w:szCs w:val="21"/>
                      <w:lang w:bidi="ar"/>
                    </w:rPr>
                    <w:t>-N</w:t>
                  </w:r>
                </w:p>
              </w:tc>
              <w:tc>
                <w:tcPr>
                  <w:tcW w:w="2793" w:type="dxa"/>
                  <w:vMerge w:val="continue"/>
                  <w:vAlign w:val="center"/>
                </w:tcPr>
                <w:p w14:paraId="2CA61F59">
                  <w:pPr>
                    <w:pStyle w:val="41"/>
                    <w:kinsoku/>
                    <w:jc w:val="center"/>
                    <w:rPr>
                      <w:rFonts w:ascii="Times New Roman" w:hAnsi="Times New Roman" w:eastAsia="宋体"/>
                      <w:color w:val="000000" w:themeColor="text1"/>
                      <w:lang w:eastAsia="zh-CN"/>
                      <w14:textFill>
                        <w14:solidFill>
                          <w14:schemeClr w14:val="tx1"/>
                        </w14:solidFill>
                      </w14:textFill>
                    </w:rPr>
                  </w:pPr>
                </w:p>
              </w:tc>
            </w:tr>
            <w:tr w14:paraId="2E8C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23D80C1D">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181F09D1">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082F4007">
                  <w:pPr>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W</w:t>
                  </w:r>
                  <w:r>
                    <w:rPr>
                      <w:rFonts w:hint="eastAsia" w:ascii="Times New Roman" w:hAnsi="Times New Roman" w:eastAsia="宋体"/>
                      <w:color w:val="000000" w:themeColor="text1"/>
                      <w:lang w:val="en-US" w:eastAsia="zh-CN"/>
                      <w14:textFill>
                        <w14:solidFill>
                          <w14:schemeClr w14:val="tx1"/>
                        </w14:solidFill>
                      </w14:textFill>
                    </w:rPr>
                    <w:t>3、W3-1</w:t>
                  </w:r>
                </w:p>
              </w:tc>
              <w:tc>
                <w:tcPr>
                  <w:tcW w:w="1191" w:type="dxa"/>
                  <w:vAlign w:val="center"/>
                </w:tcPr>
                <w:p w14:paraId="29397A85">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电泳后纯水洗</w:t>
                  </w:r>
                </w:p>
              </w:tc>
              <w:tc>
                <w:tcPr>
                  <w:tcW w:w="1729" w:type="dxa"/>
                  <w:vAlign w:val="center"/>
                </w:tcPr>
                <w:p w14:paraId="26012F63">
                  <w:pPr>
                    <w:pStyle w:val="41"/>
                    <w:kinsoku/>
                    <w:jc w:val="center"/>
                    <w:rPr>
                      <w:rFonts w:ascii="Times New Roman" w:hAnsi="Times New Roman" w:eastAsia="宋体"/>
                      <w:color w:val="000000" w:themeColor="text1"/>
                      <w14:textFill>
                        <w14:solidFill>
                          <w14:schemeClr w14:val="tx1"/>
                        </w14:solidFill>
                      </w14:textFill>
                    </w:rPr>
                  </w:pPr>
                  <w:r>
                    <w:rPr>
                      <w:rFonts w:hint="default" w:ascii="Times New Roman" w:hAnsi="Times New Roman" w:cs="Times New Roman"/>
                      <w:kern w:val="0"/>
                      <w:sz w:val="21"/>
                      <w:szCs w:val="21"/>
                      <w:lang w:bidi="ar"/>
                    </w:rPr>
                    <w:t>pH、COD、</w:t>
                  </w:r>
                  <w:r>
                    <w:rPr>
                      <w:rFonts w:hint="eastAsia" w:ascii="Times New Roman" w:hAnsi="Times New Roman" w:eastAsia="宋体" w:cs="Times New Roman"/>
                      <w:kern w:val="0"/>
                      <w:sz w:val="21"/>
                      <w:szCs w:val="21"/>
                      <w:lang w:val="en-US" w:eastAsia="zh-CN" w:bidi="ar"/>
                    </w:rPr>
                    <w:t>TN、</w:t>
                  </w:r>
                  <w:r>
                    <w:rPr>
                      <w:rFonts w:hint="default" w:ascii="Times New Roman" w:hAnsi="Times New Roman" w:cs="Times New Roman"/>
                      <w:kern w:val="0"/>
                      <w:sz w:val="21"/>
                      <w:szCs w:val="21"/>
                      <w:lang w:bidi="ar"/>
                    </w:rPr>
                    <w:t>BOD</w:t>
                  </w:r>
                  <w:r>
                    <w:rPr>
                      <w:rFonts w:hint="default" w:ascii="Times New Roman" w:hAnsi="Times New Roman" w:cs="Times New Roman"/>
                      <w:kern w:val="0"/>
                      <w:sz w:val="21"/>
                      <w:szCs w:val="21"/>
                      <w:vertAlign w:val="subscript"/>
                      <w:lang w:bidi="ar"/>
                    </w:rPr>
                    <w:t>5</w:t>
                  </w:r>
                  <w:r>
                    <w:rPr>
                      <w:rFonts w:hint="default" w:ascii="Times New Roman" w:hAnsi="Times New Roman" w:cs="Times New Roman"/>
                      <w:kern w:val="0"/>
                      <w:sz w:val="21"/>
                      <w:szCs w:val="21"/>
                      <w:lang w:bidi="ar"/>
                    </w:rPr>
                    <w:t>、SS、石油类、</w:t>
                  </w:r>
                  <w:r>
                    <w:rPr>
                      <w:rFonts w:hint="default" w:ascii="Times New Roman" w:hAnsi="Times New Roman" w:cs="Times New Roman"/>
                      <w:sz w:val="21"/>
                      <w:szCs w:val="21"/>
                      <w:lang w:bidi="ar"/>
                    </w:rPr>
                    <w:t>NH</w:t>
                  </w:r>
                  <w:r>
                    <w:rPr>
                      <w:rFonts w:hint="default" w:ascii="Times New Roman" w:hAnsi="Times New Roman" w:cs="Times New Roman"/>
                      <w:sz w:val="21"/>
                      <w:szCs w:val="21"/>
                      <w:vertAlign w:val="subscript"/>
                      <w:lang w:bidi="ar"/>
                    </w:rPr>
                    <w:t>3</w:t>
                  </w:r>
                  <w:r>
                    <w:rPr>
                      <w:rFonts w:hint="default" w:ascii="Times New Roman" w:hAnsi="Times New Roman" w:cs="Times New Roman"/>
                      <w:sz w:val="21"/>
                      <w:szCs w:val="21"/>
                      <w:lang w:bidi="ar"/>
                    </w:rPr>
                    <w:t>-N</w:t>
                  </w:r>
                </w:p>
              </w:tc>
              <w:tc>
                <w:tcPr>
                  <w:tcW w:w="2793" w:type="dxa"/>
                  <w:vMerge w:val="continue"/>
                  <w:vAlign w:val="center"/>
                </w:tcPr>
                <w:p w14:paraId="0A77F6D4">
                  <w:pPr>
                    <w:pStyle w:val="41"/>
                    <w:kinsoku/>
                    <w:jc w:val="center"/>
                    <w:rPr>
                      <w:rFonts w:ascii="Times New Roman" w:hAnsi="Times New Roman" w:eastAsia="宋体"/>
                      <w:color w:val="000000" w:themeColor="text1"/>
                      <w:lang w:eastAsia="zh-CN"/>
                      <w14:textFill>
                        <w14:solidFill>
                          <w14:schemeClr w14:val="tx1"/>
                        </w14:solidFill>
                      </w14:textFill>
                    </w:rPr>
                  </w:pPr>
                </w:p>
              </w:tc>
            </w:tr>
            <w:tr w14:paraId="480B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3015B9C0">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584DD504">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0391661B">
                  <w:pPr>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W</w:t>
                  </w:r>
                  <w:r>
                    <w:rPr>
                      <w:rFonts w:hint="eastAsia" w:ascii="Times New Roman" w:hAnsi="Times New Roman" w:eastAsia="宋体"/>
                      <w:color w:val="000000" w:themeColor="text1"/>
                      <w:lang w:val="en-US" w:eastAsia="zh-CN"/>
                      <w14:textFill>
                        <w14:solidFill>
                          <w14:schemeClr w14:val="tx1"/>
                        </w14:solidFill>
                      </w14:textFill>
                    </w:rPr>
                    <w:t>6、W9</w:t>
                  </w:r>
                </w:p>
              </w:tc>
              <w:tc>
                <w:tcPr>
                  <w:tcW w:w="1191" w:type="dxa"/>
                  <w:vAlign w:val="center"/>
                </w:tcPr>
                <w:p w14:paraId="4D806FA9">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表调后水洗</w:t>
                  </w:r>
                </w:p>
              </w:tc>
              <w:tc>
                <w:tcPr>
                  <w:tcW w:w="1729" w:type="dxa"/>
                  <w:vAlign w:val="center"/>
                </w:tcPr>
                <w:p w14:paraId="4434DB98">
                  <w:pPr>
                    <w:pStyle w:val="41"/>
                    <w:kinsoku/>
                    <w:jc w:val="center"/>
                    <w:rPr>
                      <w:rFonts w:ascii="Times New Roman" w:hAnsi="Times New Roman" w:eastAsia="宋体"/>
                      <w:color w:val="000000" w:themeColor="text1"/>
                      <w14:textFill>
                        <w14:solidFill>
                          <w14:schemeClr w14:val="tx1"/>
                        </w14:solidFill>
                      </w14:textFill>
                    </w:rPr>
                  </w:pPr>
                  <w:r>
                    <w:rPr>
                      <w:rFonts w:hint="default" w:ascii="Times New Roman" w:hAnsi="Times New Roman" w:cs="Times New Roman"/>
                      <w:kern w:val="0"/>
                      <w:sz w:val="21"/>
                      <w:szCs w:val="21"/>
                      <w:lang w:bidi="ar"/>
                    </w:rPr>
                    <w:t>pH、COD、</w:t>
                  </w:r>
                  <w:r>
                    <w:rPr>
                      <w:rFonts w:hint="eastAsia" w:ascii="Times New Roman" w:hAnsi="Times New Roman" w:eastAsia="宋体" w:cs="Times New Roman"/>
                      <w:kern w:val="0"/>
                      <w:sz w:val="21"/>
                      <w:szCs w:val="21"/>
                      <w:lang w:val="en-US" w:eastAsia="zh-CN" w:bidi="ar"/>
                    </w:rPr>
                    <w:t>TN、</w:t>
                  </w:r>
                  <w:r>
                    <w:rPr>
                      <w:rFonts w:hint="default" w:ascii="Times New Roman" w:hAnsi="Times New Roman" w:cs="Times New Roman"/>
                      <w:kern w:val="0"/>
                      <w:sz w:val="21"/>
                      <w:szCs w:val="21"/>
                      <w:lang w:bidi="ar"/>
                    </w:rPr>
                    <w:t>BOD</w:t>
                  </w:r>
                  <w:r>
                    <w:rPr>
                      <w:rFonts w:hint="default" w:ascii="Times New Roman" w:hAnsi="Times New Roman" w:cs="Times New Roman"/>
                      <w:kern w:val="0"/>
                      <w:sz w:val="21"/>
                      <w:szCs w:val="21"/>
                      <w:vertAlign w:val="subscript"/>
                      <w:lang w:bidi="ar"/>
                    </w:rPr>
                    <w:t>5</w:t>
                  </w:r>
                  <w:r>
                    <w:rPr>
                      <w:rFonts w:hint="default" w:ascii="Times New Roman" w:hAnsi="Times New Roman" w:cs="Times New Roman"/>
                      <w:kern w:val="0"/>
                      <w:sz w:val="21"/>
                      <w:szCs w:val="21"/>
                      <w:lang w:bidi="ar"/>
                    </w:rPr>
                    <w:t>、SS、石油类、</w:t>
                  </w:r>
                  <w:r>
                    <w:rPr>
                      <w:rFonts w:hint="default" w:ascii="Times New Roman" w:hAnsi="Times New Roman" w:cs="Times New Roman"/>
                      <w:sz w:val="21"/>
                      <w:szCs w:val="21"/>
                      <w:lang w:bidi="ar"/>
                    </w:rPr>
                    <w:t>NH</w:t>
                  </w:r>
                  <w:r>
                    <w:rPr>
                      <w:rFonts w:hint="default" w:ascii="Times New Roman" w:hAnsi="Times New Roman" w:cs="Times New Roman"/>
                      <w:sz w:val="21"/>
                      <w:szCs w:val="21"/>
                      <w:vertAlign w:val="subscript"/>
                      <w:lang w:bidi="ar"/>
                    </w:rPr>
                    <w:t>3</w:t>
                  </w:r>
                  <w:r>
                    <w:rPr>
                      <w:rFonts w:hint="default" w:ascii="Times New Roman" w:hAnsi="Times New Roman" w:cs="Times New Roman"/>
                      <w:sz w:val="21"/>
                      <w:szCs w:val="21"/>
                      <w:lang w:bidi="ar"/>
                    </w:rPr>
                    <w:t>-N</w:t>
                  </w:r>
                </w:p>
              </w:tc>
              <w:tc>
                <w:tcPr>
                  <w:tcW w:w="2793" w:type="dxa"/>
                  <w:vMerge w:val="continue"/>
                  <w:vAlign w:val="center"/>
                </w:tcPr>
                <w:p w14:paraId="0F60795D">
                  <w:pPr>
                    <w:pStyle w:val="41"/>
                    <w:kinsoku/>
                    <w:jc w:val="center"/>
                    <w:rPr>
                      <w:rFonts w:ascii="Times New Roman" w:hAnsi="Times New Roman" w:eastAsia="宋体"/>
                      <w:color w:val="000000" w:themeColor="text1"/>
                      <w:lang w:eastAsia="zh-CN"/>
                      <w14:textFill>
                        <w14:solidFill>
                          <w14:schemeClr w14:val="tx1"/>
                        </w14:solidFill>
                      </w14:textFill>
                    </w:rPr>
                  </w:pPr>
                </w:p>
              </w:tc>
            </w:tr>
            <w:tr w14:paraId="5703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07E5E54E">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7827EEF5">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3B9990EE">
                  <w:pPr>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W</w:t>
                  </w:r>
                  <w:r>
                    <w:rPr>
                      <w:rFonts w:hint="eastAsia" w:ascii="Times New Roman" w:hAnsi="Times New Roman" w:eastAsia="宋体"/>
                      <w:color w:val="000000" w:themeColor="text1"/>
                      <w:lang w:val="en-US" w:eastAsia="zh-CN"/>
                      <w14:textFill>
                        <w14:solidFill>
                          <w14:schemeClr w14:val="tx1"/>
                        </w14:solidFill>
                      </w14:textFill>
                    </w:rPr>
                    <w:t>11</w:t>
                  </w:r>
                </w:p>
              </w:tc>
              <w:tc>
                <w:tcPr>
                  <w:tcW w:w="1191" w:type="dxa"/>
                  <w:vAlign w:val="center"/>
                </w:tcPr>
                <w:p w14:paraId="5CA8AD08">
                  <w:pPr>
                    <w:pStyle w:val="41"/>
                    <w:kinsoku/>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生活污水</w:t>
                  </w:r>
                </w:p>
              </w:tc>
              <w:tc>
                <w:tcPr>
                  <w:tcW w:w="1729" w:type="dxa"/>
                  <w:vAlign w:val="center"/>
                </w:tcPr>
                <w:p w14:paraId="1E503850">
                  <w:pPr>
                    <w:pStyle w:val="41"/>
                    <w:kinsoku/>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pH、COD、BOD</w:t>
                  </w:r>
                  <w:r>
                    <w:rPr>
                      <w:rFonts w:ascii="Times New Roman" w:hAnsi="Times New Roman" w:eastAsia="宋体"/>
                      <w:color w:val="000000" w:themeColor="text1"/>
                      <w:vertAlign w:val="subscript"/>
                      <w14:textFill>
                        <w14:solidFill>
                          <w14:schemeClr w14:val="tx1"/>
                        </w14:solidFill>
                      </w14:textFill>
                    </w:rPr>
                    <w:t>5</w:t>
                  </w:r>
                  <w:r>
                    <w:rPr>
                      <w:rFonts w:ascii="Times New Roman" w:hAnsi="Times New Roman" w:eastAsia="宋体"/>
                      <w:color w:val="000000" w:themeColor="text1"/>
                      <w14:textFill>
                        <w14:solidFill>
                          <w14:schemeClr w14:val="tx1"/>
                        </w14:solidFill>
                      </w14:textFill>
                    </w:rPr>
                    <w:t>、氨氮、SS</w:t>
                  </w:r>
                </w:p>
              </w:tc>
              <w:tc>
                <w:tcPr>
                  <w:tcW w:w="2793" w:type="dxa"/>
                  <w:vAlign w:val="center"/>
                </w:tcPr>
                <w:p w14:paraId="25FB9A9E">
                  <w:pPr>
                    <w:pStyle w:val="41"/>
                    <w:kinsoku/>
                    <w:ind w:firstLine="0" w:firstLineChars="0"/>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经化粪池处理后排入市政污水管网</w:t>
                  </w:r>
                </w:p>
              </w:tc>
            </w:tr>
            <w:tr w14:paraId="6035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0743D873">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restart"/>
                  <w:vAlign w:val="center"/>
                </w:tcPr>
                <w:p w14:paraId="3A7C7C56">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固废</w:t>
                  </w:r>
                </w:p>
              </w:tc>
              <w:tc>
                <w:tcPr>
                  <w:tcW w:w="1773" w:type="dxa"/>
                  <w:vAlign w:val="center"/>
                </w:tcPr>
                <w:p w14:paraId="40FE189A">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S1</w:t>
                  </w:r>
                  <w:r>
                    <w:rPr>
                      <w:rFonts w:hint="eastAsia" w:ascii="Times New Roman" w:hAnsi="Times New Roman" w:eastAsia="宋体"/>
                      <w:color w:val="000000" w:themeColor="text1"/>
                      <w:lang w:eastAsia="zh-CN"/>
                      <w14:textFill>
                        <w14:solidFill>
                          <w14:schemeClr w14:val="tx1"/>
                        </w14:solidFill>
                      </w14:textFill>
                    </w:rPr>
                    <w:t>、S2</w:t>
                  </w:r>
                </w:p>
              </w:tc>
              <w:tc>
                <w:tcPr>
                  <w:tcW w:w="1191" w:type="dxa"/>
                  <w:vAlign w:val="center"/>
                </w:tcPr>
                <w:p w14:paraId="59D41F14">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切割下料，</w:t>
                  </w:r>
                  <w:r>
                    <w:rPr>
                      <w:rFonts w:hint="eastAsia" w:ascii="Times New Roman" w:hAnsi="Times New Roman" w:eastAsia="宋体" w:cs="Times New Roman"/>
                      <w:color w:val="000000" w:themeColor="text1"/>
                      <w:lang w:eastAsia="zh-CN"/>
                      <w14:textFill>
                        <w14:solidFill>
                          <w14:schemeClr w14:val="tx1"/>
                        </w14:solidFill>
                      </w14:textFill>
                    </w:rPr>
                    <w:t>钻孔</w:t>
                  </w:r>
                </w:p>
              </w:tc>
              <w:tc>
                <w:tcPr>
                  <w:tcW w:w="1729" w:type="dxa"/>
                  <w:vAlign w:val="center"/>
                </w:tcPr>
                <w:p w14:paraId="0BFD3BF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金属边角料</w:t>
                  </w:r>
                </w:p>
              </w:tc>
              <w:tc>
                <w:tcPr>
                  <w:tcW w:w="2793" w:type="dxa"/>
                  <w:vMerge w:val="restart"/>
                  <w:vAlign w:val="center"/>
                </w:tcPr>
                <w:p w14:paraId="1B6432F5">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集中收集后外售</w:t>
                  </w:r>
                </w:p>
              </w:tc>
            </w:tr>
            <w:tr w14:paraId="6330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69" w:type="dxa"/>
                  <w:vMerge w:val="continue"/>
                  <w:vAlign w:val="center"/>
                </w:tcPr>
                <w:p w14:paraId="5F19C1A6">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07EE2355">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70250B44">
                  <w:pPr>
                    <w:pStyle w:val="41"/>
                    <w:kinsoku/>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S4</w:t>
                  </w:r>
                </w:p>
              </w:tc>
              <w:tc>
                <w:tcPr>
                  <w:tcW w:w="1191" w:type="dxa"/>
                  <w:vAlign w:val="center"/>
                </w:tcPr>
                <w:p w14:paraId="23F3D8A8">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抛丸</w:t>
                  </w:r>
                </w:p>
              </w:tc>
              <w:tc>
                <w:tcPr>
                  <w:tcW w:w="1729" w:type="dxa"/>
                  <w:vAlign w:val="center"/>
                </w:tcPr>
                <w:p w14:paraId="3B86A088">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废钢丸</w:t>
                  </w:r>
                </w:p>
              </w:tc>
              <w:tc>
                <w:tcPr>
                  <w:tcW w:w="2793" w:type="dxa"/>
                  <w:vMerge w:val="continue"/>
                  <w:vAlign w:val="center"/>
                </w:tcPr>
                <w:p w14:paraId="0230A4DE">
                  <w:pPr>
                    <w:pStyle w:val="41"/>
                    <w:kinsoku/>
                    <w:jc w:val="center"/>
                    <w:rPr>
                      <w:rFonts w:ascii="Times New Roman" w:hAnsi="Times New Roman" w:eastAsia="宋体"/>
                      <w:color w:val="000000" w:themeColor="text1"/>
                      <w14:textFill>
                        <w14:solidFill>
                          <w14:schemeClr w14:val="tx1"/>
                        </w14:solidFill>
                      </w14:textFill>
                    </w:rPr>
                  </w:pPr>
                </w:p>
              </w:tc>
            </w:tr>
            <w:tr w14:paraId="0D31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787A0B01">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312A2F7A">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3D9849B4">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S11</w:t>
                  </w:r>
                </w:p>
              </w:tc>
              <w:tc>
                <w:tcPr>
                  <w:tcW w:w="1191" w:type="dxa"/>
                  <w:vAlign w:val="center"/>
                </w:tcPr>
                <w:p w14:paraId="2966C387">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喷塑</w:t>
                  </w:r>
                </w:p>
              </w:tc>
              <w:tc>
                <w:tcPr>
                  <w:tcW w:w="1729" w:type="dxa"/>
                  <w:vAlign w:val="center"/>
                </w:tcPr>
                <w:p w14:paraId="6D61D9DD">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废包装袋</w:t>
                  </w:r>
                </w:p>
              </w:tc>
              <w:tc>
                <w:tcPr>
                  <w:tcW w:w="2793" w:type="dxa"/>
                  <w:vMerge w:val="continue"/>
                  <w:vAlign w:val="center"/>
                </w:tcPr>
                <w:p w14:paraId="4AB6B02F">
                  <w:pPr>
                    <w:pStyle w:val="41"/>
                    <w:kinsoku/>
                    <w:jc w:val="center"/>
                    <w:rPr>
                      <w:rFonts w:ascii="Times New Roman" w:hAnsi="Times New Roman" w:eastAsia="宋体"/>
                      <w:color w:val="000000" w:themeColor="text1"/>
                      <w14:textFill>
                        <w14:solidFill>
                          <w14:schemeClr w14:val="tx1"/>
                        </w14:solidFill>
                      </w14:textFill>
                    </w:rPr>
                  </w:pPr>
                </w:p>
              </w:tc>
            </w:tr>
            <w:tr w14:paraId="05AF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68A9B0B4">
                  <w:pPr>
                    <w:pStyle w:val="41"/>
                    <w:kinsoku/>
                    <w:jc w:val="center"/>
                    <w:rPr>
                      <w:rFonts w:ascii="Times New Roman" w:hAnsi="Times New Roman" w:eastAsia="宋体"/>
                      <w:color w:val="000000" w:themeColor="text1"/>
                      <w14:textFill>
                        <w14:solidFill>
                          <w14:schemeClr w14:val="tx1"/>
                        </w14:solidFill>
                      </w14:textFill>
                    </w:rPr>
                  </w:pPr>
                </w:p>
              </w:tc>
              <w:tc>
                <w:tcPr>
                  <w:tcW w:w="637" w:type="dxa"/>
                  <w:vMerge w:val="continue"/>
                  <w:vAlign w:val="center"/>
                </w:tcPr>
                <w:p w14:paraId="68A582C8">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001351B5">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3</w:t>
                  </w:r>
                </w:p>
              </w:tc>
              <w:tc>
                <w:tcPr>
                  <w:tcW w:w="1191" w:type="dxa"/>
                  <w:vAlign w:val="center"/>
                </w:tcPr>
                <w:p w14:paraId="75CBD802">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焊接</w:t>
                  </w:r>
                </w:p>
              </w:tc>
              <w:tc>
                <w:tcPr>
                  <w:tcW w:w="1729" w:type="dxa"/>
                  <w:vAlign w:val="center"/>
                </w:tcPr>
                <w:p w14:paraId="4204D2C6">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焊渣</w:t>
                  </w:r>
                </w:p>
              </w:tc>
              <w:tc>
                <w:tcPr>
                  <w:tcW w:w="2793" w:type="dxa"/>
                  <w:vAlign w:val="center"/>
                </w:tcPr>
                <w:p w14:paraId="17780D67">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集中收集后</w:t>
                  </w:r>
                  <w:r>
                    <w:rPr>
                      <w:rFonts w:hint="eastAsia" w:ascii="Times New Roman" w:hAnsi="Times New Roman" w:eastAsia="宋体"/>
                      <w:color w:val="000000" w:themeColor="text1"/>
                      <w:lang w:eastAsia="zh-CN"/>
                      <w14:textFill>
                        <w14:solidFill>
                          <w14:schemeClr w14:val="tx1"/>
                        </w14:solidFill>
                      </w14:textFill>
                    </w:rPr>
                    <w:t>委托外单位处理</w:t>
                  </w:r>
                </w:p>
              </w:tc>
            </w:tr>
            <w:tr w14:paraId="56C1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7DAAD1CC">
                  <w:pPr>
                    <w:pStyle w:val="41"/>
                    <w:kinsoku/>
                    <w:jc w:val="center"/>
                    <w:rPr>
                      <w:rFonts w:ascii="Times New Roman" w:hAnsi="Times New Roman" w:eastAsia="宋体"/>
                      <w:color w:val="000000" w:themeColor="text1"/>
                      <w14:textFill>
                        <w14:solidFill>
                          <w14:schemeClr w14:val="tx1"/>
                        </w14:solidFill>
                      </w14:textFill>
                    </w:rPr>
                  </w:pPr>
                </w:p>
              </w:tc>
              <w:tc>
                <w:tcPr>
                  <w:tcW w:w="637" w:type="dxa"/>
                  <w:vMerge w:val="continue"/>
                  <w:vAlign w:val="center"/>
                </w:tcPr>
                <w:p w14:paraId="6DBD2226">
                  <w:pPr>
                    <w:pStyle w:val="41"/>
                    <w:kinsoku/>
                    <w:jc w:val="center"/>
                    <w:rPr>
                      <w:rFonts w:ascii="Times New Roman" w:hAnsi="Times New Roman" w:eastAsia="宋体"/>
                      <w:color w:val="000000" w:themeColor="text1"/>
                      <w14:textFill>
                        <w14:solidFill>
                          <w14:schemeClr w14:val="tx1"/>
                        </w14:solidFill>
                      </w14:textFill>
                    </w:rPr>
                  </w:pPr>
                </w:p>
              </w:tc>
              <w:tc>
                <w:tcPr>
                  <w:tcW w:w="1773" w:type="dxa"/>
                  <w:vAlign w:val="center"/>
                </w:tcPr>
                <w:p w14:paraId="1475FEAA">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S12</w:t>
                  </w:r>
                </w:p>
              </w:tc>
              <w:tc>
                <w:tcPr>
                  <w:tcW w:w="1191" w:type="dxa"/>
                  <w:vAlign w:val="center"/>
                </w:tcPr>
                <w:p w14:paraId="61A993A6">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废气收集</w:t>
                  </w:r>
                </w:p>
              </w:tc>
              <w:tc>
                <w:tcPr>
                  <w:tcW w:w="1729" w:type="dxa"/>
                  <w:vAlign w:val="center"/>
                </w:tcPr>
                <w:p w14:paraId="09002B82">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收集尘</w:t>
                  </w:r>
                </w:p>
              </w:tc>
              <w:tc>
                <w:tcPr>
                  <w:tcW w:w="2793" w:type="dxa"/>
                  <w:vAlign w:val="center"/>
                </w:tcPr>
                <w:p w14:paraId="26D0146A">
                  <w:pPr>
                    <w:pStyle w:val="41"/>
                    <w:kinsoku/>
                    <w:jc w:val="center"/>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集中收集后</w:t>
                  </w:r>
                  <w:r>
                    <w:rPr>
                      <w:rFonts w:hint="eastAsia" w:ascii="Times New Roman" w:hAnsi="Times New Roman" w:eastAsia="宋体"/>
                      <w:color w:val="000000" w:themeColor="text1"/>
                      <w:lang w:eastAsia="zh-CN"/>
                      <w14:textFill>
                        <w14:solidFill>
                          <w14:schemeClr w14:val="tx1"/>
                        </w14:solidFill>
                      </w14:textFill>
                    </w:rPr>
                    <w:t>委托外单位处理</w:t>
                  </w:r>
                </w:p>
              </w:tc>
            </w:tr>
            <w:tr w14:paraId="1314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7D6237C2">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7ADB4162">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359CED15">
                  <w:pPr>
                    <w:pStyle w:val="41"/>
                    <w:kinsoku/>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S5、S6、S7、S7-1、S8、S8-1、S9、S10</w:t>
                  </w:r>
                </w:p>
              </w:tc>
              <w:tc>
                <w:tcPr>
                  <w:tcW w:w="1191" w:type="dxa"/>
                  <w:vAlign w:val="center"/>
                </w:tcPr>
                <w:p w14:paraId="20B646F5">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槽渣</w:t>
                  </w:r>
                </w:p>
              </w:tc>
              <w:tc>
                <w:tcPr>
                  <w:tcW w:w="1729" w:type="dxa"/>
                  <w:vAlign w:val="center"/>
                </w:tcPr>
                <w:p w14:paraId="7029128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酸洗残渣、磷化残渣</w:t>
                  </w:r>
                </w:p>
              </w:tc>
              <w:tc>
                <w:tcPr>
                  <w:tcW w:w="2793" w:type="dxa"/>
                  <w:vAlign w:val="center"/>
                </w:tcPr>
                <w:p w14:paraId="4B1F4A59">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危废暂存间暂存后委托有资质单位处置</w:t>
                  </w:r>
                </w:p>
              </w:tc>
            </w:tr>
            <w:tr w14:paraId="2F40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4685A661">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6187099B">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2ABBFC45">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13</w:t>
                  </w:r>
                </w:p>
              </w:tc>
              <w:tc>
                <w:tcPr>
                  <w:tcW w:w="1191" w:type="dxa"/>
                  <w:vAlign w:val="center"/>
                </w:tcPr>
                <w:p w14:paraId="2413BC2C">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机加工</w:t>
                  </w:r>
                </w:p>
              </w:tc>
              <w:tc>
                <w:tcPr>
                  <w:tcW w:w="1729" w:type="dxa"/>
                  <w:vAlign w:val="center"/>
                </w:tcPr>
                <w:p w14:paraId="734094C6">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废机油</w:t>
                  </w:r>
                </w:p>
              </w:tc>
              <w:tc>
                <w:tcPr>
                  <w:tcW w:w="2793" w:type="dxa"/>
                  <w:vAlign w:val="center"/>
                </w:tcPr>
                <w:p w14:paraId="7CC009A2">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危废暂存间暂存后委托有资质单位处置</w:t>
                  </w:r>
                </w:p>
              </w:tc>
            </w:tr>
            <w:tr w14:paraId="2CA7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79C38A3C">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07242328">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79E4BDE2">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14</w:t>
                  </w:r>
                </w:p>
              </w:tc>
              <w:tc>
                <w:tcPr>
                  <w:tcW w:w="1191" w:type="dxa"/>
                  <w:vAlign w:val="center"/>
                </w:tcPr>
                <w:p w14:paraId="5A3668B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机加工</w:t>
                  </w:r>
                </w:p>
              </w:tc>
              <w:tc>
                <w:tcPr>
                  <w:tcW w:w="1729" w:type="dxa"/>
                  <w:vAlign w:val="center"/>
                </w:tcPr>
                <w:p w14:paraId="1AF370CD">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废润滑油</w:t>
                  </w:r>
                </w:p>
              </w:tc>
              <w:tc>
                <w:tcPr>
                  <w:tcW w:w="2793" w:type="dxa"/>
                  <w:vAlign w:val="center"/>
                </w:tcPr>
                <w:p w14:paraId="79052A62">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危废暂存间暂存后委托有资质单位处置</w:t>
                  </w:r>
                </w:p>
              </w:tc>
            </w:tr>
            <w:tr w14:paraId="164B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7DA75142">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51425268">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5816ADA1">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15</w:t>
                  </w:r>
                </w:p>
              </w:tc>
              <w:tc>
                <w:tcPr>
                  <w:tcW w:w="1191" w:type="dxa"/>
                  <w:vAlign w:val="center"/>
                </w:tcPr>
                <w:p w14:paraId="22B482DB">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机加工</w:t>
                  </w:r>
                </w:p>
              </w:tc>
              <w:tc>
                <w:tcPr>
                  <w:tcW w:w="1729" w:type="dxa"/>
                  <w:vAlign w:val="center"/>
                </w:tcPr>
                <w:p w14:paraId="295319F0">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废油桶</w:t>
                  </w:r>
                </w:p>
              </w:tc>
              <w:tc>
                <w:tcPr>
                  <w:tcW w:w="2793" w:type="dxa"/>
                  <w:vAlign w:val="center"/>
                </w:tcPr>
                <w:p w14:paraId="140C04E9">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危废暂存间暂存后委托有资质单位处置</w:t>
                  </w:r>
                </w:p>
              </w:tc>
            </w:tr>
            <w:tr w14:paraId="326C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69" w:type="dxa"/>
                  <w:vMerge w:val="continue"/>
                  <w:vAlign w:val="center"/>
                </w:tcPr>
                <w:p w14:paraId="13974A8A">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6C6D642B">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1127E71E">
                  <w:pPr>
                    <w:pStyle w:val="41"/>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16</w:t>
                  </w:r>
                </w:p>
              </w:tc>
              <w:tc>
                <w:tcPr>
                  <w:tcW w:w="1191" w:type="dxa"/>
                  <w:vAlign w:val="center"/>
                </w:tcPr>
                <w:p w14:paraId="6A1E1899">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机加工</w:t>
                  </w:r>
                </w:p>
              </w:tc>
              <w:tc>
                <w:tcPr>
                  <w:tcW w:w="1729" w:type="dxa"/>
                  <w:vAlign w:val="center"/>
                </w:tcPr>
                <w:p w14:paraId="03F5C2D1">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废含油抹布</w:t>
                  </w:r>
                </w:p>
              </w:tc>
              <w:tc>
                <w:tcPr>
                  <w:tcW w:w="2793" w:type="dxa"/>
                  <w:vAlign w:val="center"/>
                </w:tcPr>
                <w:p w14:paraId="6F2BD108">
                  <w:pPr>
                    <w:pStyle w:val="41"/>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危废暂存间暂存后委托有资质单位处置</w:t>
                  </w:r>
                </w:p>
              </w:tc>
            </w:tr>
            <w:tr w14:paraId="4253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9" w:type="dxa"/>
                  <w:vMerge w:val="continue"/>
                  <w:vAlign w:val="center"/>
                </w:tcPr>
                <w:p w14:paraId="2C7F5215">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619796A2">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67C8F1C5">
                  <w:pPr>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17</w:t>
                  </w:r>
                </w:p>
              </w:tc>
              <w:tc>
                <w:tcPr>
                  <w:tcW w:w="1191" w:type="dxa"/>
                  <w:vAlign w:val="center"/>
                </w:tcPr>
                <w:p w14:paraId="2DCCA15E">
                  <w:pPr>
                    <w:kinsoku/>
                    <w:jc w:val="center"/>
                    <w:rPr>
                      <w:rFonts w:hint="eastAsia" w:ascii="Times New Roman" w:hAnsi="Times New Roman" w:eastAsia="宋体" w:cs="Times New Roman"/>
                      <w:color w:val="000000" w:themeColor="text1"/>
                      <w:spacing w:val="3"/>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废气处理</w:t>
                  </w:r>
                </w:p>
              </w:tc>
              <w:tc>
                <w:tcPr>
                  <w:tcW w:w="1729" w:type="dxa"/>
                  <w:vAlign w:val="center"/>
                </w:tcPr>
                <w:p w14:paraId="607F4172">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hint="eastAsia" w:ascii="Times New Roman" w:hAnsi="Times New Roman" w:eastAsia="宋体" w:cs="Times New Roman"/>
                      <w:color w:val="000000" w:themeColor="text1"/>
                      <w:spacing w:val="3"/>
                      <w:lang w:eastAsia="zh-CN"/>
                      <w14:textFill>
                        <w14:solidFill>
                          <w14:schemeClr w14:val="tx1"/>
                        </w14:solidFill>
                      </w14:textFill>
                    </w:rPr>
                    <w:t>废活性炭</w:t>
                  </w:r>
                </w:p>
              </w:tc>
              <w:tc>
                <w:tcPr>
                  <w:tcW w:w="2793" w:type="dxa"/>
                  <w:vAlign w:val="center"/>
                </w:tcPr>
                <w:p w14:paraId="3EF13FF7">
                  <w:pPr>
                    <w:kinsoku/>
                    <w:jc w:val="center"/>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危废暂存间暂存后委托有资质单位处置</w:t>
                  </w:r>
                </w:p>
              </w:tc>
            </w:tr>
            <w:tr w14:paraId="7D99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169" w:type="dxa"/>
                  <w:vMerge w:val="continue"/>
                  <w:vAlign w:val="center"/>
                </w:tcPr>
                <w:p w14:paraId="3CC00F1A">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637" w:type="dxa"/>
                  <w:vMerge w:val="continue"/>
                  <w:vAlign w:val="center"/>
                </w:tcPr>
                <w:p w14:paraId="6D18FA73">
                  <w:pPr>
                    <w:pStyle w:val="41"/>
                    <w:kinsoku/>
                    <w:jc w:val="center"/>
                    <w:rPr>
                      <w:rFonts w:ascii="Times New Roman" w:hAnsi="Times New Roman" w:eastAsia="宋体"/>
                      <w:color w:val="000000" w:themeColor="text1"/>
                      <w:lang w:eastAsia="zh-CN"/>
                      <w14:textFill>
                        <w14:solidFill>
                          <w14:schemeClr w14:val="tx1"/>
                        </w14:solidFill>
                      </w14:textFill>
                    </w:rPr>
                  </w:pPr>
                </w:p>
              </w:tc>
              <w:tc>
                <w:tcPr>
                  <w:tcW w:w="1773" w:type="dxa"/>
                  <w:vAlign w:val="center"/>
                </w:tcPr>
                <w:p w14:paraId="2D662672">
                  <w:pPr>
                    <w:kinsoku/>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S</w:t>
                  </w:r>
                  <w:r>
                    <w:rPr>
                      <w:rFonts w:hint="eastAsia" w:ascii="Times New Roman" w:hAnsi="Times New Roman" w:eastAsia="宋体"/>
                      <w:color w:val="000000" w:themeColor="text1"/>
                      <w:lang w:val="en-US" w:eastAsia="zh-CN"/>
                      <w14:textFill>
                        <w14:solidFill>
                          <w14:schemeClr w14:val="tx1"/>
                        </w14:solidFill>
                      </w14:textFill>
                    </w:rPr>
                    <w:t>18</w:t>
                  </w:r>
                </w:p>
              </w:tc>
              <w:tc>
                <w:tcPr>
                  <w:tcW w:w="1191" w:type="dxa"/>
                  <w:vAlign w:val="center"/>
                </w:tcPr>
                <w:p w14:paraId="48545B51">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生活区</w:t>
                  </w:r>
                </w:p>
              </w:tc>
              <w:tc>
                <w:tcPr>
                  <w:tcW w:w="1729" w:type="dxa"/>
                  <w:vAlign w:val="center"/>
                </w:tcPr>
                <w:p w14:paraId="1124486B">
                  <w:pPr>
                    <w:kinsoku/>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生活垃圾</w:t>
                  </w:r>
                </w:p>
              </w:tc>
              <w:tc>
                <w:tcPr>
                  <w:tcW w:w="2793" w:type="dxa"/>
                  <w:vAlign w:val="center"/>
                </w:tcPr>
                <w:p w14:paraId="4A9E7E92">
                  <w:pPr>
                    <w:pStyle w:val="41"/>
                    <w:kinsoku/>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环卫部门统一清运</w:t>
                  </w:r>
                </w:p>
              </w:tc>
            </w:tr>
          </w:tbl>
          <w:p w14:paraId="4E2B1B21">
            <w:pPr>
              <w:pageBreakBefore w:val="0"/>
              <w:numPr>
                <w:ilvl w:val="0"/>
                <w:numId w:val="0"/>
              </w:numPr>
              <w:kinsoku/>
              <w:wordWrap/>
              <w:overflowPunct/>
              <w:topLinePunct w:val="0"/>
              <w:bidi w:val="0"/>
              <w:adjustRightInd/>
              <w:snapToGrid/>
              <w:spacing w:line="360" w:lineRule="auto"/>
              <w:ind w:left="0" w:leftChars="0" w:firstLine="0" w:firstLineChars="0"/>
              <w:jc w:val="both"/>
              <w:rPr>
                <w:rFonts w:hint="default" w:ascii="Times New Roman" w:hAnsi="Times New Roman" w:cs="Times New Roman"/>
                <w:color w:val="4874CB" w:themeColor="accent1"/>
                <w:sz w:val="21"/>
                <w14:textFill>
                  <w14:solidFill>
                    <w14:schemeClr w14:val="accent1"/>
                  </w14:solidFill>
                </w14:textFill>
              </w:rPr>
            </w:pPr>
          </w:p>
        </w:tc>
      </w:tr>
      <w:tr w14:paraId="0DC05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7" w:hRule="atLeast"/>
          <w:jc w:val="center"/>
        </w:trPr>
        <w:tc>
          <w:tcPr>
            <w:tcW w:w="411" w:type="pct"/>
            <w:vAlign w:val="center"/>
          </w:tcPr>
          <w:p w14:paraId="075B1E6A">
            <w:pPr>
              <w:pStyle w:val="20"/>
              <w:pageBreakBefore w:val="0"/>
              <w:kinsoku/>
              <w:wordWrap/>
              <w:overflowPunct/>
              <w:topLinePunct w:val="0"/>
              <w:bidi w:val="0"/>
              <w:adjustRightInd/>
              <w:snapToGrid/>
              <w:spacing w:before="0" w:beforeAutospacing="0" w:after="0" w:afterAutospacing="0"/>
              <w:jc w:val="center"/>
              <w:rPr>
                <w:rFonts w:eastAsia="宋体" w:cs="宋体"/>
                <w:szCs w:val="24"/>
                <w:lang w:eastAsia="zh-CN"/>
              </w:rPr>
            </w:pPr>
            <w:r>
              <w:rPr>
                <w:rFonts w:hint="eastAsia" w:eastAsia="宋体" w:cs="宋体"/>
                <w:bCs/>
                <w:kern w:val="2"/>
                <w:szCs w:val="24"/>
                <w:lang w:eastAsia="zh-CN"/>
              </w:rPr>
              <w:t>与项目有关的原有环境污染问题</w:t>
            </w:r>
          </w:p>
        </w:tc>
        <w:tc>
          <w:tcPr>
            <w:tcW w:w="9143" w:type="dxa"/>
            <w:vAlign w:val="center"/>
          </w:tcPr>
          <w:p w14:paraId="303E3317">
            <w:pPr>
              <w:pStyle w:val="53"/>
              <w:adjustRightInd/>
              <w:snapToGrid/>
              <w:spacing w:before="0" w:line="360" w:lineRule="auto"/>
              <w:ind w:left="0" w:firstLine="482" w:firstLineChars="200"/>
              <w:jc w:val="both"/>
              <w:rPr>
                <w:rFonts w:hint="default" w:ascii="Times New Roman" w:hAnsi="Times New Roman" w:eastAsia="宋体" w:cs="Times New Roman"/>
                <w:b/>
                <w:bCs/>
                <w:color w:val="auto"/>
                <w:sz w:val="24"/>
                <w:szCs w:val="24"/>
                <w:highlight w:val="none"/>
                <w:lang w:eastAsia="zh-CN"/>
              </w:rPr>
            </w:pPr>
            <w:bookmarkStart w:id="4" w:name="_Toc9845_WPSOffice_Level1"/>
            <w:r>
              <w:rPr>
                <w:rFonts w:hint="default" w:ascii="Times New Roman" w:hAnsi="Times New Roman" w:eastAsia="宋体" w:cs="Times New Roman"/>
                <w:b/>
                <w:bCs/>
                <w:color w:val="auto"/>
                <w:sz w:val="24"/>
                <w:szCs w:val="24"/>
                <w:highlight w:val="none"/>
                <w:lang w:eastAsia="zh-CN"/>
              </w:rPr>
              <w:t>1、现有工程环保手续履行情况</w:t>
            </w:r>
          </w:p>
          <w:p w14:paraId="564C7B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 w:val="24"/>
                <w:szCs w:val="24"/>
                <w:highlight w:val="none"/>
              </w:rPr>
              <w:t>现有工</w:t>
            </w:r>
            <w:r>
              <w:rPr>
                <w:rFonts w:hint="default" w:ascii="Times New Roman" w:hAnsi="Times New Roman" w:eastAsia="宋体" w:cs="Times New Roman"/>
                <w:color w:val="auto"/>
                <w:sz w:val="24"/>
                <w:szCs w:val="24"/>
                <w:highlight w:val="none"/>
                <w:lang w:eastAsia="zh-CN"/>
              </w:rPr>
              <w:t>程项</w:t>
            </w:r>
            <w:r>
              <w:rPr>
                <w:rFonts w:hint="default" w:ascii="Times New Roman" w:hAnsi="Times New Roman" w:eastAsia="宋体" w:cs="Times New Roman"/>
                <w:color w:val="auto"/>
                <w:sz w:val="24"/>
                <w:szCs w:val="24"/>
                <w:highlight w:val="none"/>
              </w:rPr>
              <w:t>目环评</w:t>
            </w:r>
            <w:r>
              <w:rPr>
                <w:rFonts w:hint="eastAsia" w:ascii="Times New Roman" w:hAnsi="Times New Roman" w:eastAsia="宋体" w:cs="Times New Roman"/>
                <w:color w:val="auto"/>
                <w:sz w:val="24"/>
                <w:szCs w:val="24"/>
                <w:highlight w:val="none"/>
                <w:lang w:val="en-US" w:eastAsia="zh-CN"/>
              </w:rPr>
              <w:t>已在</w:t>
            </w:r>
            <w:r>
              <w:rPr>
                <w:rFonts w:hint="default" w:ascii="Times New Roman" w:hAnsi="Times New Roman" w:eastAsia="宋体" w:cs="Times New Roman"/>
                <w:color w:val="auto"/>
                <w:sz w:val="24"/>
                <w:szCs w:val="24"/>
                <w:lang w:val="en-US" w:eastAsia="zh-CN"/>
              </w:rPr>
              <w:t>2023年12月11日</w:t>
            </w:r>
            <w:r>
              <w:rPr>
                <w:rFonts w:hint="eastAsia" w:ascii="Times New Roman" w:hAnsi="Times New Roman" w:eastAsia="宋体" w:cs="Times New Roman"/>
                <w:color w:val="auto"/>
                <w:sz w:val="24"/>
                <w:szCs w:val="24"/>
                <w:lang w:val="en-US" w:eastAsia="zh-CN"/>
              </w:rPr>
              <w:t>获得</w:t>
            </w:r>
            <w:r>
              <w:rPr>
                <w:rFonts w:hint="default" w:ascii="Times New Roman" w:hAnsi="Times New Roman" w:eastAsia="宋体" w:cs="Times New Roman"/>
                <w:color w:val="auto"/>
                <w:sz w:val="24"/>
                <w:szCs w:val="24"/>
                <w:lang w:val="en-US" w:eastAsia="zh-CN"/>
              </w:rPr>
              <w:t>宿州市埇桥区生态环境分局审</w:t>
            </w:r>
            <w:r>
              <w:rPr>
                <w:rFonts w:hint="default" w:ascii="Times New Roman" w:hAnsi="Times New Roman" w:eastAsia="宋体" w:cs="Times New Roman"/>
                <w:color w:val="auto"/>
                <w:sz w:val="24"/>
                <w:szCs w:val="24"/>
                <w:highlight w:val="none"/>
              </w:rPr>
              <w:t>批</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因喷漆及部分机加工设备未完成建设，项目在</w:t>
            </w:r>
            <w:r>
              <w:rPr>
                <w:rFonts w:hint="default" w:ascii="Times New Roman" w:hAnsi="Times New Roman" w:eastAsia="宋体" w:cs="Times New Roman"/>
                <w:color w:val="auto"/>
                <w:sz w:val="24"/>
                <w:szCs w:val="24"/>
                <w:lang w:val="en-US" w:eastAsia="zh-CN"/>
              </w:rPr>
              <w:t>2024年10月28日</w:t>
            </w:r>
            <w:r>
              <w:rPr>
                <w:rFonts w:hint="eastAsia" w:ascii="Times New Roman" w:hAnsi="Times New Roman" w:eastAsia="宋体" w:cs="Times New Roman"/>
                <w:color w:val="auto"/>
                <w:sz w:val="24"/>
                <w:szCs w:val="24"/>
                <w:lang w:val="en-US" w:eastAsia="zh-CN"/>
              </w:rPr>
              <w:t>进行阶段性自主验收，</w:t>
            </w:r>
            <w:r>
              <w:rPr>
                <w:rFonts w:hint="eastAsia" w:ascii="Times New Roman" w:hAnsi="Times New Roman" w:eastAsia="宋体" w:cs="Times New Roman"/>
                <w:color w:val="auto"/>
                <w:sz w:val="24"/>
                <w:szCs w:val="24"/>
                <w:highlight w:val="none"/>
                <w:lang w:val="en-US" w:eastAsia="zh-CN"/>
              </w:rPr>
              <w:t>具体</w:t>
            </w:r>
            <w:r>
              <w:rPr>
                <w:rFonts w:hint="default" w:ascii="Times New Roman" w:hAnsi="Times New Roman" w:eastAsia="宋体" w:cs="Times New Roman"/>
                <w:color w:val="auto"/>
                <w:sz w:val="24"/>
                <w:szCs w:val="24"/>
                <w:highlight w:val="none"/>
              </w:rPr>
              <w:t>情况如下表：</w:t>
            </w:r>
          </w:p>
          <w:p w14:paraId="5292FADD">
            <w:pPr>
              <w:spacing w:line="24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表2-</w:t>
            </w:r>
            <w:r>
              <w:rPr>
                <w:rFonts w:hint="eastAsia"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b/>
                <w:color w:val="auto"/>
                <w:sz w:val="24"/>
                <w:szCs w:val="24"/>
                <w:highlight w:val="none"/>
              </w:rPr>
              <w:t xml:space="preserve"> 现有工程环评及验收执行情况一览表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810"/>
              <w:gridCol w:w="3408"/>
              <w:gridCol w:w="2789"/>
            </w:tblGrid>
            <w:tr w14:paraId="5F8D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8" w:type="pct"/>
                  <w:noWrap w:val="0"/>
                  <w:vAlign w:val="center"/>
                </w:tcPr>
                <w:p w14:paraId="5F58A50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015" w:type="pct"/>
                  <w:noWrap w:val="0"/>
                  <w:vAlign w:val="center"/>
                </w:tcPr>
                <w:p w14:paraId="0DFE2A9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项目名称</w:t>
                  </w:r>
                </w:p>
              </w:tc>
              <w:tc>
                <w:tcPr>
                  <w:tcW w:w="1911" w:type="pct"/>
                  <w:noWrap w:val="0"/>
                  <w:vAlign w:val="center"/>
                </w:tcPr>
                <w:p w14:paraId="3FBCCBB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环评批复情况</w:t>
                  </w:r>
                </w:p>
              </w:tc>
              <w:tc>
                <w:tcPr>
                  <w:tcW w:w="1564" w:type="pct"/>
                  <w:noWrap w:val="0"/>
                  <w:vAlign w:val="center"/>
                </w:tcPr>
                <w:p w14:paraId="5B4BD2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验收执行情况</w:t>
                  </w:r>
                </w:p>
              </w:tc>
            </w:tr>
            <w:tr w14:paraId="20CF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08" w:type="pct"/>
                  <w:noWrap w:val="0"/>
                  <w:vAlign w:val="center"/>
                </w:tcPr>
                <w:p w14:paraId="5ADE4E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15" w:type="pct"/>
                  <w:noWrap w:val="0"/>
                  <w:vAlign w:val="center"/>
                </w:tcPr>
                <w:p w14:paraId="148538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安徽博钧机械设备有限公司年加工制造8000套工程机械金属构件项目</w:t>
                  </w:r>
                </w:p>
              </w:tc>
              <w:tc>
                <w:tcPr>
                  <w:tcW w:w="1911" w:type="pct"/>
                  <w:noWrap w:val="0"/>
                  <w:vAlign w:val="center"/>
                </w:tcPr>
                <w:p w14:paraId="670F5B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2023年12月11日取得了宿州市埇桥区生态环境分局批复（埇环建字〔2023〕72号）</w:t>
                  </w:r>
                </w:p>
              </w:tc>
              <w:tc>
                <w:tcPr>
                  <w:tcW w:w="1564" w:type="pct"/>
                  <w:noWrap w:val="0"/>
                  <w:vAlign w:val="center"/>
                </w:tcPr>
                <w:p w14:paraId="578B668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2024年10月28日，自主验收（阶段性）</w:t>
                  </w:r>
                </w:p>
              </w:tc>
            </w:tr>
          </w:tbl>
          <w:p w14:paraId="40221947">
            <w:pPr>
              <w:pStyle w:val="53"/>
              <w:adjustRightInd/>
              <w:snapToGrid/>
              <w:spacing w:before="0" w:line="360" w:lineRule="auto"/>
              <w:ind w:left="0" w:firstLine="480" w:firstLineChars="200"/>
              <w:jc w:val="both"/>
              <w:rPr>
                <w:rFonts w:hint="default" w:ascii="Times New Roman" w:hAnsi="Times New Roman" w:eastAsia="宋体" w:cs="Times New Roman"/>
                <w:b w:val="0"/>
                <w:bCs w:val="0"/>
                <w:color w:val="auto"/>
                <w:sz w:val="24"/>
                <w:szCs w:val="24"/>
                <w:highlight w:val="none"/>
                <w:shd w:val="clear" w:color="auto" w:fill="FFFFFF"/>
              </w:rPr>
            </w:pPr>
            <w:r>
              <w:rPr>
                <w:rFonts w:hint="default" w:ascii="Times New Roman" w:hAnsi="Times New Roman" w:eastAsia="宋体" w:cs="Times New Roman"/>
                <w:b w:val="0"/>
                <w:bCs w:val="0"/>
                <w:color w:val="auto"/>
                <w:sz w:val="24"/>
                <w:szCs w:val="24"/>
                <w:highlight w:val="none"/>
              </w:rPr>
              <w:t>排污许可证申领情况：</w:t>
            </w:r>
            <w:r>
              <w:rPr>
                <w:rFonts w:hint="default" w:ascii="Times New Roman" w:hAnsi="Times New Roman" w:eastAsia="宋体" w:cs="Times New Roman"/>
                <w:b w:val="0"/>
                <w:bCs w:val="0"/>
                <w:color w:val="auto"/>
                <w:sz w:val="24"/>
                <w:szCs w:val="24"/>
                <w:highlight w:val="none"/>
                <w:lang w:eastAsia="zh-CN"/>
              </w:rPr>
              <w:t>安徽博钧机械设备有限公司</w:t>
            </w:r>
            <w:r>
              <w:rPr>
                <w:rFonts w:hint="default" w:ascii="Times New Roman" w:hAnsi="Times New Roman" w:eastAsia="宋体" w:cs="Times New Roman"/>
                <w:b w:val="0"/>
                <w:bCs w:val="0"/>
                <w:color w:val="auto"/>
                <w:sz w:val="24"/>
                <w:szCs w:val="24"/>
                <w:highlight w:val="none"/>
                <w:lang w:val="en-US" w:eastAsia="zh-CN"/>
              </w:rPr>
              <w:t>进行了排污登记，</w:t>
            </w:r>
            <w:r>
              <w:rPr>
                <w:rFonts w:hint="default" w:ascii="Times New Roman" w:hAnsi="Times New Roman" w:eastAsia="宋体" w:cs="Times New Roman"/>
                <w:b w:val="0"/>
                <w:bCs w:val="0"/>
                <w:color w:val="auto"/>
                <w:sz w:val="24"/>
                <w:szCs w:val="24"/>
                <w:highlight w:val="none"/>
                <w:lang w:eastAsia="zh-CN"/>
              </w:rPr>
              <w:t>排污许可证</w:t>
            </w:r>
            <w:r>
              <w:rPr>
                <w:rFonts w:hint="default" w:ascii="Times New Roman" w:hAnsi="Times New Roman" w:eastAsia="宋体" w:cs="Times New Roman"/>
                <w:b w:val="0"/>
                <w:bCs w:val="0"/>
                <w:color w:val="auto"/>
                <w:sz w:val="24"/>
                <w:szCs w:val="24"/>
                <w:highlight w:val="none"/>
              </w:rPr>
              <w:t>编号：</w:t>
            </w:r>
            <w:r>
              <w:rPr>
                <w:rFonts w:hint="default" w:ascii="Times New Roman" w:hAnsi="Times New Roman" w:eastAsia="宋体" w:cs="Times New Roman"/>
                <w:b w:val="0"/>
                <w:bCs w:val="0"/>
                <w:color w:val="auto"/>
                <w:sz w:val="24"/>
                <w:szCs w:val="24"/>
                <w:highlight w:val="none"/>
                <w:shd w:val="clear" w:color="auto" w:fill="FFFFFF"/>
                <w:lang w:eastAsia="zh-CN"/>
              </w:rPr>
              <w:t>91341302MA8R01Q042001</w:t>
            </w:r>
            <w:r>
              <w:rPr>
                <w:rFonts w:hint="default" w:ascii="Times New Roman" w:hAnsi="Times New Roman" w:eastAsia="宋体" w:cs="Times New Roman"/>
                <w:b w:val="0"/>
                <w:bCs w:val="0"/>
                <w:color w:val="auto"/>
                <w:sz w:val="24"/>
                <w:szCs w:val="24"/>
                <w:highlight w:val="none"/>
                <w:shd w:val="clear" w:color="auto" w:fill="FFFFFF"/>
                <w:lang w:val="en-US" w:eastAsia="zh-CN"/>
              </w:rPr>
              <w:t>Z</w:t>
            </w:r>
            <w:r>
              <w:rPr>
                <w:rFonts w:hint="default" w:ascii="Times New Roman" w:hAnsi="Times New Roman" w:eastAsia="宋体" w:cs="Times New Roman"/>
                <w:b w:val="0"/>
                <w:bCs w:val="0"/>
                <w:color w:val="auto"/>
                <w:sz w:val="24"/>
                <w:szCs w:val="24"/>
                <w:highlight w:val="none"/>
                <w:shd w:val="clear" w:color="auto" w:fill="FFFFFF"/>
                <w:lang w:eastAsia="zh-CN"/>
              </w:rPr>
              <w:t>，</w:t>
            </w:r>
            <w:r>
              <w:rPr>
                <w:rFonts w:hint="default" w:ascii="Times New Roman" w:hAnsi="Times New Roman" w:eastAsia="宋体" w:cs="Times New Roman"/>
                <w:b w:val="0"/>
                <w:bCs w:val="0"/>
                <w:color w:val="auto"/>
                <w:sz w:val="24"/>
                <w:szCs w:val="24"/>
                <w:highlight w:val="none"/>
                <w:shd w:val="clear" w:color="auto" w:fill="FFFFFF"/>
                <w:lang w:val="en-US" w:eastAsia="zh-CN"/>
              </w:rPr>
              <w:t>有效期：</w:t>
            </w:r>
            <w:r>
              <w:rPr>
                <w:rFonts w:hint="default" w:ascii="Times New Roman" w:hAnsi="Times New Roman" w:eastAsia="宋体" w:cs="Times New Roman"/>
                <w:b w:val="0"/>
                <w:bCs w:val="0"/>
                <w:color w:val="auto"/>
                <w:sz w:val="24"/>
                <w:szCs w:val="24"/>
                <w:highlight w:val="none"/>
              </w:rPr>
              <w:t>202</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14日-</w:t>
            </w:r>
            <w:r>
              <w:rPr>
                <w:rFonts w:hint="default" w:ascii="Times New Roman" w:hAnsi="Times New Roman" w:eastAsia="宋体" w:cs="Times New Roman"/>
                <w:b w:val="0"/>
                <w:bCs w:val="0"/>
                <w:color w:val="auto"/>
                <w:sz w:val="24"/>
                <w:szCs w:val="24"/>
                <w:highlight w:val="none"/>
              </w:rPr>
              <w:t>202</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13日</w:t>
            </w:r>
            <w:r>
              <w:rPr>
                <w:rFonts w:hint="default" w:ascii="Times New Roman" w:hAnsi="Times New Roman" w:eastAsia="宋体" w:cs="Times New Roman"/>
                <w:b w:val="0"/>
                <w:bCs w:val="0"/>
                <w:color w:val="auto"/>
                <w:sz w:val="24"/>
                <w:szCs w:val="24"/>
                <w:highlight w:val="none"/>
                <w:shd w:val="clear" w:color="auto" w:fill="FFFFFF"/>
              </w:rPr>
              <w:t>。</w:t>
            </w:r>
          </w:p>
          <w:p w14:paraId="4BF49010">
            <w:pPr>
              <w:pStyle w:val="53"/>
              <w:adjustRightInd/>
              <w:snapToGrid/>
              <w:spacing w:before="0" w:line="360" w:lineRule="auto"/>
              <w:ind w:left="0"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2、</w:t>
            </w:r>
            <w:r>
              <w:rPr>
                <w:rFonts w:hint="eastAsia" w:ascii="Times New Roman" w:hAnsi="Times New Roman" w:eastAsia="宋体" w:cs="Times New Roman"/>
                <w:b/>
                <w:bCs/>
                <w:color w:val="auto"/>
                <w:sz w:val="24"/>
                <w:szCs w:val="24"/>
                <w:highlight w:val="none"/>
                <w:lang w:val="en-US" w:eastAsia="zh-CN"/>
              </w:rPr>
              <w:t>原</w:t>
            </w:r>
            <w:r>
              <w:rPr>
                <w:rFonts w:hint="default" w:ascii="Times New Roman" w:hAnsi="Times New Roman" w:eastAsia="宋体" w:cs="Times New Roman"/>
                <w:b/>
                <w:bCs/>
                <w:color w:val="auto"/>
                <w:sz w:val="24"/>
                <w:szCs w:val="24"/>
                <w:highlight w:val="none"/>
                <w:lang w:val="en-US" w:eastAsia="zh-CN"/>
              </w:rPr>
              <w:t>项目污染物实际排放量</w:t>
            </w:r>
          </w:p>
          <w:p w14:paraId="489B42BA">
            <w:pPr>
              <w:pStyle w:val="53"/>
              <w:adjustRightInd/>
              <w:snapToGrid/>
              <w:spacing w:before="0" w:line="360" w:lineRule="auto"/>
              <w:ind w:lef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（1）废气</w:t>
            </w:r>
          </w:p>
          <w:p w14:paraId="27E9A146">
            <w:pPr>
              <w:spacing w:line="360" w:lineRule="auto"/>
              <w:ind w:firstLine="480" w:firstLineChars="200"/>
              <w:rPr>
                <w:rFonts w:hint="default" w:ascii="Times New Roman" w:hAnsi="Times New Roman" w:eastAsia="宋体" w:cs="Times New Roman"/>
                <w:color w:val="FF0000"/>
                <w:kern w:val="0"/>
                <w:sz w:val="24"/>
                <w:szCs w:val="24"/>
              </w:rPr>
            </w:pPr>
            <w:bookmarkStart w:id="5" w:name="_Toc3772"/>
            <w:bookmarkStart w:id="6" w:name="_Toc27276"/>
            <w:bookmarkStart w:id="7" w:name="_Toc23125"/>
            <w:bookmarkStart w:id="8" w:name="_Toc32458_WPSOffice_Level2"/>
            <w:bookmarkStart w:id="9" w:name="_Toc29094"/>
            <w:bookmarkStart w:id="10" w:name="_Toc32380"/>
            <w:bookmarkStart w:id="11" w:name="_Toc23356"/>
            <w:bookmarkStart w:id="12" w:name="_Toc22153"/>
            <w:bookmarkStart w:id="13" w:name="_Toc25497"/>
            <w:bookmarkStart w:id="14" w:name="_Toc9015"/>
            <w:bookmarkStart w:id="15" w:name="_Toc28952"/>
            <w:bookmarkStart w:id="16" w:name="_Toc13631"/>
            <w:r>
              <w:rPr>
                <w:rFonts w:hint="eastAsia" w:ascii="Times New Roman" w:hAnsi="Times New Roman" w:eastAsia="宋体" w:cs="Times New Roman"/>
                <w:kern w:val="0"/>
                <w:sz w:val="24"/>
                <w:szCs w:val="24"/>
                <w:lang w:val="en-US" w:eastAsia="zh-CN"/>
              </w:rPr>
              <w:t>原</w:t>
            </w:r>
            <w:r>
              <w:rPr>
                <w:rFonts w:hint="default" w:ascii="Times New Roman" w:hAnsi="Times New Roman" w:eastAsia="宋体" w:cs="Times New Roman"/>
                <w:kern w:val="0"/>
                <w:sz w:val="24"/>
                <w:szCs w:val="24"/>
              </w:rPr>
              <w:t>项目营运期废气主要为抛丸粉尘、电泳涂装有机废气、电泳烘干有机废气、喷塑粉尘、热固化有机废气、液化石油气燃烧废气、厂区污水设施恶臭。</w:t>
            </w:r>
          </w:p>
          <w:p w14:paraId="7792BBB3">
            <w:pPr>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kern w:val="0"/>
                <w:sz w:val="24"/>
                <w:szCs w:val="24"/>
              </w:rPr>
              <w:t>抛丸机配套布袋除尘装置，对抛丸粉尘密闭负压收集后经布袋除尘器处理后由15m高DA001排气筒排放；电泳槽设置侧吸负压收集，电泳烘干房废气负压收集，共同引入一套过滤棉+二级活性炭处理后经1根15m高DA002排气筒排放；喷塑通过封闭喷塑室采用负压收集引至滤芯除尘器处理，热固化烘道废气经烘道进出口集气装置负压收集引至一套过滤棉+二级活性炭装置处理，共用1根15m高DA005排气筒排放；一体化污水处理设备排换气口无组织排放，加强污水处理站周边绿化。</w:t>
            </w:r>
            <w:r>
              <w:rPr>
                <w:rFonts w:hint="default" w:ascii="Times New Roman" w:hAnsi="Times New Roman" w:eastAsia="宋体" w:cs="Times New Roman"/>
                <w:sz w:val="24"/>
                <w:szCs w:val="24"/>
              </w:rPr>
              <w:t>本项目废气监测结果如下</w:t>
            </w:r>
            <w:r>
              <w:rPr>
                <w:rFonts w:hint="default" w:ascii="Times New Roman" w:hAnsi="Times New Roman" w:eastAsia="宋体" w:cs="Times New Roman"/>
                <w:sz w:val="24"/>
                <w:szCs w:val="24"/>
                <w:lang w:eastAsia="zh-CN"/>
              </w:rPr>
              <w:t>。</w:t>
            </w:r>
          </w:p>
          <w:p w14:paraId="417985C7">
            <w:pPr>
              <w:spacing w:line="24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10</w:t>
            </w:r>
            <w:r>
              <w:rPr>
                <w:rFonts w:hint="default" w:ascii="Times New Roman" w:hAnsi="Times New Roman" w:eastAsia="宋体" w:cs="Times New Roman"/>
                <w:b/>
                <w:sz w:val="24"/>
                <w:szCs w:val="24"/>
              </w:rPr>
              <w:t xml:space="preserve"> 有组织废气检测结果一览表1（2024.07.22）</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138"/>
              <w:gridCol w:w="1548"/>
              <w:gridCol w:w="1234"/>
              <w:gridCol w:w="1249"/>
              <w:gridCol w:w="1249"/>
              <w:gridCol w:w="1258"/>
            </w:tblGrid>
            <w:tr w14:paraId="2DA4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Header/>
                <w:jc w:val="center"/>
              </w:trPr>
              <w:tc>
                <w:tcPr>
                  <w:tcW w:w="691" w:type="pct"/>
                  <w:vMerge w:val="restart"/>
                  <w:noWrap w:val="0"/>
                  <w:vAlign w:val="center"/>
                </w:tcPr>
                <w:p w14:paraId="4CA563A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bookmarkStart w:id="17" w:name="_Hlk176265380"/>
                  <w:r>
                    <w:rPr>
                      <w:rFonts w:hint="default" w:ascii="Times New Roman" w:hAnsi="Times New Roman" w:eastAsia="宋体" w:cs="Times New Roman"/>
                      <w:b/>
                      <w:bCs/>
                      <w:color w:val="auto"/>
                      <w:sz w:val="21"/>
                      <w:szCs w:val="21"/>
                      <w:lang w:val="en-US" w:eastAsia="zh-CN"/>
                    </w:rPr>
                    <w:t>污染源名称</w:t>
                  </w:r>
                </w:p>
              </w:tc>
              <w:tc>
                <w:tcPr>
                  <w:tcW w:w="639" w:type="pct"/>
                  <w:vMerge w:val="restart"/>
                  <w:noWrap w:val="0"/>
                  <w:vAlign w:val="center"/>
                </w:tcPr>
                <w:p w14:paraId="018F294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检测因子</w:t>
                  </w:r>
                </w:p>
              </w:tc>
              <w:tc>
                <w:tcPr>
                  <w:tcW w:w="869" w:type="pct"/>
                  <w:vMerge w:val="restart"/>
                  <w:noWrap w:val="0"/>
                  <w:vAlign w:val="center"/>
                </w:tcPr>
                <w:p w14:paraId="3914A8E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693" w:type="pct"/>
                  <w:vMerge w:val="restart"/>
                  <w:noWrap w:val="0"/>
                  <w:vAlign w:val="center"/>
                </w:tcPr>
                <w:p w14:paraId="532A3FD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计量单位</w:t>
                  </w:r>
                </w:p>
              </w:tc>
              <w:tc>
                <w:tcPr>
                  <w:tcW w:w="2109" w:type="pct"/>
                  <w:gridSpan w:val="3"/>
                  <w:noWrap w:val="0"/>
                  <w:vAlign w:val="center"/>
                </w:tcPr>
                <w:p w14:paraId="3A4A804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检测结果</w:t>
                  </w:r>
                </w:p>
              </w:tc>
            </w:tr>
            <w:tr w14:paraId="0A4C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1" w:type="pct"/>
                  <w:vMerge w:val="continue"/>
                  <w:noWrap w:val="0"/>
                  <w:vAlign w:val="center"/>
                </w:tcPr>
                <w:p w14:paraId="76D4DA7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639" w:type="pct"/>
                  <w:vMerge w:val="continue"/>
                  <w:noWrap w:val="0"/>
                  <w:vAlign w:val="center"/>
                </w:tcPr>
                <w:p w14:paraId="68BF0D8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869" w:type="pct"/>
                  <w:vMerge w:val="continue"/>
                  <w:noWrap w:val="0"/>
                  <w:vAlign w:val="center"/>
                </w:tcPr>
                <w:p w14:paraId="1B78654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693" w:type="pct"/>
                  <w:vMerge w:val="continue"/>
                  <w:noWrap w:val="0"/>
                  <w:vAlign w:val="center"/>
                </w:tcPr>
                <w:p w14:paraId="20243D3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701" w:type="pct"/>
                  <w:noWrap w:val="0"/>
                  <w:vAlign w:val="center"/>
                </w:tcPr>
                <w:p w14:paraId="73EE89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1次值</w:t>
                  </w:r>
                </w:p>
              </w:tc>
              <w:tc>
                <w:tcPr>
                  <w:tcW w:w="701" w:type="pct"/>
                  <w:noWrap w:val="0"/>
                  <w:vAlign w:val="center"/>
                </w:tcPr>
                <w:p w14:paraId="05441C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2次值</w:t>
                  </w:r>
                </w:p>
              </w:tc>
              <w:tc>
                <w:tcPr>
                  <w:tcW w:w="706" w:type="pct"/>
                  <w:noWrap w:val="0"/>
                  <w:vAlign w:val="center"/>
                </w:tcPr>
                <w:p w14:paraId="52DBA74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3次值</w:t>
                  </w:r>
                </w:p>
              </w:tc>
            </w:tr>
            <w:tr w14:paraId="2F55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restart"/>
                  <w:noWrap w:val="0"/>
                  <w:vAlign w:val="center"/>
                </w:tcPr>
                <w:p w14:paraId="5EC4E17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抛丸废气排放口DA001</w:t>
                  </w:r>
                </w:p>
              </w:tc>
              <w:tc>
                <w:tcPr>
                  <w:tcW w:w="639" w:type="pct"/>
                  <w:vMerge w:val="restart"/>
                  <w:noWrap w:val="0"/>
                  <w:vAlign w:val="center"/>
                </w:tcPr>
                <w:p w14:paraId="5F6C60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69" w:type="pct"/>
                  <w:noWrap w:val="0"/>
                  <w:vAlign w:val="center"/>
                </w:tcPr>
                <w:p w14:paraId="3B4B3D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noWrap w:val="0"/>
                  <w:vAlign w:val="center"/>
                </w:tcPr>
                <w:p w14:paraId="5F50646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noWrap w:val="0"/>
                  <w:vAlign w:val="center"/>
                </w:tcPr>
                <w:p w14:paraId="1F3F618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2856</w:t>
                  </w:r>
                </w:p>
              </w:tc>
              <w:tc>
                <w:tcPr>
                  <w:tcW w:w="701" w:type="pct"/>
                  <w:noWrap w:val="0"/>
                  <w:vAlign w:val="center"/>
                </w:tcPr>
                <w:p w14:paraId="69AE879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3132</w:t>
                  </w:r>
                </w:p>
              </w:tc>
              <w:tc>
                <w:tcPr>
                  <w:tcW w:w="706" w:type="pct"/>
                  <w:noWrap w:val="0"/>
                  <w:vAlign w:val="center"/>
                </w:tcPr>
                <w:p w14:paraId="52EAE7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3214</w:t>
                  </w:r>
                </w:p>
              </w:tc>
            </w:tr>
            <w:tr w14:paraId="4F4F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773AB4D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D1910F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FDBCF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33615C2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30039C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w:t>
                  </w:r>
                </w:p>
              </w:tc>
              <w:tc>
                <w:tcPr>
                  <w:tcW w:w="701" w:type="pct"/>
                  <w:noWrap w:val="0"/>
                  <w:vAlign w:val="center"/>
                </w:tcPr>
                <w:p w14:paraId="33EAB0A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706" w:type="pct"/>
                  <w:noWrap w:val="0"/>
                  <w:vAlign w:val="center"/>
                </w:tcPr>
                <w:p w14:paraId="2FB5E1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r>
            <w:tr w14:paraId="092F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42CC12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A1D43F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CB7998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31DBCB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029DB4A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0.140</w:t>
                  </w:r>
                </w:p>
              </w:tc>
              <w:tc>
                <w:tcPr>
                  <w:tcW w:w="701" w:type="pct"/>
                  <w:noWrap w:val="0"/>
                  <w:vAlign w:val="center"/>
                </w:tcPr>
                <w:p w14:paraId="1C6DA8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0.179</w:t>
                  </w:r>
                </w:p>
              </w:tc>
              <w:tc>
                <w:tcPr>
                  <w:tcW w:w="706" w:type="pct"/>
                  <w:noWrap w:val="0"/>
                  <w:vAlign w:val="center"/>
                </w:tcPr>
                <w:p w14:paraId="57046F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0.138</w:t>
                  </w:r>
                </w:p>
              </w:tc>
            </w:tr>
            <w:tr w14:paraId="2E19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restart"/>
                  <w:noWrap w:val="0"/>
                  <w:vAlign w:val="center"/>
                </w:tcPr>
                <w:p w14:paraId="5214543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电泳及烘干、烘干用液化石油气燃烧废气废气排放口DA002</w:t>
                  </w:r>
                </w:p>
              </w:tc>
              <w:tc>
                <w:tcPr>
                  <w:tcW w:w="639" w:type="pct"/>
                  <w:vMerge w:val="restart"/>
                  <w:noWrap w:val="0"/>
                  <w:vAlign w:val="center"/>
                </w:tcPr>
                <w:p w14:paraId="76495B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69" w:type="pct"/>
                  <w:noWrap w:val="0"/>
                  <w:vAlign w:val="center"/>
                </w:tcPr>
                <w:p w14:paraId="1CCEC3E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含氧量</w:t>
                  </w:r>
                </w:p>
              </w:tc>
              <w:tc>
                <w:tcPr>
                  <w:tcW w:w="693" w:type="pct"/>
                  <w:noWrap w:val="0"/>
                  <w:vAlign w:val="center"/>
                </w:tcPr>
                <w:p w14:paraId="54F5CD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743CBF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c>
                <w:tcPr>
                  <w:tcW w:w="701" w:type="pct"/>
                  <w:noWrap w:val="0"/>
                  <w:vAlign w:val="center"/>
                </w:tcPr>
                <w:p w14:paraId="113C16D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19.0</w:t>
                  </w:r>
                </w:p>
              </w:tc>
              <w:tc>
                <w:tcPr>
                  <w:tcW w:w="706" w:type="pct"/>
                  <w:noWrap w:val="0"/>
                  <w:vAlign w:val="center"/>
                </w:tcPr>
                <w:p w14:paraId="0B827D8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18.5</w:t>
                  </w:r>
                </w:p>
              </w:tc>
            </w:tr>
            <w:tr w14:paraId="3DB9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30E9218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95CC3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D3C974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noWrap w:val="0"/>
                  <w:vAlign w:val="center"/>
                </w:tcPr>
                <w:p w14:paraId="3C2114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noWrap w:val="0"/>
                  <w:vAlign w:val="center"/>
                </w:tcPr>
                <w:p w14:paraId="672EE01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5064</w:t>
                  </w:r>
                </w:p>
              </w:tc>
              <w:tc>
                <w:tcPr>
                  <w:tcW w:w="701" w:type="pct"/>
                  <w:noWrap w:val="0"/>
                  <w:vAlign w:val="center"/>
                </w:tcPr>
                <w:p w14:paraId="19D8421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5330</w:t>
                  </w:r>
                </w:p>
              </w:tc>
              <w:tc>
                <w:tcPr>
                  <w:tcW w:w="706" w:type="pct"/>
                  <w:noWrap w:val="0"/>
                  <w:vAlign w:val="center"/>
                </w:tcPr>
                <w:p w14:paraId="50264D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5095</w:t>
                  </w:r>
                </w:p>
              </w:tc>
            </w:tr>
            <w:tr w14:paraId="5003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64DFCA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0EF50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F1ECE6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3D9FD4C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36832A4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701" w:type="pct"/>
                  <w:noWrap w:val="0"/>
                  <w:vAlign w:val="center"/>
                </w:tcPr>
                <w:p w14:paraId="7127EE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706" w:type="pct"/>
                  <w:noWrap w:val="0"/>
                  <w:vAlign w:val="center"/>
                </w:tcPr>
                <w:p w14:paraId="30CB42A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r>
            <w:tr w14:paraId="1D33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5AE0A8B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33FC6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DDC51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6A0FBED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1EBD734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701" w:type="pct"/>
                  <w:noWrap w:val="0"/>
                  <w:vAlign w:val="center"/>
                </w:tcPr>
                <w:p w14:paraId="632CEE1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706" w:type="pct"/>
                  <w:noWrap w:val="0"/>
                  <w:vAlign w:val="center"/>
                </w:tcPr>
                <w:p w14:paraId="4E6CA33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r>
            <w:tr w14:paraId="6288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14F601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34BC58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398B20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34A6B54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702CCDA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w:t>
                  </w:r>
                </w:p>
              </w:tc>
              <w:tc>
                <w:tcPr>
                  <w:tcW w:w="701" w:type="pct"/>
                  <w:noWrap w:val="0"/>
                  <w:vAlign w:val="center"/>
                </w:tcPr>
                <w:p w14:paraId="58CD742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c>
                <w:tcPr>
                  <w:tcW w:w="706" w:type="pct"/>
                  <w:noWrap w:val="0"/>
                  <w:vAlign w:val="center"/>
                </w:tcPr>
                <w:p w14:paraId="25947B2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r>
            <w:tr w14:paraId="61CD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shd w:val="clear" w:color="auto" w:fill="auto"/>
                  <w:noWrap w:val="0"/>
                  <w:vAlign w:val="center"/>
                </w:tcPr>
                <w:p w14:paraId="532CF26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3E22B0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869" w:type="pct"/>
                  <w:shd w:val="clear" w:color="auto" w:fill="auto"/>
                  <w:noWrap w:val="0"/>
                  <w:vAlign w:val="center"/>
                </w:tcPr>
                <w:p w14:paraId="0BA0F4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5DBF26D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676243E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5064</w:t>
                  </w:r>
                </w:p>
              </w:tc>
              <w:tc>
                <w:tcPr>
                  <w:tcW w:w="701" w:type="pct"/>
                  <w:shd w:val="clear" w:color="auto" w:fill="auto"/>
                  <w:noWrap w:val="0"/>
                  <w:vAlign w:val="center"/>
                </w:tcPr>
                <w:p w14:paraId="1222894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5330</w:t>
                  </w:r>
                </w:p>
              </w:tc>
              <w:tc>
                <w:tcPr>
                  <w:tcW w:w="706" w:type="pct"/>
                  <w:shd w:val="clear" w:color="auto" w:fill="auto"/>
                  <w:noWrap w:val="0"/>
                  <w:vAlign w:val="center"/>
                </w:tcPr>
                <w:p w14:paraId="36ED3D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5095</w:t>
                  </w:r>
                </w:p>
              </w:tc>
            </w:tr>
            <w:tr w14:paraId="2956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6F980E1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DD174F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CEF41E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2BABC66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7C682C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272111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77350B9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5C23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1666C2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319F191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A4CAE6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2D27D0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7BA78B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5B05E2D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38935A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7FF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73578FF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2D500F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28F50F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2F2A4FE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2D20E9B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6D3088A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7206254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D44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shd w:val="clear" w:color="auto" w:fill="auto"/>
                  <w:noWrap w:val="0"/>
                  <w:vAlign w:val="center"/>
                </w:tcPr>
                <w:p w14:paraId="4B70449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728267A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869" w:type="pct"/>
                  <w:shd w:val="clear" w:color="auto" w:fill="auto"/>
                  <w:noWrap w:val="0"/>
                  <w:vAlign w:val="center"/>
                </w:tcPr>
                <w:p w14:paraId="05BB584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70A3EE6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0E4EFD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5064</w:t>
                  </w:r>
                </w:p>
              </w:tc>
              <w:tc>
                <w:tcPr>
                  <w:tcW w:w="701" w:type="pct"/>
                  <w:shd w:val="clear" w:color="auto" w:fill="auto"/>
                  <w:noWrap w:val="0"/>
                  <w:vAlign w:val="center"/>
                </w:tcPr>
                <w:p w14:paraId="0F5C1BF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5330</w:t>
                  </w:r>
                </w:p>
              </w:tc>
              <w:tc>
                <w:tcPr>
                  <w:tcW w:w="706" w:type="pct"/>
                  <w:shd w:val="clear" w:color="auto" w:fill="auto"/>
                  <w:noWrap w:val="0"/>
                  <w:vAlign w:val="center"/>
                </w:tcPr>
                <w:p w14:paraId="618509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5095</w:t>
                  </w:r>
                </w:p>
              </w:tc>
            </w:tr>
            <w:tr w14:paraId="5574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61795C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21A975B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961DF3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1FAEA11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3698F96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5789BA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7046F36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1090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132D6E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265321F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BE7AAA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4E8A032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60F0EFE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33284FF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782E380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87E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767A2E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E5D6C1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3AE3D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57FDC8B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37AD110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4C07C4D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359170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3DC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shd w:val="clear" w:color="auto" w:fill="auto"/>
                  <w:noWrap w:val="0"/>
                  <w:vAlign w:val="center"/>
                </w:tcPr>
                <w:p w14:paraId="0957DC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38DF76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869" w:type="pct"/>
                  <w:shd w:val="clear" w:color="auto" w:fill="auto"/>
                  <w:noWrap w:val="0"/>
                  <w:vAlign w:val="center"/>
                </w:tcPr>
                <w:p w14:paraId="74F366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4B30237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2C5C233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5064</w:t>
                  </w:r>
                </w:p>
              </w:tc>
              <w:tc>
                <w:tcPr>
                  <w:tcW w:w="701" w:type="pct"/>
                  <w:shd w:val="clear" w:color="auto" w:fill="auto"/>
                  <w:noWrap w:val="0"/>
                  <w:vAlign w:val="center"/>
                </w:tcPr>
                <w:p w14:paraId="4CB7E5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5330</w:t>
                  </w:r>
                </w:p>
              </w:tc>
              <w:tc>
                <w:tcPr>
                  <w:tcW w:w="706" w:type="pct"/>
                  <w:shd w:val="clear" w:color="auto" w:fill="auto"/>
                  <w:noWrap w:val="0"/>
                  <w:vAlign w:val="center"/>
                </w:tcPr>
                <w:p w14:paraId="060017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5095</w:t>
                  </w:r>
                </w:p>
              </w:tc>
            </w:tr>
            <w:tr w14:paraId="7A6F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135A46D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002D4E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FFD400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21FF76D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32B540C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7.46</w:t>
                  </w:r>
                </w:p>
              </w:tc>
              <w:tc>
                <w:tcPr>
                  <w:tcW w:w="701" w:type="pct"/>
                  <w:noWrap w:val="0"/>
                  <w:vAlign w:val="center"/>
                </w:tcPr>
                <w:p w14:paraId="1E8C4FF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6.85</w:t>
                  </w:r>
                </w:p>
              </w:tc>
              <w:tc>
                <w:tcPr>
                  <w:tcW w:w="706" w:type="pct"/>
                  <w:noWrap w:val="0"/>
                  <w:vAlign w:val="center"/>
                </w:tcPr>
                <w:p w14:paraId="4E615BF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7.13</w:t>
                  </w:r>
                </w:p>
              </w:tc>
            </w:tr>
            <w:tr w14:paraId="1DF3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691" w:type="pct"/>
                  <w:vMerge w:val="continue"/>
                  <w:noWrap w:val="0"/>
                  <w:vAlign w:val="center"/>
                </w:tcPr>
                <w:p w14:paraId="21B4D63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27BF894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3D9DDE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43DA212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2393DEB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0.038</w:t>
                  </w:r>
                </w:p>
              </w:tc>
              <w:tc>
                <w:tcPr>
                  <w:tcW w:w="701" w:type="pct"/>
                  <w:noWrap w:val="0"/>
                  <w:vAlign w:val="center"/>
                </w:tcPr>
                <w:p w14:paraId="13F2F21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0.037</w:t>
                  </w:r>
                </w:p>
              </w:tc>
              <w:tc>
                <w:tcPr>
                  <w:tcW w:w="706" w:type="pct"/>
                  <w:noWrap w:val="0"/>
                  <w:vAlign w:val="center"/>
                </w:tcPr>
                <w:p w14:paraId="6135A5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0.036</w:t>
                  </w:r>
                </w:p>
              </w:tc>
            </w:tr>
            <w:tr w14:paraId="3A03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restart"/>
                  <w:noWrap w:val="0"/>
                  <w:vAlign w:val="center"/>
                </w:tcPr>
                <w:p w14:paraId="412F0D5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喷塑及热固化废气排放口DA005</w:t>
                  </w:r>
                </w:p>
              </w:tc>
              <w:tc>
                <w:tcPr>
                  <w:tcW w:w="639" w:type="pct"/>
                  <w:vMerge w:val="restart"/>
                  <w:noWrap w:val="0"/>
                  <w:vAlign w:val="center"/>
                </w:tcPr>
                <w:p w14:paraId="07CC58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69" w:type="pct"/>
                  <w:noWrap w:val="0"/>
                  <w:vAlign w:val="center"/>
                </w:tcPr>
                <w:p w14:paraId="6EF3C74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含氧量</w:t>
                  </w:r>
                </w:p>
              </w:tc>
              <w:tc>
                <w:tcPr>
                  <w:tcW w:w="693" w:type="pct"/>
                  <w:noWrap w:val="0"/>
                  <w:vAlign w:val="center"/>
                </w:tcPr>
                <w:p w14:paraId="41EA42F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35A93EF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w:t>
                  </w:r>
                </w:p>
              </w:tc>
              <w:tc>
                <w:tcPr>
                  <w:tcW w:w="701" w:type="pct"/>
                  <w:noWrap w:val="0"/>
                  <w:vAlign w:val="center"/>
                </w:tcPr>
                <w:p w14:paraId="10C6A6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w:t>
                  </w:r>
                </w:p>
              </w:tc>
              <w:tc>
                <w:tcPr>
                  <w:tcW w:w="706" w:type="pct"/>
                  <w:noWrap w:val="0"/>
                  <w:vAlign w:val="center"/>
                </w:tcPr>
                <w:p w14:paraId="5DE615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19.3</w:t>
                  </w:r>
                </w:p>
              </w:tc>
            </w:tr>
            <w:tr w14:paraId="7CF9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1D88FAF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3D4F270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BBD355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noWrap w:val="0"/>
                  <w:vAlign w:val="center"/>
                </w:tcPr>
                <w:p w14:paraId="59B1108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noWrap w:val="0"/>
                  <w:vAlign w:val="center"/>
                </w:tcPr>
                <w:p w14:paraId="0AD6C8F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5931</w:t>
                  </w:r>
                </w:p>
              </w:tc>
              <w:tc>
                <w:tcPr>
                  <w:tcW w:w="701" w:type="pct"/>
                  <w:noWrap w:val="0"/>
                  <w:vAlign w:val="center"/>
                </w:tcPr>
                <w:p w14:paraId="25DE5A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6540</w:t>
                  </w:r>
                </w:p>
              </w:tc>
              <w:tc>
                <w:tcPr>
                  <w:tcW w:w="706" w:type="pct"/>
                  <w:noWrap w:val="0"/>
                  <w:vAlign w:val="center"/>
                </w:tcPr>
                <w:p w14:paraId="2B3958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5460</w:t>
                  </w:r>
                </w:p>
              </w:tc>
            </w:tr>
            <w:tr w14:paraId="696D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645EE70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D04C2E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C5F6A8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507C0F0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63708F7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701" w:type="pct"/>
                  <w:noWrap w:val="0"/>
                  <w:vAlign w:val="center"/>
                </w:tcPr>
                <w:p w14:paraId="33DF87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706" w:type="pct"/>
                  <w:noWrap w:val="0"/>
                  <w:vAlign w:val="center"/>
                </w:tcPr>
                <w:p w14:paraId="30BBED5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r>
            <w:tr w14:paraId="0D0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3E11C4C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68BF0E9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AE6A6E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4CCF05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6CCE28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w:t>
                  </w:r>
                </w:p>
              </w:tc>
              <w:tc>
                <w:tcPr>
                  <w:tcW w:w="701" w:type="pct"/>
                  <w:noWrap w:val="0"/>
                  <w:vAlign w:val="center"/>
                </w:tcPr>
                <w:p w14:paraId="7007212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19.5</w:t>
                  </w:r>
                </w:p>
              </w:tc>
              <w:tc>
                <w:tcPr>
                  <w:tcW w:w="706" w:type="pct"/>
                  <w:noWrap w:val="0"/>
                  <w:vAlign w:val="center"/>
                </w:tcPr>
                <w:p w14:paraId="6E1A1A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24.7</w:t>
                  </w:r>
                </w:p>
              </w:tc>
            </w:tr>
            <w:tr w14:paraId="7667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3D8823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81E60F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66D8B4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5FFFDC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35495A1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0.015</w:t>
                  </w:r>
                </w:p>
              </w:tc>
              <w:tc>
                <w:tcPr>
                  <w:tcW w:w="701" w:type="pct"/>
                  <w:noWrap w:val="0"/>
                  <w:vAlign w:val="center"/>
                </w:tcPr>
                <w:p w14:paraId="4DA822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0.020</w:t>
                  </w:r>
                </w:p>
              </w:tc>
              <w:tc>
                <w:tcPr>
                  <w:tcW w:w="706" w:type="pct"/>
                  <w:noWrap w:val="0"/>
                  <w:vAlign w:val="center"/>
                </w:tcPr>
                <w:p w14:paraId="064F192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0.019</w:t>
                  </w:r>
                </w:p>
              </w:tc>
            </w:tr>
            <w:tr w14:paraId="1DB2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shd w:val="clear" w:color="auto" w:fill="auto"/>
                  <w:noWrap w:val="0"/>
                  <w:vAlign w:val="center"/>
                </w:tcPr>
                <w:p w14:paraId="5982131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0EB346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869" w:type="pct"/>
                  <w:shd w:val="clear" w:color="auto" w:fill="auto"/>
                  <w:noWrap w:val="0"/>
                  <w:vAlign w:val="center"/>
                </w:tcPr>
                <w:p w14:paraId="1EA04AD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5C26B76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3E035B7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5931</w:t>
                  </w:r>
                </w:p>
              </w:tc>
              <w:tc>
                <w:tcPr>
                  <w:tcW w:w="701" w:type="pct"/>
                  <w:shd w:val="clear" w:color="auto" w:fill="auto"/>
                  <w:noWrap w:val="0"/>
                  <w:vAlign w:val="center"/>
                </w:tcPr>
                <w:p w14:paraId="7F87D62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6540</w:t>
                  </w:r>
                </w:p>
              </w:tc>
              <w:tc>
                <w:tcPr>
                  <w:tcW w:w="706" w:type="pct"/>
                  <w:shd w:val="clear" w:color="auto" w:fill="auto"/>
                  <w:noWrap w:val="0"/>
                  <w:vAlign w:val="center"/>
                </w:tcPr>
                <w:p w14:paraId="4E0C37E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5460</w:t>
                  </w:r>
                </w:p>
              </w:tc>
            </w:tr>
            <w:tr w14:paraId="5F96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114741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FA35E8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612733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6FCEDEA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6FF412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4F9AF72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33E439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527E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5DD55E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8B2A3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4792BB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3CD598B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503F02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0B47A85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622319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506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59328F8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07CAC4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31112F6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5EC822E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6FA742E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35AD1BA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53FEB05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6D6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shd w:val="clear" w:color="auto" w:fill="auto"/>
                  <w:noWrap w:val="0"/>
                  <w:vAlign w:val="center"/>
                </w:tcPr>
                <w:p w14:paraId="2952344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39D68EB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869" w:type="pct"/>
                  <w:shd w:val="clear" w:color="auto" w:fill="auto"/>
                  <w:noWrap w:val="0"/>
                  <w:vAlign w:val="center"/>
                </w:tcPr>
                <w:p w14:paraId="3DBD5F9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44D3C7E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44ECA6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5931</w:t>
                  </w:r>
                </w:p>
              </w:tc>
              <w:tc>
                <w:tcPr>
                  <w:tcW w:w="701" w:type="pct"/>
                  <w:shd w:val="clear" w:color="auto" w:fill="auto"/>
                  <w:noWrap w:val="0"/>
                  <w:vAlign w:val="center"/>
                </w:tcPr>
                <w:p w14:paraId="5B667B3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6540</w:t>
                  </w:r>
                </w:p>
              </w:tc>
              <w:tc>
                <w:tcPr>
                  <w:tcW w:w="706" w:type="pct"/>
                  <w:shd w:val="clear" w:color="auto" w:fill="auto"/>
                  <w:noWrap w:val="0"/>
                  <w:vAlign w:val="center"/>
                </w:tcPr>
                <w:p w14:paraId="60F0F0A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5460</w:t>
                  </w:r>
                </w:p>
              </w:tc>
            </w:tr>
            <w:tr w14:paraId="4E8C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344D5B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25EE739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9674B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0BF7B92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6BC8E89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77AF619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46EF192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4DB3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373F226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6C746D5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20A00D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7267ED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2506623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153CD5E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228BC5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5BF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46E7019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A01F5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2FE13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43EBF7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4699893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108BB6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01C66D6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76E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shd w:val="clear" w:color="auto" w:fill="auto"/>
                  <w:noWrap w:val="0"/>
                  <w:vAlign w:val="center"/>
                </w:tcPr>
                <w:p w14:paraId="751E95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018D920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869" w:type="pct"/>
                  <w:shd w:val="clear" w:color="auto" w:fill="auto"/>
                  <w:noWrap w:val="0"/>
                  <w:vAlign w:val="center"/>
                </w:tcPr>
                <w:p w14:paraId="59BABC7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1449EB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0DE2164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5931</w:t>
                  </w:r>
                </w:p>
              </w:tc>
              <w:tc>
                <w:tcPr>
                  <w:tcW w:w="701" w:type="pct"/>
                  <w:shd w:val="clear" w:color="auto" w:fill="auto"/>
                  <w:noWrap w:val="0"/>
                  <w:vAlign w:val="center"/>
                </w:tcPr>
                <w:p w14:paraId="3DAFAE2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6540</w:t>
                  </w:r>
                </w:p>
              </w:tc>
              <w:tc>
                <w:tcPr>
                  <w:tcW w:w="706" w:type="pct"/>
                  <w:shd w:val="clear" w:color="auto" w:fill="auto"/>
                  <w:noWrap w:val="0"/>
                  <w:vAlign w:val="center"/>
                </w:tcPr>
                <w:p w14:paraId="2CF3DD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5460</w:t>
                  </w:r>
                </w:p>
              </w:tc>
            </w:tr>
            <w:tr w14:paraId="651F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562F185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7F6B1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5268A1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1B1932D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1CEBDCD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4.91</w:t>
                  </w:r>
                </w:p>
              </w:tc>
              <w:tc>
                <w:tcPr>
                  <w:tcW w:w="701" w:type="pct"/>
                  <w:noWrap w:val="0"/>
                  <w:vAlign w:val="center"/>
                </w:tcPr>
                <w:p w14:paraId="7D56967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6.65</w:t>
                  </w:r>
                </w:p>
              </w:tc>
              <w:tc>
                <w:tcPr>
                  <w:tcW w:w="706" w:type="pct"/>
                  <w:noWrap w:val="0"/>
                  <w:vAlign w:val="center"/>
                </w:tcPr>
                <w:p w14:paraId="74E9FA4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5.10</w:t>
                  </w:r>
                </w:p>
              </w:tc>
            </w:tr>
            <w:tr w14:paraId="2732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691" w:type="pct"/>
                  <w:vMerge w:val="continue"/>
                  <w:noWrap w:val="0"/>
                  <w:vAlign w:val="center"/>
                </w:tcPr>
                <w:p w14:paraId="1BFB5C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99F58E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88220D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03AD1EA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16010C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0.029</w:t>
                  </w:r>
                </w:p>
              </w:tc>
              <w:tc>
                <w:tcPr>
                  <w:tcW w:w="701" w:type="pct"/>
                  <w:noWrap w:val="0"/>
                  <w:vAlign w:val="center"/>
                </w:tcPr>
                <w:p w14:paraId="7737323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0.043</w:t>
                  </w:r>
                </w:p>
              </w:tc>
              <w:tc>
                <w:tcPr>
                  <w:tcW w:w="706" w:type="pct"/>
                  <w:noWrap w:val="0"/>
                  <w:vAlign w:val="center"/>
                </w:tcPr>
                <w:p w14:paraId="13A4C76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0.029</w:t>
                  </w:r>
                </w:p>
              </w:tc>
            </w:tr>
            <w:tr w14:paraId="6A9D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pct"/>
                  <w:gridSpan w:val="2"/>
                  <w:noWrap w:val="0"/>
                  <w:vAlign w:val="center"/>
                </w:tcPr>
                <w:p w14:paraId="3F9A81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评价结果</w:t>
                  </w:r>
                </w:p>
              </w:tc>
              <w:tc>
                <w:tcPr>
                  <w:tcW w:w="3670" w:type="pct"/>
                  <w:gridSpan w:val="5"/>
                  <w:noWrap w:val="0"/>
                  <w:vAlign w:val="center"/>
                </w:tcPr>
                <w:p w14:paraId="29450F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监测期间有组织废气颗粒物、非甲烷总烃排放满足《大气污染物综合排放标准》（GB16297-1996）表2新污染源大气污染物排放限值，氮氧化物、二氧化硫满足《工业炉窑大气污染物排放标准》（GB9078-1996）中表2其他炉窑最高允许排放限值以及《安徽省大气办关于印发〈安徽省2020年大气污染防治重点工作任务〉的通知》（皖大气办〔2020〕2号）中要求</w:t>
                  </w:r>
                </w:p>
              </w:tc>
            </w:tr>
            <w:bookmarkEnd w:id="17"/>
          </w:tbl>
          <w:p w14:paraId="060E8377">
            <w:pPr>
              <w:pStyle w:val="53"/>
              <w:keepNext w:val="0"/>
              <w:keepLines w:val="0"/>
              <w:pageBreakBefore w:val="0"/>
              <w:widowControl w:val="0"/>
              <w:tabs>
                <w:tab w:val="left" w:pos="42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11</w:t>
            </w:r>
            <w:r>
              <w:rPr>
                <w:rFonts w:hint="default" w:ascii="Times New Roman" w:hAnsi="Times New Roman" w:eastAsia="宋体" w:cs="Times New Roman"/>
                <w:b/>
                <w:sz w:val="24"/>
                <w:szCs w:val="24"/>
              </w:rPr>
              <w:t xml:space="preserve"> 有组织废气检测结果一览表2（2024.07.23）</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138"/>
              <w:gridCol w:w="1548"/>
              <w:gridCol w:w="1234"/>
              <w:gridCol w:w="1249"/>
              <w:gridCol w:w="1249"/>
              <w:gridCol w:w="1258"/>
            </w:tblGrid>
            <w:tr w14:paraId="1BE8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Header/>
                <w:jc w:val="center"/>
              </w:trPr>
              <w:tc>
                <w:tcPr>
                  <w:tcW w:w="691" w:type="pct"/>
                  <w:vMerge w:val="restart"/>
                  <w:noWrap w:val="0"/>
                  <w:vAlign w:val="center"/>
                </w:tcPr>
                <w:p w14:paraId="79BB626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污染源名称</w:t>
                  </w:r>
                </w:p>
              </w:tc>
              <w:tc>
                <w:tcPr>
                  <w:tcW w:w="639" w:type="pct"/>
                  <w:vMerge w:val="restart"/>
                  <w:noWrap w:val="0"/>
                  <w:vAlign w:val="center"/>
                </w:tcPr>
                <w:p w14:paraId="1510C93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检测因子</w:t>
                  </w:r>
                </w:p>
              </w:tc>
              <w:tc>
                <w:tcPr>
                  <w:tcW w:w="869" w:type="pct"/>
                  <w:vMerge w:val="restart"/>
                  <w:noWrap w:val="0"/>
                  <w:vAlign w:val="center"/>
                </w:tcPr>
                <w:p w14:paraId="5509175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693" w:type="pct"/>
                  <w:vMerge w:val="restart"/>
                  <w:noWrap w:val="0"/>
                  <w:vAlign w:val="center"/>
                </w:tcPr>
                <w:p w14:paraId="0DE6EFE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计量单位</w:t>
                  </w:r>
                </w:p>
              </w:tc>
              <w:tc>
                <w:tcPr>
                  <w:tcW w:w="2109" w:type="pct"/>
                  <w:gridSpan w:val="3"/>
                  <w:noWrap w:val="0"/>
                  <w:vAlign w:val="center"/>
                </w:tcPr>
                <w:p w14:paraId="6F596B9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检测结果</w:t>
                  </w:r>
                </w:p>
              </w:tc>
            </w:tr>
            <w:tr w14:paraId="215C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691" w:type="pct"/>
                  <w:vMerge w:val="continue"/>
                  <w:noWrap w:val="0"/>
                  <w:vAlign w:val="center"/>
                </w:tcPr>
                <w:p w14:paraId="6E12B1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639" w:type="pct"/>
                  <w:vMerge w:val="continue"/>
                  <w:noWrap w:val="0"/>
                  <w:vAlign w:val="center"/>
                </w:tcPr>
                <w:p w14:paraId="3B51E64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869" w:type="pct"/>
                  <w:vMerge w:val="continue"/>
                  <w:noWrap w:val="0"/>
                  <w:vAlign w:val="center"/>
                </w:tcPr>
                <w:p w14:paraId="4736DF1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693" w:type="pct"/>
                  <w:vMerge w:val="continue"/>
                  <w:noWrap w:val="0"/>
                  <w:vAlign w:val="center"/>
                </w:tcPr>
                <w:p w14:paraId="3285C88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701" w:type="pct"/>
                  <w:noWrap w:val="0"/>
                  <w:vAlign w:val="center"/>
                </w:tcPr>
                <w:p w14:paraId="759514C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1次值</w:t>
                  </w:r>
                </w:p>
              </w:tc>
              <w:tc>
                <w:tcPr>
                  <w:tcW w:w="701" w:type="pct"/>
                  <w:noWrap w:val="0"/>
                  <w:vAlign w:val="center"/>
                </w:tcPr>
                <w:p w14:paraId="34075C4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2次值</w:t>
                  </w:r>
                </w:p>
              </w:tc>
              <w:tc>
                <w:tcPr>
                  <w:tcW w:w="706" w:type="pct"/>
                  <w:noWrap w:val="0"/>
                  <w:vAlign w:val="center"/>
                </w:tcPr>
                <w:p w14:paraId="4E09EB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3次值</w:t>
                  </w:r>
                </w:p>
              </w:tc>
            </w:tr>
            <w:tr w14:paraId="2804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restart"/>
                  <w:noWrap w:val="0"/>
                  <w:vAlign w:val="center"/>
                </w:tcPr>
                <w:p w14:paraId="3555F65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抛丸废气排放口DA001</w:t>
                  </w:r>
                </w:p>
              </w:tc>
              <w:tc>
                <w:tcPr>
                  <w:tcW w:w="639" w:type="pct"/>
                  <w:vMerge w:val="restart"/>
                  <w:noWrap w:val="0"/>
                  <w:vAlign w:val="center"/>
                </w:tcPr>
                <w:p w14:paraId="58071E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69" w:type="pct"/>
                  <w:noWrap w:val="0"/>
                  <w:vAlign w:val="center"/>
                </w:tcPr>
                <w:p w14:paraId="6CDC663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noWrap w:val="0"/>
                  <w:vAlign w:val="center"/>
                </w:tcPr>
                <w:p w14:paraId="31EF69D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noWrap w:val="0"/>
                  <w:vAlign w:val="center"/>
                </w:tcPr>
                <w:p w14:paraId="2E10EF1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3036</w:t>
                  </w:r>
                </w:p>
              </w:tc>
              <w:tc>
                <w:tcPr>
                  <w:tcW w:w="701" w:type="pct"/>
                  <w:noWrap w:val="0"/>
                  <w:vAlign w:val="center"/>
                </w:tcPr>
                <w:p w14:paraId="0A15CC9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3134</w:t>
                  </w:r>
                </w:p>
              </w:tc>
              <w:tc>
                <w:tcPr>
                  <w:tcW w:w="706" w:type="pct"/>
                  <w:noWrap w:val="0"/>
                  <w:vAlign w:val="center"/>
                </w:tcPr>
                <w:p w14:paraId="4D5C686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3101</w:t>
                  </w:r>
                </w:p>
              </w:tc>
            </w:tr>
            <w:tr w14:paraId="5D19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3838311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55878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F784C7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08F6E04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5022DD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701" w:type="pct"/>
                  <w:noWrap w:val="0"/>
                  <w:vAlign w:val="center"/>
                </w:tcPr>
                <w:p w14:paraId="5B6DBDE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706" w:type="pct"/>
                  <w:noWrap w:val="0"/>
                  <w:vAlign w:val="center"/>
                </w:tcPr>
                <w:p w14:paraId="2A7AC9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3D41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42F34E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28F20D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2361C72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65B8F5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68DA093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0.170</w:t>
                  </w:r>
                </w:p>
              </w:tc>
              <w:tc>
                <w:tcPr>
                  <w:tcW w:w="701" w:type="pct"/>
                  <w:noWrap w:val="0"/>
                  <w:vAlign w:val="center"/>
                </w:tcPr>
                <w:p w14:paraId="675B321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0.141</w:t>
                  </w:r>
                </w:p>
              </w:tc>
              <w:tc>
                <w:tcPr>
                  <w:tcW w:w="706" w:type="pct"/>
                  <w:noWrap w:val="0"/>
                  <w:vAlign w:val="center"/>
                </w:tcPr>
                <w:p w14:paraId="6773996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0.186</w:t>
                  </w:r>
                </w:p>
              </w:tc>
            </w:tr>
            <w:tr w14:paraId="5B9E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restart"/>
                  <w:noWrap w:val="0"/>
                  <w:vAlign w:val="center"/>
                </w:tcPr>
                <w:p w14:paraId="08FACC5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电泳及烘干、烘干用液化石油气燃烧废气废气排放口DA002</w:t>
                  </w:r>
                </w:p>
              </w:tc>
              <w:tc>
                <w:tcPr>
                  <w:tcW w:w="639" w:type="pct"/>
                  <w:vMerge w:val="restart"/>
                  <w:noWrap w:val="0"/>
                  <w:vAlign w:val="center"/>
                </w:tcPr>
                <w:p w14:paraId="3C8D547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69" w:type="pct"/>
                  <w:noWrap w:val="0"/>
                  <w:vAlign w:val="center"/>
                </w:tcPr>
                <w:p w14:paraId="7806080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含氧量</w:t>
                  </w:r>
                </w:p>
              </w:tc>
              <w:tc>
                <w:tcPr>
                  <w:tcW w:w="693" w:type="pct"/>
                  <w:noWrap w:val="0"/>
                  <w:vAlign w:val="center"/>
                </w:tcPr>
                <w:p w14:paraId="44399C8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4B2C33E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18.9</w:t>
                  </w:r>
                </w:p>
              </w:tc>
              <w:tc>
                <w:tcPr>
                  <w:tcW w:w="701" w:type="pct"/>
                  <w:noWrap w:val="0"/>
                  <w:vAlign w:val="center"/>
                </w:tcPr>
                <w:p w14:paraId="439B9F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18.6</w:t>
                  </w:r>
                </w:p>
              </w:tc>
              <w:tc>
                <w:tcPr>
                  <w:tcW w:w="706" w:type="pct"/>
                  <w:noWrap w:val="0"/>
                  <w:vAlign w:val="center"/>
                </w:tcPr>
                <w:p w14:paraId="17EE6CC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w:t>
                  </w:r>
                </w:p>
              </w:tc>
            </w:tr>
            <w:tr w14:paraId="7513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B5AFB3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576344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B3D738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noWrap w:val="0"/>
                  <w:vAlign w:val="center"/>
                </w:tcPr>
                <w:p w14:paraId="3C08AD2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noWrap w:val="0"/>
                  <w:vAlign w:val="center"/>
                </w:tcPr>
                <w:p w14:paraId="40FFF03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4530</w:t>
                  </w:r>
                </w:p>
              </w:tc>
              <w:tc>
                <w:tcPr>
                  <w:tcW w:w="701" w:type="pct"/>
                  <w:noWrap w:val="0"/>
                  <w:vAlign w:val="center"/>
                </w:tcPr>
                <w:p w14:paraId="3FA7DF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4639</w:t>
                  </w:r>
                </w:p>
              </w:tc>
              <w:tc>
                <w:tcPr>
                  <w:tcW w:w="706" w:type="pct"/>
                  <w:noWrap w:val="0"/>
                  <w:vAlign w:val="center"/>
                </w:tcPr>
                <w:p w14:paraId="1F36CC3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4327</w:t>
                  </w:r>
                </w:p>
              </w:tc>
            </w:tr>
            <w:tr w14:paraId="32A9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D65D8E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5031A04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4A2EB4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13C75C7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5B3BBD1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701" w:type="pct"/>
                  <w:noWrap w:val="0"/>
                  <w:vAlign w:val="center"/>
                </w:tcPr>
                <w:p w14:paraId="11D42B1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706" w:type="pct"/>
                  <w:noWrap w:val="0"/>
                  <w:vAlign w:val="center"/>
                </w:tcPr>
                <w:p w14:paraId="5C432F5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7656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430563D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76EB6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9C4FB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710E13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3F4DB65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c>
                <w:tcPr>
                  <w:tcW w:w="701" w:type="pct"/>
                  <w:noWrap w:val="0"/>
                  <w:vAlign w:val="center"/>
                </w:tcPr>
                <w:p w14:paraId="04167CE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w:t>
                  </w:r>
                </w:p>
              </w:tc>
              <w:tc>
                <w:tcPr>
                  <w:tcW w:w="706" w:type="pct"/>
                  <w:noWrap w:val="0"/>
                  <w:vAlign w:val="center"/>
                </w:tcPr>
                <w:p w14:paraId="0DB6B04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w:t>
                  </w:r>
                </w:p>
              </w:tc>
            </w:tr>
            <w:tr w14:paraId="6125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52A42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A0E494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5A4AB9B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7BD9166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322053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c>
                <w:tcPr>
                  <w:tcW w:w="701" w:type="pct"/>
                  <w:noWrap w:val="0"/>
                  <w:vAlign w:val="center"/>
                </w:tcPr>
                <w:p w14:paraId="5057C58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0.011</w:t>
                  </w:r>
                </w:p>
              </w:tc>
              <w:tc>
                <w:tcPr>
                  <w:tcW w:w="706" w:type="pct"/>
                  <w:noWrap w:val="0"/>
                  <w:vAlign w:val="center"/>
                </w:tcPr>
                <w:p w14:paraId="644CAA4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w:t>
                  </w:r>
                </w:p>
              </w:tc>
            </w:tr>
            <w:tr w14:paraId="658E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shd w:val="clear" w:color="auto" w:fill="auto"/>
                  <w:noWrap w:val="0"/>
                  <w:vAlign w:val="center"/>
                </w:tcPr>
                <w:p w14:paraId="259CCF0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03D8F0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869" w:type="pct"/>
                  <w:shd w:val="clear" w:color="auto" w:fill="auto"/>
                  <w:noWrap w:val="0"/>
                  <w:vAlign w:val="center"/>
                </w:tcPr>
                <w:p w14:paraId="26EB95B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7E69A14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1C2413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4530</w:t>
                  </w:r>
                </w:p>
              </w:tc>
              <w:tc>
                <w:tcPr>
                  <w:tcW w:w="701" w:type="pct"/>
                  <w:shd w:val="clear" w:color="auto" w:fill="auto"/>
                  <w:noWrap w:val="0"/>
                  <w:vAlign w:val="center"/>
                </w:tcPr>
                <w:p w14:paraId="135E57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4639</w:t>
                  </w:r>
                </w:p>
              </w:tc>
              <w:tc>
                <w:tcPr>
                  <w:tcW w:w="706" w:type="pct"/>
                  <w:shd w:val="clear" w:color="auto" w:fill="auto"/>
                  <w:noWrap w:val="0"/>
                  <w:vAlign w:val="center"/>
                </w:tcPr>
                <w:p w14:paraId="6E000B7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4327</w:t>
                  </w:r>
                </w:p>
              </w:tc>
            </w:tr>
            <w:tr w14:paraId="1FC2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7C1D2BF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159E07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515F5E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354897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7568933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38597B2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5CDD5C3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1407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22C822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6652774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493586D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2A2BF1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589A18E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046B0D6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449095B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02C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2C530B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FBB263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2AEB2A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7D137FC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0071865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6453445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23102F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110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shd w:val="clear" w:color="auto" w:fill="auto"/>
                  <w:noWrap w:val="0"/>
                  <w:vAlign w:val="center"/>
                </w:tcPr>
                <w:p w14:paraId="78B18C7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6AA63C7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869" w:type="pct"/>
                  <w:shd w:val="clear" w:color="auto" w:fill="auto"/>
                  <w:noWrap w:val="0"/>
                  <w:vAlign w:val="center"/>
                </w:tcPr>
                <w:p w14:paraId="1498D4B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1123447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558EBA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4530</w:t>
                  </w:r>
                </w:p>
              </w:tc>
              <w:tc>
                <w:tcPr>
                  <w:tcW w:w="701" w:type="pct"/>
                  <w:shd w:val="clear" w:color="auto" w:fill="auto"/>
                  <w:noWrap w:val="0"/>
                  <w:vAlign w:val="center"/>
                </w:tcPr>
                <w:p w14:paraId="1568348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4639</w:t>
                  </w:r>
                </w:p>
              </w:tc>
              <w:tc>
                <w:tcPr>
                  <w:tcW w:w="706" w:type="pct"/>
                  <w:shd w:val="clear" w:color="auto" w:fill="auto"/>
                  <w:noWrap w:val="0"/>
                  <w:vAlign w:val="center"/>
                </w:tcPr>
                <w:p w14:paraId="0FA426B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4327</w:t>
                  </w:r>
                </w:p>
              </w:tc>
            </w:tr>
            <w:tr w14:paraId="7732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778F71A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D6E3C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89FAC9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40A7EA5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0DF3091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528C64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4CA8F56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7CF5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3B1B94B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F1610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23D9FD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42592F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35C3E14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2FFC69F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548D963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A17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2EBA9C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5A496F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05FA87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3B9729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24F884B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329C1FE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51C867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431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shd w:val="clear" w:color="auto" w:fill="auto"/>
                  <w:noWrap w:val="0"/>
                  <w:vAlign w:val="center"/>
                </w:tcPr>
                <w:p w14:paraId="65419B3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6C68CD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869" w:type="pct"/>
                  <w:shd w:val="clear" w:color="auto" w:fill="auto"/>
                  <w:noWrap w:val="0"/>
                  <w:vAlign w:val="center"/>
                </w:tcPr>
                <w:p w14:paraId="4C4CBD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7F2FE0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36C5E1C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4530</w:t>
                  </w:r>
                </w:p>
              </w:tc>
              <w:tc>
                <w:tcPr>
                  <w:tcW w:w="701" w:type="pct"/>
                  <w:shd w:val="clear" w:color="auto" w:fill="auto"/>
                  <w:noWrap w:val="0"/>
                  <w:vAlign w:val="center"/>
                </w:tcPr>
                <w:p w14:paraId="467B83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4639</w:t>
                  </w:r>
                </w:p>
              </w:tc>
              <w:tc>
                <w:tcPr>
                  <w:tcW w:w="706" w:type="pct"/>
                  <w:shd w:val="clear" w:color="auto" w:fill="auto"/>
                  <w:noWrap w:val="0"/>
                  <w:vAlign w:val="center"/>
                </w:tcPr>
                <w:p w14:paraId="3073A6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4327</w:t>
                  </w:r>
                </w:p>
              </w:tc>
            </w:tr>
            <w:tr w14:paraId="419B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65865B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25F89E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FA4994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22EEA73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059BED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7.18</w:t>
                  </w:r>
                </w:p>
              </w:tc>
              <w:tc>
                <w:tcPr>
                  <w:tcW w:w="701" w:type="pct"/>
                  <w:noWrap w:val="0"/>
                  <w:vAlign w:val="center"/>
                </w:tcPr>
                <w:p w14:paraId="60785AA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7.01</w:t>
                  </w:r>
                </w:p>
              </w:tc>
              <w:tc>
                <w:tcPr>
                  <w:tcW w:w="706" w:type="pct"/>
                  <w:noWrap w:val="0"/>
                  <w:vAlign w:val="center"/>
                </w:tcPr>
                <w:p w14:paraId="58488A1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6.68</w:t>
                  </w:r>
                </w:p>
              </w:tc>
            </w:tr>
            <w:tr w14:paraId="34C5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4FEAF7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343B0B0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5923E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662C457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6A8BE4E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0.033</w:t>
                  </w:r>
                </w:p>
              </w:tc>
              <w:tc>
                <w:tcPr>
                  <w:tcW w:w="701" w:type="pct"/>
                  <w:noWrap w:val="0"/>
                  <w:vAlign w:val="center"/>
                </w:tcPr>
                <w:p w14:paraId="386AE0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0.033</w:t>
                  </w:r>
                </w:p>
              </w:tc>
              <w:tc>
                <w:tcPr>
                  <w:tcW w:w="706" w:type="pct"/>
                  <w:noWrap w:val="0"/>
                  <w:vAlign w:val="center"/>
                </w:tcPr>
                <w:p w14:paraId="03EA7B8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0.029</w:t>
                  </w:r>
                </w:p>
              </w:tc>
            </w:tr>
            <w:tr w14:paraId="2F42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restart"/>
                  <w:noWrap w:val="0"/>
                  <w:vAlign w:val="center"/>
                </w:tcPr>
                <w:p w14:paraId="0719C54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喷塑及热固化废气排放口DA005</w:t>
                  </w:r>
                </w:p>
              </w:tc>
              <w:tc>
                <w:tcPr>
                  <w:tcW w:w="639" w:type="pct"/>
                  <w:vMerge w:val="restart"/>
                  <w:noWrap w:val="0"/>
                  <w:vAlign w:val="center"/>
                </w:tcPr>
                <w:p w14:paraId="11D837B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69" w:type="pct"/>
                  <w:noWrap w:val="0"/>
                  <w:vAlign w:val="center"/>
                </w:tcPr>
                <w:p w14:paraId="15D4B11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含氧量</w:t>
                  </w:r>
                </w:p>
              </w:tc>
              <w:tc>
                <w:tcPr>
                  <w:tcW w:w="693" w:type="pct"/>
                  <w:noWrap w:val="0"/>
                  <w:vAlign w:val="center"/>
                </w:tcPr>
                <w:p w14:paraId="2691B6B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20A2F76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19.4</w:t>
                  </w:r>
                </w:p>
              </w:tc>
              <w:tc>
                <w:tcPr>
                  <w:tcW w:w="701" w:type="pct"/>
                  <w:noWrap w:val="0"/>
                  <w:vAlign w:val="center"/>
                </w:tcPr>
                <w:p w14:paraId="0788119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19.2</w:t>
                  </w:r>
                </w:p>
              </w:tc>
              <w:tc>
                <w:tcPr>
                  <w:tcW w:w="706" w:type="pct"/>
                  <w:noWrap w:val="0"/>
                  <w:vAlign w:val="center"/>
                </w:tcPr>
                <w:p w14:paraId="38DA819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19.7</w:t>
                  </w:r>
                </w:p>
              </w:tc>
            </w:tr>
            <w:tr w14:paraId="46BE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88F6F4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2D1401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AE395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noWrap w:val="0"/>
                  <w:vAlign w:val="center"/>
                </w:tcPr>
                <w:p w14:paraId="1D647DB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noWrap w:val="0"/>
                  <w:vAlign w:val="center"/>
                </w:tcPr>
                <w:p w14:paraId="2C6BEF3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6780</w:t>
                  </w:r>
                </w:p>
              </w:tc>
              <w:tc>
                <w:tcPr>
                  <w:tcW w:w="701" w:type="pct"/>
                  <w:noWrap w:val="0"/>
                  <w:vAlign w:val="center"/>
                </w:tcPr>
                <w:p w14:paraId="3FA147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6164</w:t>
                  </w:r>
                </w:p>
              </w:tc>
              <w:tc>
                <w:tcPr>
                  <w:tcW w:w="706" w:type="pct"/>
                  <w:noWrap w:val="0"/>
                  <w:vAlign w:val="center"/>
                </w:tcPr>
                <w:p w14:paraId="5392CC1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5839</w:t>
                  </w:r>
                </w:p>
              </w:tc>
            </w:tr>
            <w:tr w14:paraId="7131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4094BA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9F67B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6E4ACA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116DC5E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0D92144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701" w:type="pct"/>
                  <w:noWrap w:val="0"/>
                  <w:vAlign w:val="center"/>
                </w:tcPr>
                <w:p w14:paraId="3DDF242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706" w:type="pct"/>
                  <w:noWrap w:val="0"/>
                  <w:vAlign w:val="center"/>
                </w:tcPr>
                <w:p w14:paraId="4FF7304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r>
            <w:tr w14:paraId="52CF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7461982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32F5C33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2E3D65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154E67C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4BDF632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p>
              </w:tc>
              <w:tc>
                <w:tcPr>
                  <w:tcW w:w="701" w:type="pct"/>
                  <w:noWrap w:val="0"/>
                  <w:vAlign w:val="center"/>
                </w:tcPr>
                <w:p w14:paraId="1B26CB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23.3</w:t>
                  </w:r>
                </w:p>
              </w:tc>
              <w:tc>
                <w:tcPr>
                  <w:tcW w:w="706" w:type="pct"/>
                  <w:noWrap w:val="0"/>
                  <w:vAlign w:val="center"/>
                </w:tcPr>
                <w:p w14:paraId="08837C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22.8</w:t>
                  </w:r>
                </w:p>
              </w:tc>
            </w:tr>
            <w:tr w14:paraId="0785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136E65F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5E36834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8446E4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1DEBD4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6BA0740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0.018</w:t>
                  </w:r>
                </w:p>
              </w:tc>
              <w:tc>
                <w:tcPr>
                  <w:tcW w:w="701" w:type="pct"/>
                  <w:noWrap w:val="0"/>
                  <w:vAlign w:val="center"/>
                </w:tcPr>
                <w:p w14:paraId="40842FB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0.021</w:t>
                  </w:r>
                </w:p>
              </w:tc>
              <w:tc>
                <w:tcPr>
                  <w:tcW w:w="706" w:type="pct"/>
                  <w:noWrap w:val="0"/>
                  <w:vAlign w:val="center"/>
                </w:tcPr>
                <w:p w14:paraId="2F9416E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r>
            <w:tr w14:paraId="2AFE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shd w:val="clear" w:color="auto" w:fill="auto"/>
                  <w:noWrap w:val="0"/>
                  <w:vAlign w:val="center"/>
                </w:tcPr>
                <w:p w14:paraId="2F4EF43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6E83380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869" w:type="pct"/>
                  <w:shd w:val="clear" w:color="auto" w:fill="auto"/>
                  <w:noWrap w:val="0"/>
                  <w:vAlign w:val="center"/>
                </w:tcPr>
                <w:p w14:paraId="271A23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5ACD02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4A7E3F0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6780</w:t>
                  </w:r>
                </w:p>
              </w:tc>
              <w:tc>
                <w:tcPr>
                  <w:tcW w:w="701" w:type="pct"/>
                  <w:shd w:val="clear" w:color="auto" w:fill="auto"/>
                  <w:noWrap w:val="0"/>
                  <w:vAlign w:val="center"/>
                </w:tcPr>
                <w:p w14:paraId="19D113C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6164</w:t>
                  </w:r>
                </w:p>
              </w:tc>
              <w:tc>
                <w:tcPr>
                  <w:tcW w:w="706" w:type="pct"/>
                  <w:shd w:val="clear" w:color="auto" w:fill="auto"/>
                  <w:noWrap w:val="0"/>
                  <w:vAlign w:val="center"/>
                </w:tcPr>
                <w:p w14:paraId="6B9D9CD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5839</w:t>
                  </w:r>
                </w:p>
              </w:tc>
            </w:tr>
            <w:tr w14:paraId="3043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0C30041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EE1194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16A957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08B09AC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55A2744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3441A2B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2DEBFF4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731E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5769DEC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457B511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336172C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1E6B10D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71AE14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4319C4C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1A9E9E8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A45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91" w:type="pct"/>
                  <w:vMerge w:val="continue"/>
                  <w:noWrap w:val="0"/>
                  <w:vAlign w:val="center"/>
                </w:tcPr>
                <w:p w14:paraId="29C85FD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03B148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60431F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46C86B4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5F13E98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68F285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21B4E05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B6F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shd w:val="clear" w:color="auto" w:fill="auto"/>
                  <w:noWrap w:val="0"/>
                  <w:vAlign w:val="center"/>
                </w:tcPr>
                <w:p w14:paraId="3E008F5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2706C2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869" w:type="pct"/>
                  <w:shd w:val="clear" w:color="auto" w:fill="auto"/>
                  <w:noWrap w:val="0"/>
                  <w:vAlign w:val="center"/>
                </w:tcPr>
                <w:p w14:paraId="177141B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05A0077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26791C4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6780</w:t>
                  </w:r>
                </w:p>
              </w:tc>
              <w:tc>
                <w:tcPr>
                  <w:tcW w:w="701" w:type="pct"/>
                  <w:shd w:val="clear" w:color="auto" w:fill="auto"/>
                  <w:noWrap w:val="0"/>
                  <w:vAlign w:val="center"/>
                </w:tcPr>
                <w:p w14:paraId="1708466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6164</w:t>
                  </w:r>
                </w:p>
              </w:tc>
              <w:tc>
                <w:tcPr>
                  <w:tcW w:w="706" w:type="pct"/>
                  <w:shd w:val="clear" w:color="auto" w:fill="auto"/>
                  <w:noWrap w:val="0"/>
                  <w:vAlign w:val="center"/>
                </w:tcPr>
                <w:p w14:paraId="18831CC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5839</w:t>
                  </w:r>
                </w:p>
              </w:tc>
            </w:tr>
            <w:tr w14:paraId="0B86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noWrap w:val="0"/>
                  <w:vAlign w:val="center"/>
                </w:tcPr>
                <w:p w14:paraId="7EAB333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A086F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49DF2A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361A1E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2F61557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1" w:type="pct"/>
                  <w:noWrap w:val="0"/>
                  <w:vAlign w:val="center"/>
                </w:tcPr>
                <w:p w14:paraId="6F0C236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06" w:type="pct"/>
                  <w:noWrap w:val="0"/>
                  <w:vAlign w:val="center"/>
                </w:tcPr>
                <w:p w14:paraId="693433C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r>
            <w:tr w14:paraId="6FD9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noWrap w:val="0"/>
                  <w:vAlign w:val="center"/>
                </w:tcPr>
                <w:p w14:paraId="0A596C0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37398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0812021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w:t>
                  </w:r>
                </w:p>
              </w:tc>
              <w:tc>
                <w:tcPr>
                  <w:tcW w:w="693" w:type="pct"/>
                  <w:noWrap w:val="0"/>
                  <w:vAlign w:val="center"/>
                </w:tcPr>
                <w:p w14:paraId="558F0EA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671A1A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542B9CB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4372D6E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CF8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noWrap w:val="0"/>
                  <w:vAlign w:val="center"/>
                </w:tcPr>
                <w:p w14:paraId="6B6498D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7F3F98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4D54F3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0A32A07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6D733F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pct"/>
                  <w:noWrap w:val="0"/>
                  <w:vAlign w:val="center"/>
                </w:tcPr>
                <w:p w14:paraId="506E0B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6" w:type="pct"/>
                  <w:noWrap w:val="0"/>
                  <w:vAlign w:val="center"/>
                </w:tcPr>
                <w:p w14:paraId="26AF25F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FD2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shd w:val="clear" w:color="auto" w:fill="auto"/>
                  <w:noWrap w:val="0"/>
                  <w:vAlign w:val="center"/>
                </w:tcPr>
                <w:p w14:paraId="6F9AE41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restart"/>
                  <w:shd w:val="clear" w:color="auto" w:fill="auto"/>
                  <w:noWrap w:val="0"/>
                  <w:vAlign w:val="center"/>
                </w:tcPr>
                <w:p w14:paraId="6764776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869" w:type="pct"/>
                  <w:shd w:val="clear" w:color="auto" w:fill="auto"/>
                  <w:noWrap w:val="0"/>
                  <w:vAlign w:val="center"/>
                </w:tcPr>
                <w:p w14:paraId="105897A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w:t>
                  </w:r>
                </w:p>
              </w:tc>
              <w:tc>
                <w:tcPr>
                  <w:tcW w:w="693" w:type="pct"/>
                  <w:shd w:val="clear" w:color="auto" w:fill="auto"/>
                  <w:noWrap w:val="0"/>
                  <w:vAlign w:val="center"/>
                </w:tcPr>
                <w:p w14:paraId="56E621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Nm³/h</w:t>
                  </w:r>
                </w:p>
              </w:tc>
              <w:tc>
                <w:tcPr>
                  <w:tcW w:w="701" w:type="pct"/>
                  <w:shd w:val="clear" w:color="auto" w:fill="auto"/>
                  <w:noWrap w:val="0"/>
                  <w:vAlign w:val="center"/>
                </w:tcPr>
                <w:p w14:paraId="1979C8F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6780</w:t>
                  </w:r>
                </w:p>
              </w:tc>
              <w:tc>
                <w:tcPr>
                  <w:tcW w:w="701" w:type="pct"/>
                  <w:shd w:val="clear" w:color="auto" w:fill="auto"/>
                  <w:noWrap w:val="0"/>
                  <w:vAlign w:val="center"/>
                </w:tcPr>
                <w:p w14:paraId="7BB06CF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6164</w:t>
                  </w:r>
                </w:p>
              </w:tc>
              <w:tc>
                <w:tcPr>
                  <w:tcW w:w="706" w:type="pct"/>
                  <w:shd w:val="clear" w:color="auto" w:fill="auto"/>
                  <w:noWrap w:val="0"/>
                  <w:vAlign w:val="center"/>
                </w:tcPr>
                <w:p w14:paraId="0AA5125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5839</w:t>
                  </w:r>
                </w:p>
              </w:tc>
            </w:tr>
            <w:tr w14:paraId="7D9F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noWrap w:val="0"/>
                  <w:vAlign w:val="center"/>
                </w:tcPr>
                <w:p w14:paraId="5681718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10C1266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32C907F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实测浓度</w:t>
                  </w:r>
                </w:p>
              </w:tc>
              <w:tc>
                <w:tcPr>
                  <w:tcW w:w="693" w:type="pct"/>
                  <w:noWrap w:val="0"/>
                  <w:vAlign w:val="center"/>
                </w:tcPr>
                <w:p w14:paraId="40D35C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mg/m³</w:t>
                  </w:r>
                </w:p>
              </w:tc>
              <w:tc>
                <w:tcPr>
                  <w:tcW w:w="701" w:type="pct"/>
                  <w:noWrap w:val="0"/>
                  <w:vAlign w:val="center"/>
                </w:tcPr>
                <w:p w14:paraId="1AEB533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6.27</w:t>
                  </w:r>
                </w:p>
              </w:tc>
              <w:tc>
                <w:tcPr>
                  <w:tcW w:w="701" w:type="pct"/>
                  <w:noWrap w:val="0"/>
                  <w:vAlign w:val="center"/>
                </w:tcPr>
                <w:p w14:paraId="033B56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6.84</w:t>
                  </w:r>
                </w:p>
              </w:tc>
              <w:tc>
                <w:tcPr>
                  <w:tcW w:w="706" w:type="pct"/>
                  <w:noWrap w:val="0"/>
                  <w:vAlign w:val="center"/>
                </w:tcPr>
                <w:p w14:paraId="683E84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7.02</w:t>
                  </w:r>
                </w:p>
              </w:tc>
            </w:tr>
            <w:tr w14:paraId="45EF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1" w:type="pct"/>
                  <w:vMerge w:val="continue"/>
                  <w:noWrap w:val="0"/>
                  <w:vAlign w:val="center"/>
                </w:tcPr>
                <w:p w14:paraId="4D5A8F6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39" w:type="pct"/>
                  <w:vMerge w:val="continue"/>
                  <w:noWrap w:val="0"/>
                  <w:vAlign w:val="center"/>
                </w:tcPr>
                <w:p w14:paraId="021E807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noWrap w:val="0"/>
                  <w:vAlign w:val="center"/>
                </w:tcPr>
                <w:p w14:paraId="714E2AE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693" w:type="pct"/>
                  <w:noWrap w:val="0"/>
                  <w:vAlign w:val="center"/>
                </w:tcPr>
                <w:p w14:paraId="2607292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701" w:type="pct"/>
                  <w:noWrap w:val="0"/>
                  <w:vAlign w:val="center"/>
                </w:tcPr>
                <w:p w14:paraId="4E23CA2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0.043</w:t>
                  </w:r>
                </w:p>
              </w:tc>
              <w:tc>
                <w:tcPr>
                  <w:tcW w:w="701" w:type="pct"/>
                  <w:noWrap w:val="0"/>
                  <w:vAlign w:val="center"/>
                </w:tcPr>
                <w:p w14:paraId="7355E1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0.042</w:t>
                  </w:r>
                </w:p>
              </w:tc>
              <w:tc>
                <w:tcPr>
                  <w:tcW w:w="706" w:type="pct"/>
                  <w:noWrap w:val="0"/>
                  <w:vAlign w:val="center"/>
                </w:tcPr>
                <w:p w14:paraId="76EACE3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0.041</w:t>
                  </w:r>
                </w:p>
              </w:tc>
            </w:tr>
            <w:tr w14:paraId="4A8E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pct"/>
                  <w:gridSpan w:val="2"/>
                  <w:noWrap w:val="0"/>
                  <w:vAlign w:val="center"/>
                </w:tcPr>
                <w:p w14:paraId="1A6C119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评价结果</w:t>
                  </w:r>
                </w:p>
              </w:tc>
              <w:tc>
                <w:tcPr>
                  <w:tcW w:w="3670" w:type="pct"/>
                  <w:gridSpan w:val="5"/>
                  <w:noWrap w:val="0"/>
                  <w:vAlign w:val="center"/>
                </w:tcPr>
                <w:p w14:paraId="41E20EC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监测期间有组织废气颗粒物、非甲烷总烃排放满足《大气污染物综合排放标准》（GB16297-1996）表2新污染源大气污染物排放限值，氮氧化物、二氧化硫满足《工业炉窑大气污染物排放标准》（GB9078-1996）中表2其他炉窑最高允许排放限值以及《安徽省大气办关于印发〈安徽省2020年大气污染防治重点工作任务〉的通知》（皖大气办〔2020〕2号）中要求</w:t>
                  </w:r>
                </w:p>
              </w:tc>
            </w:tr>
          </w:tbl>
          <w:p w14:paraId="5E9A2015">
            <w:pPr>
              <w:pStyle w:val="53"/>
              <w:keepNext w:val="0"/>
              <w:keepLines w:val="0"/>
              <w:pageBreakBefore w:val="0"/>
              <w:widowControl w:val="0"/>
              <w:tabs>
                <w:tab w:val="left" w:pos="420"/>
              </w:tabs>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eastAsia" w:ascii="Times New Roman" w:hAnsi="Times New Roman" w:eastAsia="宋体" w:cs="Times New Roman"/>
                <w:b/>
                <w:sz w:val="24"/>
                <w:lang w:val="en-US" w:eastAsia="zh-CN"/>
              </w:rPr>
              <w:t>2</w:t>
            </w:r>
            <w:r>
              <w:rPr>
                <w:rFonts w:hint="default" w:ascii="Times New Roman" w:hAnsi="Times New Roman" w:eastAsia="宋体" w:cs="Times New Roman"/>
                <w:b/>
                <w:sz w:val="24"/>
              </w:rPr>
              <w:t>-</w:t>
            </w:r>
            <w:r>
              <w:rPr>
                <w:rFonts w:hint="eastAsia" w:ascii="Times New Roman" w:hAnsi="Times New Roman" w:eastAsia="宋体" w:cs="Times New Roman"/>
                <w:b/>
                <w:sz w:val="24"/>
                <w:lang w:val="en-US" w:eastAsia="zh-CN"/>
              </w:rPr>
              <w:t>12</w:t>
            </w:r>
            <w:r>
              <w:rPr>
                <w:rFonts w:hint="default" w:ascii="Times New Roman" w:hAnsi="Times New Roman" w:eastAsia="宋体" w:cs="Times New Roman"/>
                <w:b/>
                <w:sz w:val="24"/>
              </w:rPr>
              <w:t xml:space="preserve"> 废气（无组织）监测结果一览表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280"/>
              <w:gridCol w:w="775"/>
              <w:gridCol w:w="1392"/>
              <w:gridCol w:w="1392"/>
              <w:gridCol w:w="1392"/>
              <w:gridCol w:w="1394"/>
            </w:tblGrid>
            <w:tr w14:paraId="79D8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376" w:type="dxa"/>
                  <w:gridSpan w:val="3"/>
                  <w:vMerge w:val="restart"/>
                  <w:shd w:val="clear" w:color="auto" w:fill="auto"/>
                  <w:noWrap w:val="0"/>
                  <w:vAlign w:val="center"/>
                </w:tcPr>
                <w:p w14:paraId="0594A1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检测项目、时间及频次</w:t>
                  </w:r>
                </w:p>
                <w:p w14:paraId="1517681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5698" w:type="dxa"/>
                  <w:gridSpan w:val="4"/>
                  <w:shd w:val="clear" w:color="auto" w:fill="auto"/>
                  <w:noWrap w:val="0"/>
                  <w:vAlign w:val="center"/>
                </w:tcPr>
                <w:p w14:paraId="1919203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r>
            <w:tr w14:paraId="5A82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376" w:type="dxa"/>
                  <w:gridSpan w:val="3"/>
                  <w:vMerge w:val="continue"/>
                  <w:shd w:val="clear" w:color="auto" w:fill="auto"/>
                  <w:noWrap w:val="0"/>
                  <w:vAlign w:val="center"/>
                </w:tcPr>
                <w:p w14:paraId="3020F6B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424" w:type="dxa"/>
                  <w:shd w:val="clear" w:color="auto" w:fill="auto"/>
                  <w:noWrap w:val="0"/>
                  <w:vAlign w:val="center"/>
                </w:tcPr>
                <w:p w14:paraId="5386BE0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1424" w:type="dxa"/>
                  <w:shd w:val="clear" w:color="auto" w:fill="auto"/>
                  <w:noWrap w:val="0"/>
                  <w:vAlign w:val="center"/>
                </w:tcPr>
                <w:p w14:paraId="7222EC6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1424" w:type="dxa"/>
                  <w:shd w:val="clear" w:color="auto" w:fill="auto"/>
                  <w:noWrap w:val="0"/>
                  <w:vAlign w:val="center"/>
                </w:tcPr>
                <w:p w14:paraId="1B7238B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1426" w:type="dxa"/>
                  <w:shd w:val="clear" w:color="auto" w:fill="auto"/>
                  <w:noWrap w:val="0"/>
                  <w:vAlign w:val="center"/>
                </w:tcPr>
                <w:p w14:paraId="4908DA0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r>
            <w:tr w14:paraId="3831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018CE9D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p w14:paraId="0E2A8E5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restart"/>
                  <w:shd w:val="clear" w:color="auto" w:fill="auto"/>
                  <w:noWrap w:val="0"/>
                  <w:vAlign w:val="center"/>
                </w:tcPr>
                <w:p w14:paraId="69F1F89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2024.07.22</w:t>
                  </w:r>
                </w:p>
              </w:tc>
              <w:tc>
                <w:tcPr>
                  <w:tcW w:w="795" w:type="dxa"/>
                  <w:shd w:val="clear" w:color="auto" w:fill="auto"/>
                  <w:noWrap w:val="0"/>
                  <w:vAlign w:val="center"/>
                </w:tcPr>
                <w:p w14:paraId="1E68378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642072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c>
                <w:tcPr>
                  <w:tcW w:w="1424" w:type="dxa"/>
                  <w:shd w:val="clear" w:color="auto" w:fill="auto"/>
                  <w:noWrap w:val="0"/>
                  <w:vAlign w:val="center"/>
                </w:tcPr>
                <w:p w14:paraId="54F9563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c>
                <w:tcPr>
                  <w:tcW w:w="1424" w:type="dxa"/>
                  <w:shd w:val="clear" w:color="auto" w:fill="auto"/>
                  <w:noWrap w:val="0"/>
                  <w:vAlign w:val="center"/>
                </w:tcPr>
                <w:p w14:paraId="6FDAD23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0.37</w:t>
                  </w:r>
                </w:p>
              </w:tc>
              <w:tc>
                <w:tcPr>
                  <w:tcW w:w="1426" w:type="dxa"/>
                  <w:shd w:val="clear" w:color="auto" w:fill="auto"/>
                  <w:noWrap w:val="0"/>
                  <w:vAlign w:val="center"/>
                </w:tcPr>
                <w:p w14:paraId="5369965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r>
            <w:tr w14:paraId="0228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2C1E7B5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624A30F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3FFB24A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0FF987F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424" w:type="dxa"/>
                  <w:shd w:val="clear" w:color="auto" w:fill="auto"/>
                  <w:noWrap w:val="0"/>
                  <w:vAlign w:val="center"/>
                </w:tcPr>
                <w:p w14:paraId="1D7904F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w:t>
                  </w:r>
                </w:p>
              </w:tc>
              <w:tc>
                <w:tcPr>
                  <w:tcW w:w="1424" w:type="dxa"/>
                  <w:shd w:val="clear" w:color="auto" w:fill="auto"/>
                  <w:noWrap w:val="0"/>
                  <w:vAlign w:val="center"/>
                </w:tcPr>
                <w:p w14:paraId="498AD7E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w:t>
                  </w:r>
                </w:p>
              </w:tc>
              <w:tc>
                <w:tcPr>
                  <w:tcW w:w="1426" w:type="dxa"/>
                  <w:shd w:val="clear" w:color="auto" w:fill="auto"/>
                  <w:noWrap w:val="0"/>
                  <w:vAlign w:val="center"/>
                </w:tcPr>
                <w:p w14:paraId="648208E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r>
            <w:tr w14:paraId="42CF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40C2C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AB47F6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53659A6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520D7E9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w:t>
                  </w:r>
                </w:p>
              </w:tc>
              <w:tc>
                <w:tcPr>
                  <w:tcW w:w="1424" w:type="dxa"/>
                  <w:shd w:val="clear" w:color="auto" w:fill="auto"/>
                  <w:noWrap w:val="0"/>
                  <w:vAlign w:val="center"/>
                </w:tcPr>
                <w:p w14:paraId="29E0F76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w:t>
                  </w:r>
                </w:p>
              </w:tc>
              <w:tc>
                <w:tcPr>
                  <w:tcW w:w="1424" w:type="dxa"/>
                  <w:shd w:val="clear" w:color="auto" w:fill="auto"/>
                  <w:noWrap w:val="0"/>
                  <w:vAlign w:val="center"/>
                </w:tcPr>
                <w:p w14:paraId="3C9EF8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1426" w:type="dxa"/>
                  <w:shd w:val="clear" w:color="auto" w:fill="auto"/>
                  <w:noWrap w:val="0"/>
                  <w:vAlign w:val="center"/>
                </w:tcPr>
                <w:p w14:paraId="6F54A2A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w:t>
                  </w:r>
                </w:p>
              </w:tc>
            </w:tr>
            <w:tr w14:paraId="79D6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74ADCBB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160D371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3FFFECB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238BF0E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0.006</w:t>
                  </w:r>
                </w:p>
              </w:tc>
              <w:tc>
                <w:tcPr>
                  <w:tcW w:w="1424" w:type="dxa"/>
                  <w:shd w:val="clear" w:color="auto" w:fill="auto"/>
                  <w:noWrap w:val="0"/>
                  <w:vAlign w:val="center"/>
                </w:tcPr>
                <w:p w14:paraId="6258F29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0.017</w:t>
                  </w:r>
                </w:p>
              </w:tc>
              <w:tc>
                <w:tcPr>
                  <w:tcW w:w="1424" w:type="dxa"/>
                  <w:shd w:val="clear" w:color="auto" w:fill="auto"/>
                  <w:noWrap w:val="0"/>
                  <w:vAlign w:val="center"/>
                </w:tcPr>
                <w:p w14:paraId="278FCD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0.020</w:t>
                  </w:r>
                </w:p>
              </w:tc>
              <w:tc>
                <w:tcPr>
                  <w:tcW w:w="1426" w:type="dxa"/>
                  <w:shd w:val="clear" w:color="auto" w:fill="auto"/>
                  <w:noWrap w:val="0"/>
                  <w:vAlign w:val="center"/>
                </w:tcPr>
                <w:p w14:paraId="7957AC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0.027</w:t>
                  </w:r>
                </w:p>
              </w:tc>
            </w:tr>
            <w:tr w14:paraId="047A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55C75D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24A6973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77E5C87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0F217E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w:t>
                  </w:r>
                </w:p>
              </w:tc>
              <w:tc>
                <w:tcPr>
                  <w:tcW w:w="1424" w:type="dxa"/>
                  <w:shd w:val="clear" w:color="auto" w:fill="auto"/>
                  <w:noWrap w:val="0"/>
                  <w:vAlign w:val="center"/>
                </w:tcPr>
                <w:p w14:paraId="17F90E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0.016</w:t>
                  </w:r>
                </w:p>
              </w:tc>
              <w:tc>
                <w:tcPr>
                  <w:tcW w:w="1424" w:type="dxa"/>
                  <w:shd w:val="clear" w:color="auto" w:fill="auto"/>
                  <w:noWrap w:val="0"/>
                  <w:vAlign w:val="center"/>
                </w:tcPr>
                <w:p w14:paraId="6C9E126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0.021</w:t>
                  </w:r>
                </w:p>
              </w:tc>
              <w:tc>
                <w:tcPr>
                  <w:tcW w:w="1426" w:type="dxa"/>
                  <w:shd w:val="clear" w:color="auto" w:fill="auto"/>
                  <w:noWrap w:val="0"/>
                  <w:vAlign w:val="center"/>
                </w:tcPr>
                <w:p w14:paraId="0EA713A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0.026</w:t>
                  </w:r>
                </w:p>
              </w:tc>
            </w:tr>
            <w:tr w14:paraId="3442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219DA17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CD1ED4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759358C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12EEB52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w:t>
                  </w:r>
                </w:p>
              </w:tc>
              <w:tc>
                <w:tcPr>
                  <w:tcW w:w="1424" w:type="dxa"/>
                  <w:shd w:val="clear" w:color="auto" w:fill="auto"/>
                  <w:noWrap w:val="0"/>
                  <w:vAlign w:val="center"/>
                </w:tcPr>
                <w:p w14:paraId="26E7635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0.018</w:t>
                  </w:r>
                </w:p>
              </w:tc>
              <w:tc>
                <w:tcPr>
                  <w:tcW w:w="1424" w:type="dxa"/>
                  <w:shd w:val="clear" w:color="auto" w:fill="auto"/>
                  <w:noWrap w:val="0"/>
                  <w:vAlign w:val="center"/>
                </w:tcPr>
                <w:p w14:paraId="0309E8B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0.023</w:t>
                  </w:r>
                </w:p>
              </w:tc>
              <w:tc>
                <w:tcPr>
                  <w:tcW w:w="1426" w:type="dxa"/>
                  <w:shd w:val="clear" w:color="auto" w:fill="auto"/>
                  <w:noWrap w:val="0"/>
                  <w:vAlign w:val="center"/>
                </w:tcPr>
                <w:p w14:paraId="0D4F507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0.026</w:t>
                  </w:r>
                </w:p>
              </w:tc>
            </w:tr>
            <w:tr w14:paraId="48CD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0CE099C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p w14:paraId="29EA7AF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33EFBC0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65FCD30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22E6E7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0.110</w:t>
                  </w:r>
                </w:p>
              </w:tc>
              <w:tc>
                <w:tcPr>
                  <w:tcW w:w="1424" w:type="dxa"/>
                  <w:shd w:val="clear" w:color="auto" w:fill="auto"/>
                  <w:noWrap w:val="0"/>
                  <w:vAlign w:val="center"/>
                </w:tcPr>
                <w:p w14:paraId="7102A28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0.332</w:t>
                  </w:r>
                </w:p>
              </w:tc>
              <w:tc>
                <w:tcPr>
                  <w:tcW w:w="1424" w:type="dxa"/>
                  <w:shd w:val="clear" w:color="auto" w:fill="auto"/>
                  <w:noWrap w:val="0"/>
                  <w:vAlign w:val="center"/>
                </w:tcPr>
                <w:p w14:paraId="528CB0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0.343</w:t>
                  </w:r>
                </w:p>
              </w:tc>
              <w:tc>
                <w:tcPr>
                  <w:tcW w:w="1426" w:type="dxa"/>
                  <w:shd w:val="clear" w:color="auto" w:fill="auto"/>
                  <w:noWrap w:val="0"/>
                  <w:vAlign w:val="center"/>
                </w:tcPr>
                <w:p w14:paraId="75BD11A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0.323</w:t>
                  </w:r>
                </w:p>
              </w:tc>
            </w:tr>
            <w:tr w14:paraId="399C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65DF120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2D2A27E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5B11C7E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620C6A4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0.099</w:t>
                  </w:r>
                </w:p>
              </w:tc>
              <w:tc>
                <w:tcPr>
                  <w:tcW w:w="1424" w:type="dxa"/>
                  <w:shd w:val="clear" w:color="auto" w:fill="auto"/>
                  <w:noWrap w:val="0"/>
                  <w:vAlign w:val="center"/>
                </w:tcPr>
                <w:p w14:paraId="355342D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0.341</w:t>
                  </w:r>
                </w:p>
              </w:tc>
              <w:tc>
                <w:tcPr>
                  <w:tcW w:w="1424" w:type="dxa"/>
                  <w:shd w:val="clear" w:color="auto" w:fill="auto"/>
                  <w:noWrap w:val="0"/>
                  <w:vAlign w:val="center"/>
                </w:tcPr>
                <w:p w14:paraId="0DC6D93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0.346</w:t>
                  </w:r>
                </w:p>
              </w:tc>
              <w:tc>
                <w:tcPr>
                  <w:tcW w:w="1426" w:type="dxa"/>
                  <w:shd w:val="clear" w:color="auto" w:fill="auto"/>
                  <w:noWrap w:val="0"/>
                  <w:vAlign w:val="center"/>
                </w:tcPr>
                <w:p w14:paraId="12AFD6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0.325</w:t>
                  </w:r>
                </w:p>
              </w:tc>
            </w:tr>
            <w:tr w14:paraId="5BF5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2C168E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7DB636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EB95A9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6F614A8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w:t>
                  </w:r>
                </w:p>
              </w:tc>
              <w:tc>
                <w:tcPr>
                  <w:tcW w:w="1424" w:type="dxa"/>
                  <w:shd w:val="clear" w:color="auto" w:fill="auto"/>
                  <w:noWrap w:val="0"/>
                  <w:vAlign w:val="center"/>
                </w:tcPr>
                <w:p w14:paraId="6FCE372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0.337</w:t>
                  </w:r>
                </w:p>
              </w:tc>
              <w:tc>
                <w:tcPr>
                  <w:tcW w:w="1424" w:type="dxa"/>
                  <w:shd w:val="clear" w:color="auto" w:fill="auto"/>
                  <w:noWrap w:val="0"/>
                  <w:vAlign w:val="center"/>
                </w:tcPr>
                <w:p w14:paraId="293FC5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0.348</w:t>
                  </w:r>
                </w:p>
              </w:tc>
              <w:tc>
                <w:tcPr>
                  <w:tcW w:w="1426" w:type="dxa"/>
                  <w:shd w:val="clear" w:color="auto" w:fill="auto"/>
                  <w:noWrap w:val="0"/>
                  <w:vAlign w:val="center"/>
                </w:tcPr>
                <w:p w14:paraId="7584C9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0.324</w:t>
                  </w:r>
                </w:p>
              </w:tc>
            </w:tr>
            <w:tr w14:paraId="761F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50CF9F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p w14:paraId="147D3D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3B1EA60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8EF131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00FEBC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0.053</w:t>
                  </w:r>
                </w:p>
              </w:tc>
              <w:tc>
                <w:tcPr>
                  <w:tcW w:w="1424" w:type="dxa"/>
                  <w:shd w:val="clear" w:color="auto" w:fill="auto"/>
                  <w:noWrap w:val="0"/>
                  <w:vAlign w:val="center"/>
                </w:tcPr>
                <w:p w14:paraId="36A0660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0.105</w:t>
                  </w:r>
                </w:p>
              </w:tc>
              <w:tc>
                <w:tcPr>
                  <w:tcW w:w="1424" w:type="dxa"/>
                  <w:shd w:val="clear" w:color="auto" w:fill="auto"/>
                  <w:noWrap w:val="0"/>
                  <w:vAlign w:val="center"/>
                </w:tcPr>
                <w:p w14:paraId="6A1422E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0.115</w:t>
                  </w:r>
                </w:p>
              </w:tc>
              <w:tc>
                <w:tcPr>
                  <w:tcW w:w="1426" w:type="dxa"/>
                  <w:shd w:val="clear" w:color="auto" w:fill="auto"/>
                  <w:noWrap w:val="0"/>
                  <w:vAlign w:val="center"/>
                </w:tcPr>
                <w:p w14:paraId="4446066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0.110</w:t>
                  </w:r>
                </w:p>
              </w:tc>
            </w:tr>
            <w:tr w14:paraId="7A3E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1F7F88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00FE65E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6EE60F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51C0700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0.056</w:t>
                  </w:r>
                </w:p>
              </w:tc>
              <w:tc>
                <w:tcPr>
                  <w:tcW w:w="1424" w:type="dxa"/>
                  <w:shd w:val="clear" w:color="auto" w:fill="auto"/>
                  <w:noWrap w:val="0"/>
                  <w:vAlign w:val="center"/>
                </w:tcPr>
                <w:p w14:paraId="7DA34B8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0.112</w:t>
                  </w:r>
                </w:p>
              </w:tc>
              <w:tc>
                <w:tcPr>
                  <w:tcW w:w="1424" w:type="dxa"/>
                  <w:shd w:val="clear" w:color="auto" w:fill="auto"/>
                  <w:noWrap w:val="0"/>
                  <w:vAlign w:val="center"/>
                </w:tcPr>
                <w:p w14:paraId="30958A2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0.118</w:t>
                  </w:r>
                </w:p>
              </w:tc>
              <w:tc>
                <w:tcPr>
                  <w:tcW w:w="1426" w:type="dxa"/>
                  <w:shd w:val="clear" w:color="auto" w:fill="auto"/>
                  <w:noWrap w:val="0"/>
                  <w:vAlign w:val="center"/>
                </w:tcPr>
                <w:p w14:paraId="086CFE9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0.111</w:t>
                  </w:r>
                </w:p>
              </w:tc>
            </w:tr>
            <w:tr w14:paraId="09AC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17117D0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5DE6479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7A4A2DC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399737F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0.054</w:t>
                  </w:r>
                </w:p>
              </w:tc>
              <w:tc>
                <w:tcPr>
                  <w:tcW w:w="1424" w:type="dxa"/>
                  <w:shd w:val="clear" w:color="auto" w:fill="auto"/>
                  <w:noWrap w:val="0"/>
                  <w:vAlign w:val="center"/>
                </w:tcPr>
                <w:p w14:paraId="5B9B7B1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0.115</w:t>
                  </w:r>
                </w:p>
              </w:tc>
              <w:tc>
                <w:tcPr>
                  <w:tcW w:w="1424" w:type="dxa"/>
                  <w:shd w:val="clear" w:color="auto" w:fill="auto"/>
                  <w:noWrap w:val="0"/>
                  <w:vAlign w:val="center"/>
                </w:tcPr>
                <w:p w14:paraId="50E9D53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0.114</w:t>
                  </w:r>
                </w:p>
              </w:tc>
              <w:tc>
                <w:tcPr>
                  <w:tcW w:w="1426" w:type="dxa"/>
                  <w:shd w:val="clear" w:color="auto" w:fill="auto"/>
                  <w:noWrap w:val="0"/>
                  <w:vAlign w:val="center"/>
                </w:tcPr>
                <w:p w14:paraId="26B7A36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0.113</w:t>
                  </w:r>
                </w:p>
              </w:tc>
            </w:tr>
            <w:tr w14:paraId="42D7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55124C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p w14:paraId="19E0ECB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325670B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52C753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1A58AC8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w:t>
                  </w:r>
                </w:p>
              </w:tc>
              <w:tc>
                <w:tcPr>
                  <w:tcW w:w="1424" w:type="dxa"/>
                  <w:shd w:val="clear" w:color="auto" w:fill="auto"/>
                  <w:noWrap w:val="0"/>
                  <w:vAlign w:val="center"/>
                </w:tcPr>
                <w:p w14:paraId="455029B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p>
              </w:tc>
              <w:tc>
                <w:tcPr>
                  <w:tcW w:w="1424" w:type="dxa"/>
                  <w:shd w:val="clear" w:color="auto" w:fill="auto"/>
                  <w:noWrap w:val="0"/>
                  <w:vAlign w:val="center"/>
                </w:tcPr>
                <w:p w14:paraId="539F654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w:t>
                  </w:r>
                </w:p>
              </w:tc>
              <w:tc>
                <w:tcPr>
                  <w:tcW w:w="1426" w:type="dxa"/>
                  <w:shd w:val="clear" w:color="auto" w:fill="auto"/>
                  <w:noWrap w:val="0"/>
                  <w:vAlign w:val="center"/>
                </w:tcPr>
                <w:p w14:paraId="2D2B454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2.06</w:t>
                  </w:r>
                </w:p>
              </w:tc>
            </w:tr>
            <w:tr w14:paraId="54A1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5999B07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7E270B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573ECB3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208CE06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1.39</w:t>
                  </w:r>
                </w:p>
              </w:tc>
              <w:tc>
                <w:tcPr>
                  <w:tcW w:w="1424" w:type="dxa"/>
                  <w:shd w:val="clear" w:color="auto" w:fill="auto"/>
                  <w:noWrap w:val="0"/>
                  <w:vAlign w:val="center"/>
                </w:tcPr>
                <w:p w14:paraId="3F71CBC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w:t>
                  </w:r>
                </w:p>
              </w:tc>
              <w:tc>
                <w:tcPr>
                  <w:tcW w:w="1424" w:type="dxa"/>
                  <w:shd w:val="clear" w:color="auto" w:fill="auto"/>
                  <w:noWrap w:val="0"/>
                  <w:vAlign w:val="center"/>
                </w:tcPr>
                <w:p w14:paraId="3E23B78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2.14</w:t>
                  </w:r>
                </w:p>
              </w:tc>
              <w:tc>
                <w:tcPr>
                  <w:tcW w:w="1426" w:type="dxa"/>
                  <w:shd w:val="clear" w:color="auto" w:fill="auto"/>
                  <w:noWrap w:val="0"/>
                  <w:vAlign w:val="center"/>
                </w:tcPr>
                <w:p w14:paraId="436A07C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2.04</w:t>
                  </w:r>
                </w:p>
              </w:tc>
            </w:tr>
            <w:tr w14:paraId="23D0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0FF797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5B7803F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8E5B7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589C2A5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w:t>
                  </w:r>
                </w:p>
              </w:tc>
              <w:tc>
                <w:tcPr>
                  <w:tcW w:w="1424" w:type="dxa"/>
                  <w:shd w:val="clear" w:color="auto" w:fill="auto"/>
                  <w:noWrap w:val="0"/>
                  <w:vAlign w:val="center"/>
                </w:tcPr>
                <w:p w14:paraId="73E7A0F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2.12</w:t>
                  </w:r>
                </w:p>
              </w:tc>
              <w:tc>
                <w:tcPr>
                  <w:tcW w:w="1424" w:type="dxa"/>
                  <w:shd w:val="clear" w:color="auto" w:fill="auto"/>
                  <w:noWrap w:val="0"/>
                  <w:vAlign w:val="center"/>
                </w:tcPr>
                <w:p w14:paraId="79E4D7F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p>
              </w:tc>
              <w:tc>
                <w:tcPr>
                  <w:tcW w:w="1426" w:type="dxa"/>
                  <w:shd w:val="clear" w:color="auto" w:fill="auto"/>
                  <w:noWrap w:val="0"/>
                  <w:vAlign w:val="center"/>
                </w:tcPr>
                <w:p w14:paraId="5195951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2.14</w:t>
                  </w:r>
                </w:p>
              </w:tc>
            </w:tr>
            <w:tr w14:paraId="71C2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51D5D1B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w:t>
                  </w:r>
                </w:p>
                <w:p w14:paraId="3EEF47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p w14:paraId="101A69E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0F53ED3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6982F1B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7C503E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244</w:t>
                  </w:r>
                </w:p>
              </w:tc>
              <w:tc>
                <w:tcPr>
                  <w:tcW w:w="1424" w:type="dxa"/>
                  <w:shd w:val="clear" w:color="auto" w:fill="auto"/>
                  <w:noWrap w:val="0"/>
                  <w:vAlign w:val="center"/>
                </w:tcPr>
                <w:p w14:paraId="774847C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379</w:t>
                  </w:r>
                </w:p>
              </w:tc>
              <w:tc>
                <w:tcPr>
                  <w:tcW w:w="1424" w:type="dxa"/>
                  <w:shd w:val="clear" w:color="auto" w:fill="auto"/>
                  <w:noWrap w:val="0"/>
                  <w:vAlign w:val="center"/>
                </w:tcPr>
                <w:p w14:paraId="5A990F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425</w:t>
                  </w:r>
                </w:p>
              </w:tc>
              <w:tc>
                <w:tcPr>
                  <w:tcW w:w="1426" w:type="dxa"/>
                  <w:shd w:val="clear" w:color="auto" w:fill="auto"/>
                  <w:noWrap w:val="0"/>
                  <w:vAlign w:val="center"/>
                </w:tcPr>
                <w:p w14:paraId="6918D4A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315</w:t>
                  </w:r>
                </w:p>
              </w:tc>
            </w:tr>
            <w:tr w14:paraId="6FCA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71F322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0DBBC4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66F6D9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490AB18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w:t>
                  </w:r>
                </w:p>
              </w:tc>
              <w:tc>
                <w:tcPr>
                  <w:tcW w:w="1424" w:type="dxa"/>
                  <w:shd w:val="clear" w:color="auto" w:fill="auto"/>
                  <w:noWrap w:val="0"/>
                  <w:vAlign w:val="center"/>
                </w:tcPr>
                <w:p w14:paraId="2E1CDAA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367</w:t>
                  </w:r>
                </w:p>
              </w:tc>
              <w:tc>
                <w:tcPr>
                  <w:tcW w:w="1424" w:type="dxa"/>
                  <w:shd w:val="clear" w:color="auto" w:fill="auto"/>
                  <w:noWrap w:val="0"/>
                  <w:vAlign w:val="center"/>
                </w:tcPr>
                <w:p w14:paraId="0FA899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414</w:t>
                  </w:r>
                </w:p>
              </w:tc>
              <w:tc>
                <w:tcPr>
                  <w:tcW w:w="1426" w:type="dxa"/>
                  <w:shd w:val="clear" w:color="auto" w:fill="auto"/>
                  <w:noWrap w:val="0"/>
                  <w:vAlign w:val="center"/>
                </w:tcPr>
                <w:p w14:paraId="5F0C19F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336</w:t>
                  </w:r>
                </w:p>
              </w:tc>
            </w:tr>
            <w:tr w14:paraId="4A3B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BF6331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43C9794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4143B50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6504B69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p>
              </w:tc>
              <w:tc>
                <w:tcPr>
                  <w:tcW w:w="1424" w:type="dxa"/>
                  <w:shd w:val="clear" w:color="auto" w:fill="auto"/>
                  <w:noWrap w:val="0"/>
                  <w:vAlign w:val="center"/>
                </w:tcPr>
                <w:p w14:paraId="5F516C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385</w:t>
                  </w:r>
                </w:p>
              </w:tc>
              <w:tc>
                <w:tcPr>
                  <w:tcW w:w="1424" w:type="dxa"/>
                  <w:shd w:val="clear" w:color="auto" w:fill="auto"/>
                  <w:noWrap w:val="0"/>
                  <w:vAlign w:val="center"/>
                </w:tcPr>
                <w:p w14:paraId="075C070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407</w:t>
                  </w:r>
                </w:p>
              </w:tc>
              <w:tc>
                <w:tcPr>
                  <w:tcW w:w="1426" w:type="dxa"/>
                  <w:shd w:val="clear" w:color="auto" w:fill="auto"/>
                  <w:noWrap w:val="0"/>
                  <w:vAlign w:val="center"/>
                </w:tcPr>
                <w:p w14:paraId="6F07904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323</w:t>
                  </w:r>
                </w:p>
              </w:tc>
            </w:tr>
            <w:tr w14:paraId="029A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4F872C3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p w14:paraId="1EC9839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restart"/>
                  <w:shd w:val="clear" w:color="auto" w:fill="auto"/>
                  <w:noWrap w:val="0"/>
                  <w:vAlign w:val="center"/>
                </w:tcPr>
                <w:p w14:paraId="498DE9D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2024.07.23</w:t>
                  </w:r>
                </w:p>
              </w:tc>
              <w:tc>
                <w:tcPr>
                  <w:tcW w:w="795" w:type="dxa"/>
                  <w:shd w:val="clear" w:color="auto" w:fill="auto"/>
                  <w:noWrap w:val="0"/>
                  <w:vAlign w:val="center"/>
                </w:tcPr>
                <w:p w14:paraId="29815F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5B0C40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0.21</w:t>
                  </w:r>
                </w:p>
              </w:tc>
              <w:tc>
                <w:tcPr>
                  <w:tcW w:w="1424" w:type="dxa"/>
                  <w:shd w:val="clear" w:color="auto" w:fill="auto"/>
                  <w:noWrap w:val="0"/>
                  <w:vAlign w:val="center"/>
                </w:tcPr>
                <w:p w14:paraId="1071D5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w:t>
                  </w:r>
                </w:p>
              </w:tc>
              <w:tc>
                <w:tcPr>
                  <w:tcW w:w="1424" w:type="dxa"/>
                  <w:shd w:val="clear" w:color="auto" w:fill="auto"/>
                  <w:noWrap w:val="0"/>
                  <w:vAlign w:val="center"/>
                </w:tcPr>
                <w:p w14:paraId="27FF04B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0.37</w:t>
                  </w:r>
                </w:p>
              </w:tc>
              <w:tc>
                <w:tcPr>
                  <w:tcW w:w="1426" w:type="dxa"/>
                  <w:shd w:val="clear" w:color="auto" w:fill="auto"/>
                  <w:noWrap w:val="0"/>
                  <w:vAlign w:val="center"/>
                </w:tcPr>
                <w:p w14:paraId="4C4BCAC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w:t>
                  </w:r>
                </w:p>
              </w:tc>
            </w:tr>
            <w:tr w14:paraId="57A0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6" w:type="dxa"/>
                  <w:vMerge w:val="continue"/>
                  <w:shd w:val="clear" w:color="auto" w:fill="auto"/>
                  <w:noWrap w:val="0"/>
                  <w:vAlign w:val="center"/>
                </w:tcPr>
                <w:p w14:paraId="0AA3AA6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371E1B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7EFBC74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0066DDA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w:t>
                  </w:r>
                </w:p>
              </w:tc>
              <w:tc>
                <w:tcPr>
                  <w:tcW w:w="1424" w:type="dxa"/>
                  <w:shd w:val="clear" w:color="auto" w:fill="auto"/>
                  <w:noWrap w:val="0"/>
                  <w:vAlign w:val="center"/>
                </w:tcPr>
                <w:p w14:paraId="27B7517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0.29</w:t>
                  </w:r>
                </w:p>
              </w:tc>
              <w:tc>
                <w:tcPr>
                  <w:tcW w:w="1424" w:type="dxa"/>
                  <w:shd w:val="clear" w:color="auto" w:fill="auto"/>
                  <w:noWrap w:val="0"/>
                  <w:vAlign w:val="center"/>
                </w:tcPr>
                <w:p w14:paraId="024C3E4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1426" w:type="dxa"/>
                  <w:shd w:val="clear" w:color="auto" w:fill="auto"/>
                  <w:noWrap w:val="0"/>
                  <w:vAlign w:val="center"/>
                </w:tcPr>
                <w:p w14:paraId="126D184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0.41</w:t>
                  </w:r>
                </w:p>
              </w:tc>
            </w:tr>
            <w:tr w14:paraId="6520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398AA0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15C40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2EF5E66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53F5849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w:t>
                  </w:r>
                </w:p>
              </w:tc>
              <w:tc>
                <w:tcPr>
                  <w:tcW w:w="1424" w:type="dxa"/>
                  <w:shd w:val="clear" w:color="auto" w:fill="auto"/>
                  <w:noWrap w:val="0"/>
                  <w:vAlign w:val="center"/>
                </w:tcPr>
                <w:p w14:paraId="3E97F67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w:t>
                  </w:r>
                </w:p>
              </w:tc>
              <w:tc>
                <w:tcPr>
                  <w:tcW w:w="1424" w:type="dxa"/>
                  <w:shd w:val="clear" w:color="auto" w:fill="auto"/>
                  <w:noWrap w:val="0"/>
                  <w:vAlign w:val="center"/>
                </w:tcPr>
                <w:p w14:paraId="3ABDF53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w:t>
                  </w:r>
                </w:p>
              </w:tc>
              <w:tc>
                <w:tcPr>
                  <w:tcW w:w="1426" w:type="dxa"/>
                  <w:shd w:val="clear" w:color="auto" w:fill="auto"/>
                  <w:noWrap w:val="0"/>
                  <w:vAlign w:val="center"/>
                </w:tcPr>
                <w:p w14:paraId="4EE87E8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0.41</w:t>
                  </w:r>
                </w:p>
              </w:tc>
            </w:tr>
            <w:tr w14:paraId="2FD0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0E25CA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77B4633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5A4A61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060E749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w:t>
                  </w:r>
                </w:p>
              </w:tc>
              <w:tc>
                <w:tcPr>
                  <w:tcW w:w="1424" w:type="dxa"/>
                  <w:shd w:val="clear" w:color="auto" w:fill="auto"/>
                  <w:noWrap w:val="0"/>
                  <w:vAlign w:val="center"/>
                </w:tcPr>
                <w:p w14:paraId="558251E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0.013</w:t>
                  </w:r>
                </w:p>
              </w:tc>
              <w:tc>
                <w:tcPr>
                  <w:tcW w:w="1424" w:type="dxa"/>
                  <w:shd w:val="clear" w:color="auto" w:fill="auto"/>
                  <w:noWrap w:val="0"/>
                  <w:vAlign w:val="center"/>
                </w:tcPr>
                <w:p w14:paraId="1B0F896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0.021</w:t>
                  </w:r>
                </w:p>
              </w:tc>
              <w:tc>
                <w:tcPr>
                  <w:tcW w:w="1426" w:type="dxa"/>
                  <w:shd w:val="clear" w:color="auto" w:fill="auto"/>
                  <w:noWrap w:val="0"/>
                  <w:vAlign w:val="center"/>
                </w:tcPr>
                <w:p w14:paraId="02F6A7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0.026</w:t>
                  </w:r>
                </w:p>
              </w:tc>
            </w:tr>
            <w:tr w14:paraId="73A8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3EE8E0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4B07D84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7A448A5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232A7DF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c>
                <w:tcPr>
                  <w:tcW w:w="1424" w:type="dxa"/>
                  <w:shd w:val="clear" w:color="auto" w:fill="auto"/>
                  <w:noWrap w:val="0"/>
                  <w:vAlign w:val="center"/>
                </w:tcPr>
                <w:p w14:paraId="6343BE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c>
                <w:tcPr>
                  <w:tcW w:w="1424" w:type="dxa"/>
                  <w:shd w:val="clear" w:color="auto" w:fill="auto"/>
                  <w:noWrap w:val="0"/>
                  <w:vAlign w:val="center"/>
                </w:tcPr>
                <w:p w14:paraId="7180A54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0.022</w:t>
                  </w:r>
                </w:p>
              </w:tc>
              <w:tc>
                <w:tcPr>
                  <w:tcW w:w="1426" w:type="dxa"/>
                  <w:shd w:val="clear" w:color="auto" w:fill="auto"/>
                  <w:noWrap w:val="0"/>
                  <w:vAlign w:val="center"/>
                </w:tcPr>
                <w:p w14:paraId="65FE98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0.025</w:t>
                  </w:r>
                </w:p>
              </w:tc>
            </w:tr>
            <w:tr w14:paraId="0F3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235395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69BF11C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35AC678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00B5184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w:t>
                  </w:r>
                </w:p>
              </w:tc>
              <w:tc>
                <w:tcPr>
                  <w:tcW w:w="1424" w:type="dxa"/>
                  <w:shd w:val="clear" w:color="auto" w:fill="auto"/>
                  <w:noWrap w:val="0"/>
                  <w:vAlign w:val="center"/>
                </w:tcPr>
                <w:p w14:paraId="2041A9C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0.016</w:t>
                  </w:r>
                </w:p>
              </w:tc>
              <w:tc>
                <w:tcPr>
                  <w:tcW w:w="1424" w:type="dxa"/>
                  <w:shd w:val="clear" w:color="auto" w:fill="auto"/>
                  <w:noWrap w:val="0"/>
                  <w:vAlign w:val="center"/>
                </w:tcPr>
                <w:p w14:paraId="61D3BE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0.023</w:t>
                  </w:r>
                </w:p>
              </w:tc>
              <w:tc>
                <w:tcPr>
                  <w:tcW w:w="1426" w:type="dxa"/>
                  <w:shd w:val="clear" w:color="auto" w:fill="auto"/>
                  <w:noWrap w:val="0"/>
                  <w:vAlign w:val="center"/>
                </w:tcPr>
                <w:p w14:paraId="7E05D98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r>
            <w:tr w14:paraId="0D75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030581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p w14:paraId="3E6293E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396DDA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435458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4AB6FC5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w:t>
                  </w:r>
                </w:p>
              </w:tc>
              <w:tc>
                <w:tcPr>
                  <w:tcW w:w="1424" w:type="dxa"/>
                  <w:shd w:val="clear" w:color="auto" w:fill="auto"/>
                  <w:noWrap w:val="0"/>
                  <w:vAlign w:val="center"/>
                </w:tcPr>
                <w:p w14:paraId="0FC741E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0.327</w:t>
                  </w:r>
                </w:p>
              </w:tc>
              <w:tc>
                <w:tcPr>
                  <w:tcW w:w="1424" w:type="dxa"/>
                  <w:shd w:val="clear" w:color="auto" w:fill="auto"/>
                  <w:noWrap w:val="0"/>
                  <w:vAlign w:val="center"/>
                </w:tcPr>
                <w:p w14:paraId="6906164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0.345</w:t>
                  </w:r>
                </w:p>
              </w:tc>
              <w:tc>
                <w:tcPr>
                  <w:tcW w:w="1426" w:type="dxa"/>
                  <w:shd w:val="clear" w:color="auto" w:fill="auto"/>
                  <w:noWrap w:val="0"/>
                  <w:vAlign w:val="center"/>
                </w:tcPr>
                <w:p w14:paraId="15B8167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0.324</w:t>
                  </w:r>
                </w:p>
              </w:tc>
            </w:tr>
            <w:tr w14:paraId="0648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61B43E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447871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4EA7879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22467B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0.104</w:t>
                  </w:r>
                </w:p>
              </w:tc>
              <w:tc>
                <w:tcPr>
                  <w:tcW w:w="1424" w:type="dxa"/>
                  <w:shd w:val="clear" w:color="auto" w:fill="auto"/>
                  <w:noWrap w:val="0"/>
                  <w:vAlign w:val="center"/>
                </w:tcPr>
                <w:p w14:paraId="29E5D5B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0.334</w:t>
                  </w:r>
                </w:p>
              </w:tc>
              <w:tc>
                <w:tcPr>
                  <w:tcW w:w="1424" w:type="dxa"/>
                  <w:shd w:val="clear" w:color="auto" w:fill="auto"/>
                  <w:noWrap w:val="0"/>
                  <w:vAlign w:val="center"/>
                </w:tcPr>
                <w:p w14:paraId="64D9209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0.342</w:t>
                  </w:r>
                </w:p>
              </w:tc>
              <w:tc>
                <w:tcPr>
                  <w:tcW w:w="1426" w:type="dxa"/>
                  <w:shd w:val="clear" w:color="auto" w:fill="auto"/>
                  <w:noWrap w:val="0"/>
                  <w:vAlign w:val="center"/>
                </w:tcPr>
                <w:p w14:paraId="32F77A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0.328</w:t>
                  </w:r>
                </w:p>
              </w:tc>
            </w:tr>
            <w:tr w14:paraId="22ED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EE8F9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5EAAB3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4AD4093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2E380C1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0.106</w:t>
                  </w:r>
                </w:p>
              </w:tc>
              <w:tc>
                <w:tcPr>
                  <w:tcW w:w="1424" w:type="dxa"/>
                  <w:shd w:val="clear" w:color="auto" w:fill="auto"/>
                  <w:noWrap w:val="0"/>
                  <w:vAlign w:val="center"/>
                </w:tcPr>
                <w:p w14:paraId="46ECA8E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0.329</w:t>
                  </w:r>
                </w:p>
              </w:tc>
              <w:tc>
                <w:tcPr>
                  <w:tcW w:w="1424" w:type="dxa"/>
                  <w:shd w:val="clear" w:color="auto" w:fill="auto"/>
                  <w:noWrap w:val="0"/>
                  <w:vAlign w:val="center"/>
                </w:tcPr>
                <w:p w14:paraId="5A8372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0.340</w:t>
                  </w:r>
                </w:p>
              </w:tc>
              <w:tc>
                <w:tcPr>
                  <w:tcW w:w="1426" w:type="dxa"/>
                  <w:shd w:val="clear" w:color="auto" w:fill="auto"/>
                  <w:noWrap w:val="0"/>
                  <w:vAlign w:val="center"/>
                </w:tcPr>
                <w:p w14:paraId="402F46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0.321</w:t>
                  </w:r>
                </w:p>
              </w:tc>
            </w:tr>
            <w:tr w14:paraId="78AA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5E5706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p w14:paraId="0AE67D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restart"/>
                  <w:shd w:val="clear" w:color="auto" w:fill="auto"/>
                  <w:noWrap w:val="0"/>
                  <w:vAlign w:val="center"/>
                </w:tcPr>
                <w:p w14:paraId="5BEBE2B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2024.07.23</w:t>
                  </w:r>
                </w:p>
              </w:tc>
              <w:tc>
                <w:tcPr>
                  <w:tcW w:w="795" w:type="dxa"/>
                  <w:shd w:val="clear" w:color="auto" w:fill="auto"/>
                  <w:noWrap w:val="0"/>
                  <w:vAlign w:val="center"/>
                </w:tcPr>
                <w:p w14:paraId="0FDDA3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363A44B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0.049</w:t>
                  </w:r>
                </w:p>
              </w:tc>
              <w:tc>
                <w:tcPr>
                  <w:tcW w:w="1424" w:type="dxa"/>
                  <w:shd w:val="clear" w:color="auto" w:fill="auto"/>
                  <w:noWrap w:val="0"/>
                  <w:vAlign w:val="center"/>
                </w:tcPr>
                <w:p w14:paraId="796C9C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0.109</w:t>
                  </w:r>
                </w:p>
              </w:tc>
              <w:tc>
                <w:tcPr>
                  <w:tcW w:w="1424" w:type="dxa"/>
                  <w:shd w:val="clear" w:color="auto" w:fill="auto"/>
                  <w:noWrap w:val="0"/>
                  <w:vAlign w:val="center"/>
                </w:tcPr>
                <w:p w14:paraId="2EFAFD2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0.121</w:t>
                  </w:r>
                </w:p>
              </w:tc>
              <w:tc>
                <w:tcPr>
                  <w:tcW w:w="1426" w:type="dxa"/>
                  <w:shd w:val="clear" w:color="auto" w:fill="auto"/>
                  <w:noWrap w:val="0"/>
                  <w:vAlign w:val="center"/>
                </w:tcPr>
                <w:p w14:paraId="29608E1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0.112</w:t>
                  </w:r>
                </w:p>
              </w:tc>
            </w:tr>
            <w:tr w14:paraId="5C50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298F872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44D228D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E8B8F9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555C05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0.053</w:t>
                  </w:r>
                </w:p>
              </w:tc>
              <w:tc>
                <w:tcPr>
                  <w:tcW w:w="1424" w:type="dxa"/>
                  <w:shd w:val="clear" w:color="auto" w:fill="auto"/>
                  <w:noWrap w:val="0"/>
                  <w:vAlign w:val="center"/>
                </w:tcPr>
                <w:p w14:paraId="5623F9D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0.107</w:t>
                  </w:r>
                </w:p>
              </w:tc>
              <w:tc>
                <w:tcPr>
                  <w:tcW w:w="1424" w:type="dxa"/>
                  <w:shd w:val="clear" w:color="auto" w:fill="auto"/>
                  <w:noWrap w:val="0"/>
                  <w:vAlign w:val="center"/>
                </w:tcPr>
                <w:p w14:paraId="63B3A1E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0.121</w:t>
                  </w:r>
                </w:p>
              </w:tc>
              <w:tc>
                <w:tcPr>
                  <w:tcW w:w="1426" w:type="dxa"/>
                  <w:shd w:val="clear" w:color="auto" w:fill="auto"/>
                  <w:noWrap w:val="0"/>
                  <w:vAlign w:val="center"/>
                </w:tcPr>
                <w:p w14:paraId="6D4C3ED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0.117</w:t>
                  </w:r>
                </w:p>
              </w:tc>
            </w:tr>
            <w:tr w14:paraId="5DCF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21300D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37503CB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28ABD83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1E1994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0.053</w:t>
                  </w:r>
                </w:p>
              </w:tc>
              <w:tc>
                <w:tcPr>
                  <w:tcW w:w="1424" w:type="dxa"/>
                  <w:shd w:val="clear" w:color="auto" w:fill="auto"/>
                  <w:noWrap w:val="0"/>
                  <w:vAlign w:val="center"/>
                </w:tcPr>
                <w:p w14:paraId="0D63602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0.115</w:t>
                  </w:r>
                </w:p>
              </w:tc>
              <w:tc>
                <w:tcPr>
                  <w:tcW w:w="1424" w:type="dxa"/>
                  <w:shd w:val="clear" w:color="auto" w:fill="auto"/>
                  <w:noWrap w:val="0"/>
                  <w:vAlign w:val="center"/>
                </w:tcPr>
                <w:p w14:paraId="6DB670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0.121</w:t>
                  </w:r>
                </w:p>
              </w:tc>
              <w:tc>
                <w:tcPr>
                  <w:tcW w:w="1426" w:type="dxa"/>
                  <w:shd w:val="clear" w:color="auto" w:fill="auto"/>
                  <w:noWrap w:val="0"/>
                  <w:vAlign w:val="center"/>
                </w:tcPr>
                <w:p w14:paraId="3A15C46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0.111</w:t>
                  </w:r>
                </w:p>
              </w:tc>
            </w:tr>
            <w:tr w14:paraId="25A4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7E5F87C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p w14:paraId="1B8E8C6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6069482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3C4E2A5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17939CD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1.59</w:t>
                  </w:r>
                </w:p>
              </w:tc>
              <w:tc>
                <w:tcPr>
                  <w:tcW w:w="1424" w:type="dxa"/>
                  <w:shd w:val="clear" w:color="auto" w:fill="auto"/>
                  <w:noWrap w:val="0"/>
                  <w:vAlign w:val="center"/>
                </w:tcPr>
                <w:p w14:paraId="769B938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2.18</w:t>
                  </w:r>
                </w:p>
              </w:tc>
              <w:tc>
                <w:tcPr>
                  <w:tcW w:w="1424" w:type="dxa"/>
                  <w:shd w:val="clear" w:color="auto" w:fill="auto"/>
                  <w:noWrap w:val="0"/>
                  <w:vAlign w:val="center"/>
                </w:tcPr>
                <w:p w14:paraId="0EDD692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w:t>
                  </w:r>
                </w:p>
              </w:tc>
              <w:tc>
                <w:tcPr>
                  <w:tcW w:w="1426" w:type="dxa"/>
                  <w:shd w:val="clear" w:color="auto" w:fill="auto"/>
                  <w:noWrap w:val="0"/>
                  <w:vAlign w:val="center"/>
                </w:tcPr>
                <w:p w14:paraId="6AF775D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2.34</w:t>
                  </w:r>
                </w:p>
              </w:tc>
            </w:tr>
            <w:tr w14:paraId="215A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5B73F2B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FD0530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44C5C4F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108A20E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w:t>
                  </w:r>
                </w:p>
              </w:tc>
              <w:tc>
                <w:tcPr>
                  <w:tcW w:w="1424" w:type="dxa"/>
                  <w:shd w:val="clear" w:color="auto" w:fill="auto"/>
                  <w:noWrap w:val="0"/>
                  <w:vAlign w:val="center"/>
                </w:tcPr>
                <w:p w14:paraId="6006E75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2.14</w:t>
                  </w:r>
                </w:p>
              </w:tc>
              <w:tc>
                <w:tcPr>
                  <w:tcW w:w="1424" w:type="dxa"/>
                  <w:shd w:val="clear" w:color="auto" w:fill="auto"/>
                  <w:noWrap w:val="0"/>
                  <w:vAlign w:val="center"/>
                </w:tcPr>
                <w:p w14:paraId="45335F9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2.20</w:t>
                  </w:r>
                </w:p>
              </w:tc>
              <w:tc>
                <w:tcPr>
                  <w:tcW w:w="1426" w:type="dxa"/>
                  <w:shd w:val="clear" w:color="auto" w:fill="auto"/>
                  <w:noWrap w:val="0"/>
                  <w:vAlign w:val="center"/>
                </w:tcPr>
                <w:p w14:paraId="4D7A516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1.93</w:t>
                  </w:r>
                </w:p>
              </w:tc>
            </w:tr>
            <w:tr w14:paraId="598F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7D168F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4DC9EE7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3F86601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7AA6BFF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w:t>
                  </w:r>
                </w:p>
              </w:tc>
              <w:tc>
                <w:tcPr>
                  <w:tcW w:w="1424" w:type="dxa"/>
                  <w:shd w:val="clear" w:color="auto" w:fill="auto"/>
                  <w:noWrap w:val="0"/>
                  <w:vAlign w:val="center"/>
                </w:tcPr>
                <w:p w14:paraId="6C269A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2.03</w:t>
                  </w:r>
                </w:p>
              </w:tc>
              <w:tc>
                <w:tcPr>
                  <w:tcW w:w="1424" w:type="dxa"/>
                  <w:shd w:val="clear" w:color="auto" w:fill="auto"/>
                  <w:noWrap w:val="0"/>
                  <w:vAlign w:val="center"/>
                </w:tcPr>
                <w:p w14:paraId="2FD9A6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p>
              </w:tc>
              <w:tc>
                <w:tcPr>
                  <w:tcW w:w="1426" w:type="dxa"/>
                  <w:shd w:val="clear" w:color="auto" w:fill="auto"/>
                  <w:noWrap w:val="0"/>
                  <w:vAlign w:val="center"/>
                </w:tcPr>
                <w:p w14:paraId="2FE4952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w:t>
                  </w:r>
                </w:p>
              </w:tc>
            </w:tr>
            <w:tr w14:paraId="0FD8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1F360F1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w:t>
                  </w:r>
                </w:p>
                <w:p w14:paraId="254F122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p w14:paraId="5B94E4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continue"/>
                  <w:shd w:val="clear" w:color="auto" w:fill="auto"/>
                  <w:noWrap w:val="0"/>
                  <w:vAlign w:val="center"/>
                </w:tcPr>
                <w:p w14:paraId="3D12BC8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2F3BDEF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4" w:type="dxa"/>
                  <w:shd w:val="clear" w:color="auto" w:fill="auto"/>
                  <w:noWrap w:val="0"/>
                  <w:vAlign w:val="center"/>
                </w:tcPr>
                <w:p w14:paraId="307B5F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204</w:t>
                  </w:r>
                </w:p>
              </w:tc>
              <w:tc>
                <w:tcPr>
                  <w:tcW w:w="1424" w:type="dxa"/>
                  <w:shd w:val="clear" w:color="auto" w:fill="auto"/>
                  <w:noWrap w:val="0"/>
                  <w:vAlign w:val="center"/>
                </w:tcPr>
                <w:p w14:paraId="35C9B0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411</w:t>
                  </w:r>
                </w:p>
              </w:tc>
              <w:tc>
                <w:tcPr>
                  <w:tcW w:w="1424" w:type="dxa"/>
                  <w:shd w:val="clear" w:color="auto" w:fill="auto"/>
                  <w:noWrap w:val="0"/>
                  <w:vAlign w:val="center"/>
                </w:tcPr>
                <w:p w14:paraId="3819351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341</w:t>
                  </w:r>
                </w:p>
              </w:tc>
              <w:tc>
                <w:tcPr>
                  <w:tcW w:w="1426" w:type="dxa"/>
                  <w:shd w:val="clear" w:color="auto" w:fill="auto"/>
                  <w:noWrap w:val="0"/>
                  <w:vAlign w:val="center"/>
                </w:tcPr>
                <w:p w14:paraId="1F1700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374</w:t>
                  </w:r>
                </w:p>
              </w:tc>
            </w:tr>
            <w:tr w14:paraId="0FAB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7FB7FE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33E978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132A15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24" w:type="dxa"/>
                  <w:shd w:val="clear" w:color="auto" w:fill="auto"/>
                  <w:noWrap w:val="0"/>
                  <w:vAlign w:val="center"/>
                </w:tcPr>
                <w:p w14:paraId="15571BE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w:t>
                  </w:r>
                </w:p>
              </w:tc>
              <w:tc>
                <w:tcPr>
                  <w:tcW w:w="1424" w:type="dxa"/>
                  <w:shd w:val="clear" w:color="auto" w:fill="auto"/>
                  <w:noWrap w:val="0"/>
                  <w:vAlign w:val="center"/>
                </w:tcPr>
                <w:p w14:paraId="7737FFE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420</w:t>
                  </w:r>
                </w:p>
              </w:tc>
              <w:tc>
                <w:tcPr>
                  <w:tcW w:w="1424" w:type="dxa"/>
                  <w:shd w:val="clear" w:color="auto" w:fill="auto"/>
                  <w:noWrap w:val="0"/>
                  <w:vAlign w:val="center"/>
                </w:tcPr>
                <w:p w14:paraId="5B7B590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314</w:t>
                  </w:r>
                </w:p>
              </w:tc>
              <w:tc>
                <w:tcPr>
                  <w:tcW w:w="1426" w:type="dxa"/>
                  <w:shd w:val="clear" w:color="auto" w:fill="auto"/>
                  <w:noWrap w:val="0"/>
                  <w:vAlign w:val="center"/>
                </w:tcPr>
                <w:p w14:paraId="03FBC3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356</w:t>
                  </w:r>
                </w:p>
              </w:tc>
            </w:tr>
            <w:tr w14:paraId="7D0A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1ADE60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5FF64D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3E47C6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24" w:type="dxa"/>
                  <w:shd w:val="clear" w:color="auto" w:fill="auto"/>
                  <w:noWrap w:val="0"/>
                  <w:vAlign w:val="center"/>
                </w:tcPr>
                <w:p w14:paraId="2E60996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215</w:t>
                  </w:r>
                </w:p>
              </w:tc>
              <w:tc>
                <w:tcPr>
                  <w:tcW w:w="1424" w:type="dxa"/>
                  <w:shd w:val="clear" w:color="auto" w:fill="auto"/>
                  <w:noWrap w:val="0"/>
                  <w:vAlign w:val="center"/>
                </w:tcPr>
                <w:p w14:paraId="0D520E3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404</w:t>
                  </w:r>
                </w:p>
              </w:tc>
              <w:tc>
                <w:tcPr>
                  <w:tcW w:w="1424" w:type="dxa"/>
                  <w:shd w:val="clear" w:color="auto" w:fill="auto"/>
                  <w:noWrap w:val="0"/>
                  <w:vAlign w:val="center"/>
                </w:tcPr>
                <w:p w14:paraId="1ED7A64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327</w:t>
                  </w:r>
                </w:p>
              </w:tc>
              <w:tc>
                <w:tcPr>
                  <w:tcW w:w="1426" w:type="dxa"/>
                  <w:shd w:val="clear" w:color="auto" w:fill="auto"/>
                  <w:noWrap w:val="0"/>
                  <w:vAlign w:val="center"/>
                </w:tcPr>
                <w:p w14:paraId="0B462CD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387</w:t>
                  </w:r>
                </w:p>
              </w:tc>
            </w:tr>
            <w:tr w14:paraId="6AC4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6" w:type="dxa"/>
                  <w:gridSpan w:val="3"/>
                  <w:shd w:val="clear" w:color="auto" w:fill="auto"/>
                  <w:noWrap w:val="0"/>
                  <w:vAlign w:val="center"/>
                </w:tcPr>
                <w:p w14:paraId="37141D6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检测项目、时间及频次</w:t>
                  </w:r>
                </w:p>
                <w:p w14:paraId="71C61D7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5698" w:type="dxa"/>
                  <w:gridSpan w:val="4"/>
                  <w:shd w:val="clear" w:color="auto" w:fill="auto"/>
                  <w:noWrap w:val="0"/>
                  <w:vAlign w:val="center"/>
                </w:tcPr>
                <w:p w14:paraId="14AAB95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厂房大门外 5#</w:t>
                  </w:r>
                </w:p>
              </w:tc>
            </w:tr>
            <w:tr w14:paraId="1673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5F6EBBC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p w14:paraId="6563542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restart"/>
                  <w:shd w:val="clear" w:color="auto" w:fill="auto"/>
                  <w:noWrap w:val="0"/>
                  <w:vAlign w:val="center"/>
                </w:tcPr>
                <w:p w14:paraId="5E2168F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2024.07.22</w:t>
                  </w:r>
                </w:p>
              </w:tc>
              <w:tc>
                <w:tcPr>
                  <w:tcW w:w="795" w:type="dxa"/>
                  <w:shd w:val="clear" w:color="auto" w:fill="auto"/>
                  <w:noWrap w:val="0"/>
                  <w:vAlign w:val="center"/>
                </w:tcPr>
                <w:p w14:paraId="4A4D755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98" w:type="dxa"/>
                  <w:gridSpan w:val="4"/>
                  <w:shd w:val="clear" w:color="auto" w:fill="auto"/>
                  <w:noWrap w:val="0"/>
                  <w:vAlign w:val="center"/>
                </w:tcPr>
                <w:p w14:paraId="65ACD6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3.51</w:t>
                  </w:r>
                </w:p>
              </w:tc>
            </w:tr>
            <w:tr w14:paraId="65EA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41B49F6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778D8EC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C90E2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98" w:type="dxa"/>
                  <w:gridSpan w:val="4"/>
                  <w:shd w:val="clear" w:color="auto" w:fill="auto"/>
                  <w:noWrap w:val="0"/>
                  <w:vAlign w:val="center"/>
                </w:tcPr>
                <w:p w14:paraId="5383B0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3.58</w:t>
                  </w:r>
                </w:p>
              </w:tc>
            </w:tr>
            <w:tr w14:paraId="3DED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38D8E69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182AC91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6486BE3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698" w:type="dxa"/>
                  <w:gridSpan w:val="4"/>
                  <w:shd w:val="clear" w:color="auto" w:fill="auto"/>
                  <w:noWrap w:val="0"/>
                  <w:vAlign w:val="center"/>
                </w:tcPr>
                <w:p w14:paraId="4A9B70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3.78</w:t>
                  </w:r>
                </w:p>
              </w:tc>
            </w:tr>
            <w:tr w14:paraId="0FDF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shd w:val="clear" w:color="auto" w:fill="auto"/>
                  <w:noWrap w:val="0"/>
                  <w:vAlign w:val="center"/>
                </w:tcPr>
                <w:p w14:paraId="596D8F3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p w14:paraId="3D1D3CE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285" w:type="dxa"/>
                  <w:vMerge w:val="restart"/>
                  <w:shd w:val="clear" w:color="auto" w:fill="auto"/>
                  <w:noWrap w:val="0"/>
                  <w:vAlign w:val="center"/>
                </w:tcPr>
                <w:p w14:paraId="3FD041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2024.07.23</w:t>
                  </w:r>
                </w:p>
              </w:tc>
              <w:tc>
                <w:tcPr>
                  <w:tcW w:w="795" w:type="dxa"/>
                  <w:shd w:val="clear" w:color="auto" w:fill="auto"/>
                  <w:noWrap w:val="0"/>
                  <w:vAlign w:val="center"/>
                </w:tcPr>
                <w:p w14:paraId="73B34F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98" w:type="dxa"/>
                  <w:gridSpan w:val="4"/>
                  <w:shd w:val="clear" w:color="auto" w:fill="auto"/>
                  <w:noWrap w:val="0"/>
                  <w:vAlign w:val="center"/>
                </w:tcPr>
                <w:p w14:paraId="29DDEF6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3.02</w:t>
                  </w:r>
                </w:p>
              </w:tc>
            </w:tr>
            <w:tr w14:paraId="54BD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1C5423B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092F1F0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05EB467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698" w:type="dxa"/>
                  <w:gridSpan w:val="4"/>
                  <w:shd w:val="clear" w:color="auto" w:fill="auto"/>
                  <w:noWrap w:val="0"/>
                  <w:vAlign w:val="center"/>
                </w:tcPr>
                <w:p w14:paraId="5FF2064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3.70</w:t>
                  </w:r>
                </w:p>
              </w:tc>
            </w:tr>
            <w:tr w14:paraId="3D68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shd w:val="clear" w:color="auto" w:fill="auto"/>
                  <w:noWrap w:val="0"/>
                  <w:vAlign w:val="center"/>
                </w:tcPr>
                <w:p w14:paraId="3EE51C6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285" w:type="dxa"/>
                  <w:vMerge w:val="continue"/>
                  <w:shd w:val="clear" w:color="auto" w:fill="auto"/>
                  <w:noWrap w:val="0"/>
                  <w:vAlign w:val="center"/>
                </w:tcPr>
                <w:p w14:paraId="3E4578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dxa"/>
                  <w:shd w:val="clear" w:color="auto" w:fill="auto"/>
                  <w:noWrap w:val="0"/>
                  <w:vAlign w:val="center"/>
                </w:tcPr>
                <w:p w14:paraId="259C54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698" w:type="dxa"/>
                  <w:gridSpan w:val="4"/>
                  <w:shd w:val="clear" w:color="auto" w:fill="auto"/>
                  <w:noWrap w:val="0"/>
                  <w:vAlign w:val="center"/>
                </w:tcPr>
                <w:p w14:paraId="12F6C23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3.76</w:t>
                  </w:r>
                </w:p>
              </w:tc>
            </w:tr>
            <w:tr w14:paraId="6879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gridSpan w:val="2"/>
                  <w:shd w:val="clear" w:color="auto" w:fill="auto"/>
                  <w:noWrap w:val="0"/>
                  <w:vAlign w:val="center"/>
                </w:tcPr>
                <w:p w14:paraId="59CE63E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评价结果</w:t>
                  </w:r>
                </w:p>
              </w:tc>
              <w:tc>
                <w:tcPr>
                  <w:tcW w:w="6493" w:type="dxa"/>
                  <w:gridSpan w:val="5"/>
                  <w:shd w:val="clear" w:color="auto" w:fill="auto"/>
                  <w:noWrap w:val="0"/>
                  <w:vAlign w:val="center"/>
                </w:tcPr>
                <w:p w14:paraId="3970A16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颗粒物、非甲烷总烃排放浓度满足《大气污染物综合排放标准》（GB16297-1996）表2排放限值要求，厂区内非甲烷总烃满足《挥发性有机物无组织排放控制标准》（GB37822-2019）表A.1中规定的重点地区特别排放标准限值，H2S、NH3、臭气浓度满足《恶臭污染物排放标准》（GB14554-93）表1中二级新扩改建无组织排放标准限值。</w:t>
                  </w:r>
                </w:p>
              </w:tc>
            </w:tr>
            <w:bookmarkEnd w:id="5"/>
            <w:bookmarkEnd w:id="6"/>
            <w:bookmarkEnd w:id="7"/>
            <w:bookmarkEnd w:id="8"/>
            <w:bookmarkEnd w:id="9"/>
            <w:bookmarkEnd w:id="10"/>
            <w:bookmarkEnd w:id="11"/>
            <w:bookmarkEnd w:id="12"/>
            <w:bookmarkEnd w:id="13"/>
            <w:bookmarkEnd w:id="14"/>
            <w:bookmarkEnd w:id="15"/>
            <w:bookmarkEnd w:id="16"/>
          </w:tbl>
          <w:p w14:paraId="2990DEDA">
            <w:pPr>
              <w:pStyle w:val="53"/>
              <w:adjustRightInd/>
              <w:snapToGrid/>
              <w:spacing w:before="0" w:line="360" w:lineRule="auto"/>
              <w:ind w:left="0" w:firstLine="480" w:firstLineChars="200"/>
              <w:jc w:val="both"/>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）废水</w:t>
            </w:r>
          </w:p>
          <w:p w14:paraId="32A94C15">
            <w:pPr>
              <w:pStyle w:val="53"/>
              <w:adjustRightInd/>
              <w:snapToGrid/>
              <w:spacing w:before="0" w:line="360" w:lineRule="auto"/>
              <w:ind w:lef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b w:val="0"/>
                <w:bCs w:val="0"/>
                <w:color w:val="auto"/>
                <w:sz w:val="24"/>
                <w:szCs w:val="24"/>
                <w:highlight w:val="none"/>
                <w:lang w:val="en-US" w:eastAsia="zh-CN"/>
              </w:rPr>
              <w:t>2024年7月22~23日验收监测报告，废水检测结果见下表：</w:t>
            </w:r>
          </w:p>
          <w:p w14:paraId="6ACD3FFC">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rPr>
              <w:t xml:space="preserve"> 废水检测结果  单位：mg/L，pH无量纲</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716"/>
              <w:gridCol w:w="882"/>
              <w:gridCol w:w="805"/>
              <w:gridCol w:w="949"/>
              <w:gridCol w:w="949"/>
              <w:gridCol w:w="806"/>
              <w:gridCol w:w="708"/>
              <w:gridCol w:w="131"/>
              <w:gridCol w:w="1065"/>
              <w:gridCol w:w="941"/>
            </w:tblGrid>
            <w:tr w14:paraId="6EA3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7C4C859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采样位置</w:t>
                  </w:r>
                </w:p>
              </w:tc>
              <w:tc>
                <w:tcPr>
                  <w:tcW w:w="1885" w:type="pct"/>
                  <w:gridSpan w:val="4"/>
                  <w:noWrap w:val="0"/>
                  <w:vAlign w:val="center"/>
                </w:tcPr>
                <w:p w14:paraId="643580C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污水总排口</w:t>
                  </w:r>
                </w:p>
              </w:tc>
              <w:tc>
                <w:tcPr>
                  <w:tcW w:w="1384" w:type="pct"/>
                  <w:gridSpan w:val="3"/>
                  <w:noWrap w:val="0"/>
                  <w:vAlign w:val="center"/>
                </w:tcPr>
                <w:p w14:paraId="572E35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完成日期</w:t>
                  </w:r>
                </w:p>
              </w:tc>
              <w:tc>
                <w:tcPr>
                  <w:tcW w:w="659" w:type="pct"/>
                  <w:gridSpan w:val="2"/>
                  <w:noWrap w:val="0"/>
                  <w:vAlign w:val="center"/>
                </w:tcPr>
                <w:p w14:paraId="68D8FF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2024-07-28</w:t>
                  </w:r>
                </w:p>
              </w:tc>
              <w:tc>
                <w:tcPr>
                  <w:tcW w:w="530" w:type="pct"/>
                  <w:vMerge w:val="restart"/>
                  <w:noWrap w:val="0"/>
                  <w:vAlign w:val="center"/>
                </w:tcPr>
                <w:p w14:paraId="6ECA53C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项目最终接管标准</w:t>
                  </w:r>
                </w:p>
              </w:tc>
            </w:tr>
            <w:tr w14:paraId="05E8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noWrap w:val="0"/>
                  <w:vAlign w:val="center"/>
                </w:tcPr>
                <w:p w14:paraId="72B1DC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样品名称</w:t>
                  </w:r>
                </w:p>
              </w:tc>
              <w:tc>
                <w:tcPr>
                  <w:tcW w:w="1885" w:type="pct"/>
                  <w:gridSpan w:val="4"/>
                  <w:noWrap w:val="0"/>
                  <w:vAlign w:val="center"/>
                </w:tcPr>
                <w:p w14:paraId="32870F8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废水（mg/L）</w:t>
                  </w:r>
                </w:p>
              </w:tc>
              <w:tc>
                <w:tcPr>
                  <w:tcW w:w="1384" w:type="pct"/>
                  <w:gridSpan w:val="3"/>
                  <w:noWrap w:val="0"/>
                  <w:vAlign w:val="center"/>
                </w:tcPr>
                <w:p w14:paraId="706F3E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样品性状</w:t>
                  </w:r>
                </w:p>
              </w:tc>
              <w:tc>
                <w:tcPr>
                  <w:tcW w:w="659" w:type="pct"/>
                  <w:gridSpan w:val="2"/>
                  <w:noWrap w:val="0"/>
                  <w:vAlign w:val="center"/>
                </w:tcPr>
                <w:p w14:paraId="46061D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微浑无臭</w:t>
                  </w:r>
                </w:p>
              </w:tc>
              <w:tc>
                <w:tcPr>
                  <w:tcW w:w="530" w:type="pct"/>
                  <w:vMerge w:val="continue"/>
                  <w:noWrap w:val="0"/>
                  <w:vAlign w:val="center"/>
                </w:tcPr>
                <w:p w14:paraId="267BBB3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4323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noWrap w:val="0"/>
                  <w:vAlign w:val="center"/>
                </w:tcPr>
                <w:p w14:paraId="039BA6E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927" w:type="pct"/>
                  <w:gridSpan w:val="9"/>
                  <w:noWrap w:val="0"/>
                  <w:vAlign w:val="center"/>
                </w:tcPr>
                <w:p w14:paraId="5A77C3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采样日期、时间及结果</w:t>
                  </w:r>
                </w:p>
              </w:tc>
              <w:tc>
                <w:tcPr>
                  <w:tcW w:w="530" w:type="pct"/>
                  <w:vMerge w:val="continue"/>
                  <w:noWrap w:val="0"/>
                  <w:vAlign w:val="center"/>
                </w:tcPr>
                <w:p w14:paraId="124375B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CBF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noWrap w:val="0"/>
                  <w:vAlign w:val="center"/>
                </w:tcPr>
                <w:p w14:paraId="267154F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85" w:type="pct"/>
                  <w:gridSpan w:val="4"/>
                  <w:noWrap w:val="0"/>
                  <w:vAlign w:val="center"/>
                </w:tcPr>
                <w:p w14:paraId="706935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2024-07-22</w:t>
                  </w:r>
                </w:p>
              </w:tc>
              <w:tc>
                <w:tcPr>
                  <w:tcW w:w="2043" w:type="pct"/>
                  <w:gridSpan w:val="5"/>
                  <w:noWrap w:val="0"/>
                  <w:vAlign w:val="center"/>
                </w:tcPr>
                <w:p w14:paraId="5BB871F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2024-07-23</w:t>
                  </w:r>
                </w:p>
              </w:tc>
              <w:tc>
                <w:tcPr>
                  <w:tcW w:w="530" w:type="pct"/>
                  <w:vMerge w:val="continue"/>
                  <w:noWrap w:val="0"/>
                  <w:vAlign w:val="center"/>
                </w:tcPr>
                <w:p w14:paraId="1BFA04A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6F31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noWrap w:val="0"/>
                  <w:vAlign w:val="center"/>
                </w:tcPr>
                <w:p w14:paraId="7529C9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03" w:type="pct"/>
                  <w:noWrap w:val="0"/>
                  <w:vAlign w:val="center"/>
                </w:tcPr>
                <w:p w14:paraId="5B8191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96" w:type="pct"/>
                  <w:noWrap w:val="0"/>
                  <w:vAlign w:val="center"/>
                </w:tcPr>
                <w:p w14:paraId="58C0014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53" w:type="pct"/>
                  <w:noWrap w:val="0"/>
                  <w:vAlign w:val="center"/>
                </w:tcPr>
                <w:p w14:paraId="3CA86A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32" w:type="pct"/>
                  <w:noWrap w:val="0"/>
                  <w:vAlign w:val="center"/>
                </w:tcPr>
                <w:p w14:paraId="3079849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533" w:type="pct"/>
                  <w:noWrap w:val="0"/>
                  <w:vAlign w:val="center"/>
                </w:tcPr>
                <w:p w14:paraId="7E16491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53" w:type="pct"/>
                  <w:noWrap w:val="0"/>
                  <w:vAlign w:val="center"/>
                </w:tcPr>
                <w:p w14:paraId="2CC10A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70" w:type="pct"/>
                  <w:gridSpan w:val="2"/>
                  <w:noWrap w:val="0"/>
                  <w:vAlign w:val="center"/>
                </w:tcPr>
                <w:p w14:paraId="38AF157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86" w:type="pct"/>
                  <w:noWrap w:val="0"/>
                  <w:vAlign w:val="center"/>
                </w:tcPr>
                <w:p w14:paraId="408776E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530" w:type="pct"/>
                  <w:vMerge w:val="continue"/>
                  <w:noWrap w:val="0"/>
                  <w:vAlign w:val="center"/>
                </w:tcPr>
                <w:p w14:paraId="488EC1F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6AD3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7231EC4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403" w:type="pct"/>
                  <w:noWrap w:val="0"/>
                  <w:vAlign w:val="center"/>
                </w:tcPr>
                <w:p w14:paraId="3C21193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496" w:type="pct"/>
                  <w:noWrap w:val="0"/>
                  <w:vAlign w:val="center"/>
                </w:tcPr>
                <w:p w14:paraId="7D4BFE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453" w:type="pct"/>
                  <w:noWrap w:val="0"/>
                  <w:vAlign w:val="center"/>
                </w:tcPr>
                <w:p w14:paraId="655D2D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noWrap w:val="0"/>
                  <w:vAlign w:val="center"/>
                </w:tcPr>
                <w:p w14:paraId="13809A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3" w:type="pct"/>
                  <w:noWrap w:val="0"/>
                  <w:vAlign w:val="center"/>
                </w:tcPr>
                <w:p w14:paraId="6E823E4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453" w:type="pct"/>
                  <w:noWrap w:val="0"/>
                  <w:vAlign w:val="center"/>
                </w:tcPr>
                <w:p w14:paraId="6263FD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470" w:type="pct"/>
                  <w:gridSpan w:val="2"/>
                  <w:noWrap w:val="0"/>
                  <w:vAlign w:val="center"/>
                </w:tcPr>
                <w:p w14:paraId="57AD15C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86" w:type="pct"/>
                  <w:noWrap w:val="0"/>
                  <w:vAlign w:val="center"/>
                </w:tcPr>
                <w:p w14:paraId="594C9A8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0" w:type="pct"/>
                  <w:noWrap w:val="0"/>
                  <w:vAlign w:val="center"/>
                </w:tcPr>
                <w:p w14:paraId="371051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r>
            <w:tr w14:paraId="2BEF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70775BE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p>
              </w:tc>
              <w:tc>
                <w:tcPr>
                  <w:tcW w:w="403" w:type="pct"/>
                  <w:noWrap w:val="0"/>
                  <w:vAlign w:val="center"/>
                </w:tcPr>
                <w:p w14:paraId="2B2620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38.2</w:t>
                  </w:r>
                </w:p>
              </w:tc>
              <w:tc>
                <w:tcPr>
                  <w:tcW w:w="496" w:type="pct"/>
                  <w:noWrap w:val="0"/>
                  <w:vAlign w:val="center"/>
                </w:tcPr>
                <w:p w14:paraId="05C36F3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38.4</w:t>
                  </w:r>
                </w:p>
              </w:tc>
              <w:tc>
                <w:tcPr>
                  <w:tcW w:w="453" w:type="pct"/>
                  <w:noWrap w:val="0"/>
                  <w:vAlign w:val="center"/>
                </w:tcPr>
                <w:p w14:paraId="4308900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38.0</w:t>
                  </w:r>
                </w:p>
              </w:tc>
              <w:tc>
                <w:tcPr>
                  <w:tcW w:w="532" w:type="pct"/>
                  <w:noWrap w:val="0"/>
                  <w:vAlign w:val="center"/>
                </w:tcPr>
                <w:p w14:paraId="0DE90FC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37.4</w:t>
                  </w:r>
                </w:p>
              </w:tc>
              <w:tc>
                <w:tcPr>
                  <w:tcW w:w="533" w:type="pct"/>
                  <w:noWrap w:val="0"/>
                  <w:vAlign w:val="center"/>
                </w:tcPr>
                <w:p w14:paraId="195AB4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39.6</w:t>
                  </w:r>
                </w:p>
              </w:tc>
              <w:tc>
                <w:tcPr>
                  <w:tcW w:w="453" w:type="pct"/>
                  <w:noWrap w:val="0"/>
                  <w:vAlign w:val="center"/>
                </w:tcPr>
                <w:p w14:paraId="554FBB7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37.3</w:t>
                  </w:r>
                </w:p>
              </w:tc>
              <w:tc>
                <w:tcPr>
                  <w:tcW w:w="470" w:type="pct"/>
                  <w:gridSpan w:val="2"/>
                  <w:noWrap w:val="0"/>
                  <w:vAlign w:val="center"/>
                </w:tcPr>
                <w:p w14:paraId="3CA4A43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36.2</w:t>
                  </w:r>
                </w:p>
              </w:tc>
              <w:tc>
                <w:tcPr>
                  <w:tcW w:w="586" w:type="pct"/>
                  <w:noWrap w:val="0"/>
                  <w:vAlign w:val="center"/>
                </w:tcPr>
                <w:p w14:paraId="2B2E182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39.8</w:t>
                  </w:r>
                </w:p>
              </w:tc>
              <w:tc>
                <w:tcPr>
                  <w:tcW w:w="530" w:type="pct"/>
                  <w:noWrap w:val="0"/>
                  <w:vAlign w:val="center"/>
                </w:tcPr>
                <w:p w14:paraId="3B9FAD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w:t>
                  </w:r>
                </w:p>
              </w:tc>
            </w:tr>
            <w:tr w14:paraId="7087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16FB385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w:t>
                  </w:r>
                </w:p>
              </w:tc>
              <w:tc>
                <w:tcPr>
                  <w:tcW w:w="403" w:type="pct"/>
                  <w:noWrap w:val="0"/>
                  <w:vAlign w:val="center"/>
                </w:tcPr>
                <w:p w14:paraId="3224317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496" w:type="pct"/>
                  <w:noWrap w:val="0"/>
                  <w:vAlign w:val="center"/>
                </w:tcPr>
                <w:p w14:paraId="248E3E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453" w:type="pct"/>
                  <w:noWrap w:val="0"/>
                  <w:vAlign w:val="center"/>
                </w:tcPr>
                <w:p w14:paraId="7DA7AC1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532" w:type="pct"/>
                  <w:noWrap w:val="0"/>
                  <w:vAlign w:val="center"/>
                </w:tcPr>
                <w:p w14:paraId="4230EA6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109</w:t>
                  </w:r>
                </w:p>
              </w:tc>
              <w:tc>
                <w:tcPr>
                  <w:tcW w:w="533" w:type="pct"/>
                  <w:noWrap w:val="0"/>
                  <w:vAlign w:val="center"/>
                </w:tcPr>
                <w:p w14:paraId="78E129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453" w:type="pct"/>
                  <w:noWrap w:val="0"/>
                  <w:vAlign w:val="center"/>
                </w:tcPr>
                <w:p w14:paraId="6F7A213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470" w:type="pct"/>
                  <w:gridSpan w:val="2"/>
                  <w:noWrap w:val="0"/>
                  <w:vAlign w:val="center"/>
                </w:tcPr>
                <w:p w14:paraId="66ED72F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c>
                <w:tcPr>
                  <w:tcW w:w="586" w:type="pct"/>
                  <w:noWrap w:val="0"/>
                  <w:vAlign w:val="center"/>
                </w:tcPr>
                <w:p w14:paraId="24E4752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530" w:type="pct"/>
                  <w:noWrap w:val="0"/>
                  <w:vAlign w:val="center"/>
                </w:tcPr>
                <w:p w14:paraId="4A51173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14:paraId="73D6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4C3F3F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403" w:type="pct"/>
                  <w:noWrap w:val="0"/>
                  <w:vAlign w:val="center"/>
                </w:tcPr>
                <w:p w14:paraId="1698375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c>
                <w:tcPr>
                  <w:tcW w:w="496" w:type="pct"/>
                  <w:noWrap w:val="0"/>
                  <w:vAlign w:val="center"/>
                </w:tcPr>
                <w:p w14:paraId="2D6BA9A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453" w:type="pct"/>
                  <w:noWrap w:val="0"/>
                  <w:vAlign w:val="center"/>
                </w:tcPr>
                <w:p w14:paraId="7704D93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c>
                <w:tcPr>
                  <w:tcW w:w="532" w:type="pct"/>
                  <w:noWrap w:val="0"/>
                  <w:vAlign w:val="center"/>
                </w:tcPr>
                <w:p w14:paraId="2B05627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533" w:type="pct"/>
                  <w:noWrap w:val="0"/>
                  <w:vAlign w:val="center"/>
                </w:tcPr>
                <w:p w14:paraId="1616F87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453" w:type="pct"/>
                  <w:noWrap w:val="0"/>
                  <w:vAlign w:val="center"/>
                </w:tcPr>
                <w:p w14:paraId="6DDE24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470" w:type="pct"/>
                  <w:gridSpan w:val="2"/>
                  <w:noWrap w:val="0"/>
                  <w:vAlign w:val="center"/>
                </w:tcPr>
                <w:p w14:paraId="750C70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c>
                <w:tcPr>
                  <w:tcW w:w="586" w:type="pct"/>
                  <w:noWrap w:val="0"/>
                  <w:vAlign w:val="center"/>
                </w:tcPr>
                <w:p w14:paraId="7C016BC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w:t>
                  </w:r>
                </w:p>
              </w:tc>
              <w:tc>
                <w:tcPr>
                  <w:tcW w:w="530" w:type="pct"/>
                  <w:noWrap w:val="0"/>
                  <w:vAlign w:val="center"/>
                </w:tcPr>
                <w:p w14:paraId="26E3895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14:paraId="1EFD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1DFDA9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氟化物（以F-计）</w:t>
                  </w:r>
                </w:p>
              </w:tc>
              <w:tc>
                <w:tcPr>
                  <w:tcW w:w="403" w:type="pct"/>
                  <w:noWrap w:val="0"/>
                  <w:vAlign w:val="center"/>
                </w:tcPr>
                <w:p w14:paraId="10EA90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0.768</w:t>
                  </w:r>
                </w:p>
              </w:tc>
              <w:tc>
                <w:tcPr>
                  <w:tcW w:w="496" w:type="pct"/>
                  <w:noWrap w:val="0"/>
                  <w:vAlign w:val="center"/>
                </w:tcPr>
                <w:p w14:paraId="4532029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0.556</w:t>
                  </w:r>
                </w:p>
              </w:tc>
              <w:tc>
                <w:tcPr>
                  <w:tcW w:w="453" w:type="pct"/>
                  <w:noWrap w:val="0"/>
                  <w:vAlign w:val="center"/>
                </w:tcPr>
                <w:p w14:paraId="224F1F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0.666</w:t>
                  </w:r>
                </w:p>
              </w:tc>
              <w:tc>
                <w:tcPr>
                  <w:tcW w:w="532" w:type="pct"/>
                  <w:noWrap w:val="0"/>
                  <w:vAlign w:val="center"/>
                </w:tcPr>
                <w:p w14:paraId="4928DFF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0.758</w:t>
                  </w:r>
                </w:p>
              </w:tc>
              <w:tc>
                <w:tcPr>
                  <w:tcW w:w="533" w:type="pct"/>
                  <w:noWrap w:val="0"/>
                  <w:vAlign w:val="center"/>
                </w:tcPr>
                <w:p w14:paraId="0BBF749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0.661</w:t>
                  </w:r>
                </w:p>
              </w:tc>
              <w:tc>
                <w:tcPr>
                  <w:tcW w:w="453" w:type="pct"/>
                  <w:noWrap w:val="0"/>
                  <w:vAlign w:val="center"/>
                </w:tcPr>
                <w:p w14:paraId="75DC002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0.689</w:t>
                  </w:r>
                </w:p>
              </w:tc>
              <w:tc>
                <w:tcPr>
                  <w:tcW w:w="470" w:type="pct"/>
                  <w:gridSpan w:val="2"/>
                  <w:noWrap w:val="0"/>
                  <w:vAlign w:val="center"/>
                </w:tcPr>
                <w:p w14:paraId="681FDC6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0.724</w:t>
                  </w:r>
                </w:p>
              </w:tc>
              <w:tc>
                <w:tcPr>
                  <w:tcW w:w="586" w:type="pct"/>
                  <w:noWrap w:val="0"/>
                  <w:vAlign w:val="center"/>
                </w:tcPr>
                <w:p w14:paraId="32D1452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0.756</w:t>
                  </w:r>
                </w:p>
              </w:tc>
              <w:tc>
                <w:tcPr>
                  <w:tcW w:w="530" w:type="pct"/>
                  <w:noWrap w:val="0"/>
                  <w:vAlign w:val="center"/>
                </w:tcPr>
                <w:p w14:paraId="60DC509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C8E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03A13B2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w:t>
                  </w:r>
                </w:p>
              </w:tc>
              <w:tc>
                <w:tcPr>
                  <w:tcW w:w="403" w:type="pct"/>
                  <w:noWrap w:val="0"/>
                  <w:vAlign w:val="center"/>
                </w:tcPr>
                <w:p w14:paraId="7FB5E47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496" w:type="pct"/>
                  <w:noWrap w:val="0"/>
                  <w:vAlign w:val="center"/>
                </w:tcPr>
                <w:p w14:paraId="5563CE4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w:t>
                  </w:r>
                </w:p>
              </w:tc>
              <w:tc>
                <w:tcPr>
                  <w:tcW w:w="453" w:type="pct"/>
                  <w:noWrap w:val="0"/>
                  <w:vAlign w:val="center"/>
                </w:tcPr>
                <w:p w14:paraId="0A014F3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532" w:type="pct"/>
                  <w:noWrap w:val="0"/>
                  <w:vAlign w:val="center"/>
                </w:tcPr>
                <w:p w14:paraId="5554E75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3" w:type="pct"/>
                  <w:noWrap w:val="0"/>
                  <w:vAlign w:val="center"/>
                </w:tcPr>
                <w:p w14:paraId="11A1964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453" w:type="pct"/>
                  <w:noWrap w:val="0"/>
                  <w:vAlign w:val="center"/>
                </w:tcPr>
                <w:p w14:paraId="3E4734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w:t>
                  </w:r>
                </w:p>
              </w:tc>
              <w:tc>
                <w:tcPr>
                  <w:tcW w:w="470" w:type="pct"/>
                  <w:gridSpan w:val="2"/>
                  <w:noWrap w:val="0"/>
                  <w:vAlign w:val="center"/>
                </w:tcPr>
                <w:p w14:paraId="23E2C27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86" w:type="pct"/>
                  <w:noWrap w:val="0"/>
                  <w:vAlign w:val="center"/>
                </w:tcPr>
                <w:p w14:paraId="263F86F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530" w:type="pct"/>
                  <w:noWrap w:val="0"/>
                  <w:vAlign w:val="center"/>
                </w:tcPr>
                <w:p w14:paraId="3D32050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r>
            <w:tr w14:paraId="0B23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4198593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w:t>
                  </w:r>
                </w:p>
              </w:tc>
              <w:tc>
                <w:tcPr>
                  <w:tcW w:w="403" w:type="pct"/>
                  <w:noWrap w:val="0"/>
                  <w:vAlign w:val="center"/>
                </w:tcPr>
                <w:p w14:paraId="038992C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496" w:type="pct"/>
                  <w:noWrap w:val="0"/>
                  <w:vAlign w:val="center"/>
                </w:tcPr>
                <w:p w14:paraId="4152A3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453" w:type="pct"/>
                  <w:noWrap w:val="0"/>
                  <w:vAlign w:val="center"/>
                </w:tcPr>
                <w:p w14:paraId="27D779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532" w:type="pct"/>
                  <w:noWrap w:val="0"/>
                  <w:vAlign w:val="center"/>
                </w:tcPr>
                <w:p w14:paraId="2C59C0A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533" w:type="pct"/>
                  <w:noWrap w:val="0"/>
                  <w:vAlign w:val="center"/>
                </w:tcPr>
                <w:p w14:paraId="76CA8C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453" w:type="pct"/>
                  <w:noWrap w:val="0"/>
                  <w:vAlign w:val="center"/>
                </w:tcPr>
                <w:p w14:paraId="7542E20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470" w:type="pct"/>
                  <w:gridSpan w:val="2"/>
                  <w:noWrap w:val="0"/>
                  <w:vAlign w:val="center"/>
                </w:tcPr>
                <w:p w14:paraId="12AC4C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586" w:type="pct"/>
                  <w:noWrap w:val="0"/>
                  <w:vAlign w:val="center"/>
                </w:tcPr>
                <w:p w14:paraId="2F7C3BE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530" w:type="pct"/>
                  <w:noWrap w:val="0"/>
                  <w:vAlign w:val="center"/>
                </w:tcPr>
                <w:p w14:paraId="288C7C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6D1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38E2FCF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评价结果</w:t>
                  </w:r>
                </w:p>
              </w:tc>
              <w:tc>
                <w:tcPr>
                  <w:tcW w:w="4457" w:type="pct"/>
                  <w:gridSpan w:val="10"/>
                  <w:noWrap w:val="0"/>
                  <w:vAlign w:val="center"/>
                </w:tcPr>
                <w:p w14:paraId="452F744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项目废水满足《污水综合排放标准》（GB8978-1996）表4中三级标准和埇桥经济开发区污水处理厂接管标准</w:t>
                  </w:r>
                </w:p>
              </w:tc>
            </w:tr>
          </w:tbl>
          <w:p w14:paraId="790AAFBD">
            <w:pPr>
              <w:pStyle w:val="53"/>
              <w:numPr>
                <w:ilvl w:val="0"/>
                <w:numId w:val="3"/>
              </w:numPr>
              <w:adjustRightInd/>
              <w:snapToGrid/>
              <w:spacing w:before="0" w:line="360" w:lineRule="auto"/>
              <w:ind w:leftChars="0"/>
              <w:jc w:val="both"/>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噪声</w:t>
            </w:r>
          </w:p>
          <w:p w14:paraId="65A6FA4D">
            <w:pPr>
              <w:pStyle w:val="53"/>
              <w:adjustRightInd/>
              <w:snapToGrid/>
              <w:spacing w:before="0" w:line="360" w:lineRule="auto"/>
              <w:ind w:lef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b w:val="0"/>
                <w:bCs w:val="0"/>
                <w:color w:val="auto"/>
                <w:sz w:val="24"/>
                <w:szCs w:val="24"/>
                <w:highlight w:val="none"/>
                <w:lang w:val="en-US" w:eastAsia="zh-CN"/>
              </w:rPr>
              <w:t>2024年7月22~23日验收监测报告，噪声检测结果见下表：</w:t>
            </w:r>
          </w:p>
          <w:p w14:paraId="688B832B">
            <w:pPr>
              <w:spacing w:line="240" w:lineRule="auto"/>
              <w:ind w:right="120" w:rightChars="57"/>
              <w:jc w:val="center"/>
              <w:rPr>
                <w:rFonts w:hint="default" w:ascii="Times New Roman" w:hAnsi="Times New Roman" w:eastAsia="宋体" w:cs="Times New Roman"/>
                <w:b/>
                <w:color w:val="auto"/>
                <w:kern w:val="0"/>
                <w:sz w:val="24"/>
                <w:szCs w:val="20"/>
                <w:highlight w:val="none"/>
              </w:rPr>
            </w:pPr>
            <w:r>
              <w:rPr>
                <w:rFonts w:hint="default" w:ascii="Times New Roman" w:hAnsi="Times New Roman" w:eastAsia="宋体" w:cs="Times New Roman"/>
                <w:b/>
                <w:color w:val="auto"/>
                <w:kern w:val="0"/>
                <w:sz w:val="24"/>
                <w:szCs w:val="20"/>
                <w:highlight w:val="none"/>
              </w:rPr>
              <w:t>表2-</w:t>
            </w:r>
            <w:r>
              <w:rPr>
                <w:rFonts w:hint="default" w:ascii="Times New Roman" w:hAnsi="Times New Roman" w:eastAsia="宋体" w:cs="Times New Roman"/>
                <w:b/>
                <w:color w:val="auto"/>
                <w:kern w:val="0"/>
                <w:sz w:val="24"/>
                <w:szCs w:val="20"/>
                <w:highlight w:val="none"/>
                <w:lang w:val="en-US" w:eastAsia="zh-CN"/>
              </w:rPr>
              <w:t>1</w:t>
            </w:r>
            <w:r>
              <w:rPr>
                <w:rFonts w:hint="eastAsia" w:ascii="Times New Roman" w:hAnsi="Times New Roman" w:eastAsia="宋体" w:cs="Times New Roman"/>
                <w:b/>
                <w:color w:val="auto"/>
                <w:kern w:val="0"/>
                <w:sz w:val="24"/>
                <w:szCs w:val="20"/>
                <w:highlight w:val="none"/>
                <w:lang w:val="en-US" w:eastAsia="zh-CN"/>
              </w:rPr>
              <w:t>4</w:t>
            </w:r>
            <w:r>
              <w:rPr>
                <w:rFonts w:hint="default" w:ascii="Times New Roman" w:hAnsi="Times New Roman" w:eastAsia="宋体" w:cs="Times New Roman"/>
                <w:b/>
                <w:color w:val="auto"/>
                <w:kern w:val="0"/>
                <w:sz w:val="24"/>
                <w:szCs w:val="20"/>
                <w:highlight w:val="none"/>
              </w:rPr>
              <w:t xml:space="preserve"> 厂界环境噪声检测结果一览表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3"/>
              <w:gridCol w:w="1422"/>
              <w:gridCol w:w="1422"/>
              <w:gridCol w:w="1403"/>
              <w:gridCol w:w="1567"/>
            </w:tblGrid>
            <w:tr w14:paraId="233F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4" w:type="dxa"/>
                  <w:vMerge w:val="restart"/>
                  <w:noWrap w:val="0"/>
                  <w:vAlign w:val="center"/>
                </w:tcPr>
                <w:p w14:paraId="69943D0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1128" w:type="dxa"/>
                  <w:noWrap w:val="0"/>
                  <w:vAlign w:val="center"/>
                </w:tcPr>
                <w:p w14:paraId="35C7272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2024.07.22</w:t>
                  </w:r>
                </w:p>
              </w:tc>
              <w:tc>
                <w:tcPr>
                  <w:tcW w:w="1128" w:type="dxa"/>
                  <w:noWrap w:val="0"/>
                  <w:vAlign w:val="center"/>
                </w:tcPr>
                <w:p w14:paraId="2A3CA94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2024.07.23</w:t>
                  </w:r>
                </w:p>
              </w:tc>
              <w:tc>
                <w:tcPr>
                  <w:tcW w:w="1146" w:type="dxa"/>
                  <w:noWrap w:val="0"/>
                  <w:vAlign w:val="center"/>
                </w:tcPr>
                <w:p w14:paraId="6D17956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1280" w:type="dxa"/>
                  <w:vMerge w:val="restart"/>
                  <w:noWrap w:val="0"/>
                  <w:vAlign w:val="center"/>
                </w:tcPr>
                <w:p w14:paraId="0D6A064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是否达标</w:t>
                  </w:r>
                </w:p>
              </w:tc>
            </w:tr>
            <w:tr w14:paraId="72D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34" w:type="dxa"/>
                  <w:vMerge w:val="continue"/>
                  <w:noWrap w:val="0"/>
                  <w:vAlign w:val="center"/>
                </w:tcPr>
                <w:p w14:paraId="04C6F66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128" w:type="dxa"/>
                  <w:noWrap w:val="0"/>
                  <w:vAlign w:val="center"/>
                </w:tcPr>
                <w:p w14:paraId="381ED9A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28" w:type="dxa"/>
                  <w:noWrap w:val="0"/>
                  <w:vAlign w:val="center"/>
                </w:tcPr>
                <w:p w14:paraId="6DF3265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46" w:type="dxa"/>
                  <w:noWrap w:val="0"/>
                  <w:vAlign w:val="center"/>
                </w:tcPr>
                <w:p w14:paraId="7D7550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280" w:type="dxa"/>
                  <w:vMerge w:val="continue"/>
                  <w:noWrap w:val="0"/>
                  <w:vAlign w:val="center"/>
                </w:tcPr>
                <w:p w14:paraId="7D615E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708F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4" w:type="dxa"/>
                  <w:noWrap w:val="0"/>
                  <w:vAlign w:val="center"/>
                </w:tcPr>
                <w:p w14:paraId="3D31CAF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厂界北侧外1m处</w:t>
                  </w:r>
                </w:p>
              </w:tc>
              <w:tc>
                <w:tcPr>
                  <w:tcW w:w="1128" w:type="dxa"/>
                  <w:noWrap w:val="0"/>
                  <w:vAlign w:val="center"/>
                </w:tcPr>
                <w:p w14:paraId="7B2C026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60.2</w:t>
                  </w:r>
                </w:p>
              </w:tc>
              <w:tc>
                <w:tcPr>
                  <w:tcW w:w="1128" w:type="dxa"/>
                  <w:noWrap w:val="0"/>
                  <w:vAlign w:val="center"/>
                </w:tcPr>
                <w:p w14:paraId="73AA92F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60.4</w:t>
                  </w:r>
                </w:p>
              </w:tc>
              <w:tc>
                <w:tcPr>
                  <w:tcW w:w="1146" w:type="dxa"/>
                  <w:noWrap w:val="0"/>
                  <w:vAlign w:val="center"/>
                </w:tcPr>
                <w:p w14:paraId="73CF585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1280" w:type="dxa"/>
                  <w:noWrap w:val="0"/>
                  <w:vAlign w:val="center"/>
                </w:tcPr>
                <w:p w14:paraId="2A3C5B9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D94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4" w:type="dxa"/>
                  <w:noWrap w:val="0"/>
                  <w:vAlign w:val="center"/>
                </w:tcPr>
                <w:p w14:paraId="49CA53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厂界东侧外1m处</w:t>
                  </w:r>
                </w:p>
              </w:tc>
              <w:tc>
                <w:tcPr>
                  <w:tcW w:w="1128" w:type="dxa"/>
                  <w:noWrap w:val="0"/>
                  <w:vAlign w:val="center"/>
                </w:tcPr>
                <w:p w14:paraId="21BC945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62.4</w:t>
                  </w:r>
                </w:p>
              </w:tc>
              <w:tc>
                <w:tcPr>
                  <w:tcW w:w="1128" w:type="dxa"/>
                  <w:noWrap w:val="0"/>
                  <w:vAlign w:val="center"/>
                </w:tcPr>
                <w:p w14:paraId="4771641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63.1</w:t>
                  </w:r>
                </w:p>
              </w:tc>
              <w:tc>
                <w:tcPr>
                  <w:tcW w:w="1146" w:type="dxa"/>
                  <w:noWrap w:val="0"/>
                  <w:vAlign w:val="center"/>
                </w:tcPr>
                <w:p w14:paraId="3469ECA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1280" w:type="dxa"/>
                  <w:noWrap w:val="0"/>
                  <w:vAlign w:val="center"/>
                </w:tcPr>
                <w:p w14:paraId="625F083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7BE0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4" w:type="dxa"/>
                  <w:noWrap w:val="0"/>
                  <w:vAlign w:val="center"/>
                </w:tcPr>
                <w:p w14:paraId="36B586D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厂界南侧外1m处</w:t>
                  </w:r>
                </w:p>
              </w:tc>
              <w:tc>
                <w:tcPr>
                  <w:tcW w:w="1128" w:type="dxa"/>
                  <w:noWrap w:val="0"/>
                  <w:vAlign w:val="center"/>
                </w:tcPr>
                <w:p w14:paraId="6344ED5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61.1</w:t>
                  </w:r>
                </w:p>
              </w:tc>
              <w:tc>
                <w:tcPr>
                  <w:tcW w:w="1128" w:type="dxa"/>
                  <w:noWrap w:val="0"/>
                  <w:vAlign w:val="center"/>
                </w:tcPr>
                <w:p w14:paraId="1403FF4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60.6</w:t>
                  </w:r>
                </w:p>
              </w:tc>
              <w:tc>
                <w:tcPr>
                  <w:tcW w:w="1146" w:type="dxa"/>
                  <w:noWrap w:val="0"/>
                  <w:vAlign w:val="center"/>
                </w:tcPr>
                <w:p w14:paraId="5A7FD8F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1280" w:type="dxa"/>
                  <w:noWrap w:val="0"/>
                  <w:vAlign w:val="center"/>
                </w:tcPr>
                <w:p w14:paraId="0314464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633B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4" w:type="dxa"/>
                  <w:noWrap w:val="0"/>
                  <w:vAlign w:val="center"/>
                </w:tcPr>
                <w:p w14:paraId="10B8619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厂界西侧外1m处</w:t>
                  </w:r>
                </w:p>
              </w:tc>
              <w:tc>
                <w:tcPr>
                  <w:tcW w:w="1128" w:type="dxa"/>
                  <w:noWrap w:val="0"/>
                  <w:vAlign w:val="center"/>
                </w:tcPr>
                <w:p w14:paraId="1ECE27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59.0</w:t>
                  </w:r>
                </w:p>
              </w:tc>
              <w:tc>
                <w:tcPr>
                  <w:tcW w:w="1128" w:type="dxa"/>
                  <w:noWrap w:val="0"/>
                  <w:vAlign w:val="center"/>
                </w:tcPr>
                <w:p w14:paraId="080E17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58.4</w:t>
                  </w:r>
                </w:p>
              </w:tc>
              <w:tc>
                <w:tcPr>
                  <w:tcW w:w="1146" w:type="dxa"/>
                  <w:noWrap w:val="0"/>
                  <w:vAlign w:val="center"/>
                </w:tcPr>
                <w:p w14:paraId="42BD58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1280" w:type="dxa"/>
                  <w:noWrap w:val="0"/>
                  <w:vAlign w:val="center"/>
                </w:tcPr>
                <w:p w14:paraId="111589B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14:paraId="517D389A">
            <w:pPr>
              <w:pStyle w:val="55"/>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上表可以看出，厂界噪声满足《工业企业厂界噪声标准》（GB12348-2008）中的3类区标准限值要求。</w:t>
            </w:r>
          </w:p>
          <w:p w14:paraId="0F7B5064">
            <w:pPr>
              <w:pStyle w:val="54"/>
              <w:numPr>
                <w:ilvl w:val="0"/>
                <w:numId w:val="0"/>
              </w:numPr>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eastAsia="zh-CN"/>
              </w:rPr>
              <w:t>）固体废物</w:t>
            </w:r>
          </w:p>
          <w:p w14:paraId="4D67DE1F">
            <w:pPr>
              <w:spacing w:line="240" w:lineRule="auto"/>
              <w:ind w:right="120" w:rightChars="57"/>
              <w:jc w:val="center"/>
              <w:rPr>
                <w:rFonts w:hint="default" w:ascii="Times New Roman" w:hAnsi="Times New Roman" w:eastAsia="宋体" w:cs="Times New Roman"/>
                <w:b/>
                <w:bCs/>
                <w:color w:val="auto"/>
                <w:kern w:val="2"/>
                <w:sz w:val="24"/>
                <w:szCs w:val="21"/>
                <w:highlight w:val="none"/>
                <w:lang w:val="en-US" w:eastAsia="zh-CN" w:bidi="ar-SA"/>
              </w:rPr>
            </w:pPr>
            <w:r>
              <w:rPr>
                <w:rFonts w:hint="default" w:ascii="Times New Roman" w:hAnsi="Times New Roman" w:eastAsia="宋体" w:cs="Times New Roman"/>
                <w:b/>
                <w:color w:val="auto"/>
                <w:kern w:val="0"/>
                <w:sz w:val="24"/>
                <w:szCs w:val="20"/>
                <w:highlight w:val="none"/>
                <w:lang w:val="en-US" w:eastAsia="zh-CN"/>
              </w:rPr>
              <w:t>表2-1</w:t>
            </w:r>
            <w:r>
              <w:rPr>
                <w:rFonts w:hint="eastAsia" w:ascii="Times New Roman" w:hAnsi="Times New Roman" w:eastAsia="宋体" w:cs="Times New Roman"/>
                <w:b/>
                <w:color w:val="auto"/>
                <w:kern w:val="0"/>
                <w:sz w:val="24"/>
                <w:szCs w:val="20"/>
                <w:highlight w:val="none"/>
                <w:lang w:val="en-US" w:eastAsia="zh-CN"/>
              </w:rPr>
              <w:t>5</w:t>
            </w:r>
            <w:r>
              <w:rPr>
                <w:rFonts w:hint="default" w:ascii="Times New Roman" w:hAnsi="Times New Roman" w:eastAsia="宋体" w:cs="Times New Roman"/>
                <w:b/>
                <w:color w:val="auto"/>
                <w:kern w:val="0"/>
                <w:sz w:val="24"/>
                <w:szCs w:val="20"/>
                <w:highlight w:val="none"/>
                <w:lang w:val="en-US" w:eastAsia="zh-CN"/>
              </w:rPr>
              <w:t xml:space="preserve"> 固（液）体废物处理/处置情况一览表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280"/>
              <w:gridCol w:w="879"/>
              <w:gridCol w:w="901"/>
              <w:gridCol w:w="440"/>
              <w:gridCol w:w="1019"/>
              <w:gridCol w:w="1670"/>
              <w:gridCol w:w="879"/>
              <w:gridCol w:w="1336"/>
            </w:tblGrid>
            <w:tr w14:paraId="1D6E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590C0C1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280" w:type="dxa"/>
                  <w:shd w:val="clear" w:color="auto" w:fill="auto"/>
                  <w:noWrap w:val="0"/>
                  <w:vAlign w:val="center"/>
                </w:tcPr>
                <w:p w14:paraId="0B1F97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固废名称</w:t>
                  </w:r>
                </w:p>
              </w:tc>
              <w:tc>
                <w:tcPr>
                  <w:tcW w:w="879" w:type="dxa"/>
                  <w:shd w:val="clear" w:color="auto" w:fill="auto"/>
                  <w:noWrap w:val="0"/>
                  <w:vAlign w:val="center"/>
                </w:tcPr>
                <w:p w14:paraId="4BD97B5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属性</w:t>
                  </w:r>
                </w:p>
              </w:tc>
              <w:tc>
                <w:tcPr>
                  <w:tcW w:w="901" w:type="dxa"/>
                  <w:shd w:val="clear" w:color="auto" w:fill="auto"/>
                  <w:noWrap w:val="0"/>
                  <w:vAlign w:val="center"/>
                </w:tcPr>
                <w:p w14:paraId="64A861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产生工序</w:t>
                  </w:r>
                </w:p>
              </w:tc>
              <w:tc>
                <w:tcPr>
                  <w:tcW w:w="440" w:type="dxa"/>
                  <w:shd w:val="clear" w:color="auto" w:fill="auto"/>
                  <w:noWrap w:val="0"/>
                  <w:vAlign w:val="center"/>
                </w:tcPr>
                <w:p w14:paraId="75B979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形态</w:t>
                  </w:r>
                </w:p>
              </w:tc>
              <w:tc>
                <w:tcPr>
                  <w:tcW w:w="1019" w:type="dxa"/>
                  <w:shd w:val="clear" w:color="auto" w:fill="auto"/>
                  <w:noWrap w:val="0"/>
                  <w:vAlign w:val="center"/>
                </w:tcPr>
                <w:p w14:paraId="29C34EE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p>
              </w:tc>
              <w:tc>
                <w:tcPr>
                  <w:tcW w:w="1670" w:type="dxa"/>
                  <w:shd w:val="clear" w:color="auto" w:fill="auto"/>
                  <w:noWrap w:val="0"/>
                  <w:vAlign w:val="center"/>
                </w:tcPr>
                <w:p w14:paraId="4B42FE0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废物代码</w:t>
                  </w:r>
                </w:p>
              </w:tc>
              <w:tc>
                <w:tcPr>
                  <w:tcW w:w="879" w:type="dxa"/>
                  <w:shd w:val="clear" w:color="auto" w:fill="auto"/>
                  <w:noWrap w:val="0"/>
                  <w:vAlign w:val="center"/>
                </w:tcPr>
                <w:p w14:paraId="344B38C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336" w:type="dxa"/>
                  <w:shd w:val="clear" w:color="auto" w:fill="auto"/>
                  <w:noWrap w:val="0"/>
                  <w:vAlign w:val="center"/>
                </w:tcPr>
                <w:p w14:paraId="5A1F0B4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处置方式</w:t>
                  </w:r>
                </w:p>
              </w:tc>
            </w:tr>
            <w:tr w14:paraId="336E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58ED9E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80" w:type="dxa"/>
                  <w:shd w:val="clear" w:color="auto" w:fill="auto"/>
                  <w:noWrap w:val="0"/>
                  <w:vAlign w:val="center"/>
                </w:tcPr>
                <w:p w14:paraId="07668BF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879" w:type="dxa"/>
                  <w:shd w:val="clear" w:color="auto" w:fill="auto"/>
                  <w:noWrap w:val="0"/>
                  <w:vAlign w:val="center"/>
                </w:tcPr>
                <w:p w14:paraId="4B644DB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901" w:type="dxa"/>
                  <w:shd w:val="clear" w:color="auto" w:fill="auto"/>
                  <w:noWrap w:val="0"/>
                  <w:vAlign w:val="center"/>
                </w:tcPr>
                <w:p w14:paraId="0F2E106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员工办公生活</w:t>
                  </w:r>
                </w:p>
              </w:tc>
              <w:tc>
                <w:tcPr>
                  <w:tcW w:w="440" w:type="dxa"/>
                  <w:shd w:val="clear" w:color="auto" w:fill="auto"/>
                  <w:noWrap w:val="0"/>
                  <w:vAlign w:val="center"/>
                </w:tcPr>
                <w:p w14:paraId="6B7B095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2361907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670" w:type="dxa"/>
                  <w:shd w:val="clear" w:color="auto" w:fill="auto"/>
                  <w:noWrap w:val="0"/>
                  <w:vAlign w:val="center"/>
                </w:tcPr>
                <w:p w14:paraId="21CAB82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79" w:type="dxa"/>
                  <w:shd w:val="clear" w:color="auto" w:fill="auto"/>
                  <w:noWrap w:val="0"/>
                  <w:vAlign w:val="center"/>
                </w:tcPr>
                <w:p w14:paraId="2E1F76B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GB" w:eastAsia="zh-CN"/>
                    </w:rPr>
                    <w:t>4.5</w:t>
                  </w:r>
                </w:p>
              </w:tc>
              <w:tc>
                <w:tcPr>
                  <w:tcW w:w="1336" w:type="dxa"/>
                  <w:shd w:val="clear" w:color="auto" w:fill="auto"/>
                  <w:noWrap w:val="0"/>
                  <w:vAlign w:val="center"/>
                </w:tcPr>
                <w:p w14:paraId="3640BB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袋装或桶装收集，委托环卫部门处理</w:t>
                  </w:r>
                </w:p>
              </w:tc>
            </w:tr>
            <w:tr w14:paraId="62B7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6F29C2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80" w:type="dxa"/>
                  <w:shd w:val="clear" w:color="auto" w:fill="auto"/>
                  <w:noWrap w:val="0"/>
                  <w:vAlign w:val="center"/>
                </w:tcPr>
                <w:p w14:paraId="3672AC4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金属碎屑及边角料</w:t>
                  </w:r>
                </w:p>
              </w:tc>
              <w:tc>
                <w:tcPr>
                  <w:tcW w:w="879" w:type="dxa"/>
                  <w:vMerge w:val="restart"/>
                  <w:shd w:val="clear" w:color="auto" w:fill="auto"/>
                  <w:noWrap w:val="0"/>
                  <w:vAlign w:val="center"/>
                </w:tcPr>
                <w:p w14:paraId="759DD2C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901" w:type="dxa"/>
                  <w:shd w:val="clear" w:color="auto" w:fill="auto"/>
                  <w:noWrap w:val="0"/>
                  <w:vAlign w:val="center"/>
                </w:tcPr>
                <w:p w14:paraId="11B658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切割下料</w:t>
                  </w:r>
                </w:p>
              </w:tc>
              <w:tc>
                <w:tcPr>
                  <w:tcW w:w="440" w:type="dxa"/>
                  <w:shd w:val="clear" w:color="auto" w:fill="auto"/>
                  <w:noWrap w:val="0"/>
                  <w:vAlign w:val="center"/>
                </w:tcPr>
                <w:p w14:paraId="4DC5DED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30B27B8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废金属碎屑及边角料</w:t>
                  </w:r>
                </w:p>
              </w:tc>
              <w:tc>
                <w:tcPr>
                  <w:tcW w:w="1670" w:type="dxa"/>
                  <w:shd w:val="clear" w:color="auto" w:fill="auto"/>
                  <w:noWrap w:val="0"/>
                  <w:vAlign w:val="center"/>
                </w:tcPr>
                <w:p w14:paraId="7CFB67E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Ⅰ-09-（213-001-09）</w:t>
                  </w:r>
                </w:p>
              </w:tc>
              <w:tc>
                <w:tcPr>
                  <w:tcW w:w="879" w:type="dxa"/>
                  <w:shd w:val="clear" w:color="auto" w:fill="auto"/>
                  <w:noWrap w:val="0"/>
                  <w:vAlign w:val="center"/>
                </w:tcPr>
                <w:p w14:paraId="6F66DAE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GB" w:eastAsia="zh-CN"/>
                    </w:rPr>
                    <w:t>60</w:t>
                  </w:r>
                </w:p>
              </w:tc>
              <w:tc>
                <w:tcPr>
                  <w:tcW w:w="1336" w:type="dxa"/>
                  <w:vMerge w:val="restart"/>
                  <w:shd w:val="clear" w:color="auto" w:fill="auto"/>
                  <w:noWrap w:val="0"/>
                  <w:vAlign w:val="center"/>
                </w:tcPr>
                <w:p w14:paraId="3734CDE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暂存于一般固废暂存区，收集后外售综合利用</w:t>
                  </w:r>
                </w:p>
              </w:tc>
            </w:tr>
            <w:tr w14:paraId="36E2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258B04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80" w:type="dxa"/>
                  <w:shd w:val="clear" w:color="auto" w:fill="auto"/>
                  <w:noWrap w:val="0"/>
                  <w:vAlign w:val="center"/>
                </w:tcPr>
                <w:p w14:paraId="28D99DE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焊渣</w:t>
                  </w:r>
                </w:p>
              </w:tc>
              <w:tc>
                <w:tcPr>
                  <w:tcW w:w="879" w:type="dxa"/>
                  <w:vMerge w:val="continue"/>
                  <w:shd w:val="clear" w:color="auto" w:fill="auto"/>
                  <w:noWrap w:val="0"/>
                  <w:vAlign w:val="center"/>
                </w:tcPr>
                <w:p w14:paraId="609C718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7C8359E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440" w:type="dxa"/>
                  <w:shd w:val="clear" w:color="auto" w:fill="auto"/>
                  <w:noWrap w:val="0"/>
                  <w:vAlign w:val="center"/>
                </w:tcPr>
                <w:p w14:paraId="47C5CF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1C35904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焊渣</w:t>
                  </w:r>
                </w:p>
              </w:tc>
              <w:tc>
                <w:tcPr>
                  <w:tcW w:w="1670" w:type="dxa"/>
                  <w:shd w:val="clear" w:color="auto" w:fill="auto"/>
                  <w:noWrap w:val="0"/>
                  <w:vAlign w:val="center"/>
                </w:tcPr>
                <w:p w14:paraId="4D0417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Ⅵ-99-（900-999-99）</w:t>
                  </w:r>
                </w:p>
              </w:tc>
              <w:tc>
                <w:tcPr>
                  <w:tcW w:w="879" w:type="dxa"/>
                  <w:shd w:val="clear" w:color="auto" w:fill="auto"/>
                  <w:noWrap w:val="0"/>
                  <w:vAlign w:val="center"/>
                </w:tcPr>
                <w:p w14:paraId="755A9D6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1.31</w:t>
                  </w:r>
                </w:p>
              </w:tc>
              <w:tc>
                <w:tcPr>
                  <w:tcW w:w="1336" w:type="dxa"/>
                  <w:vMerge w:val="continue"/>
                  <w:shd w:val="clear" w:color="auto" w:fill="auto"/>
                  <w:noWrap w:val="0"/>
                  <w:vAlign w:val="center"/>
                </w:tcPr>
                <w:p w14:paraId="076C993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2B6B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7044BB9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80" w:type="dxa"/>
                  <w:shd w:val="clear" w:color="auto" w:fill="auto"/>
                  <w:noWrap w:val="0"/>
                  <w:vAlign w:val="center"/>
                </w:tcPr>
                <w:p w14:paraId="16581B6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废钢丸</w:t>
                  </w:r>
                </w:p>
              </w:tc>
              <w:tc>
                <w:tcPr>
                  <w:tcW w:w="879" w:type="dxa"/>
                  <w:vMerge w:val="continue"/>
                  <w:shd w:val="clear" w:color="auto" w:fill="auto"/>
                  <w:noWrap w:val="0"/>
                  <w:vAlign w:val="center"/>
                </w:tcPr>
                <w:p w14:paraId="39E9377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36C4FA5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抛丸</w:t>
                  </w:r>
                </w:p>
              </w:tc>
              <w:tc>
                <w:tcPr>
                  <w:tcW w:w="440" w:type="dxa"/>
                  <w:shd w:val="clear" w:color="auto" w:fill="auto"/>
                  <w:noWrap w:val="0"/>
                  <w:vAlign w:val="center"/>
                </w:tcPr>
                <w:p w14:paraId="4297C09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7462BC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废钢丸</w:t>
                  </w:r>
                </w:p>
              </w:tc>
              <w:tc>
                <w:tcPr>
                  <w:tcW w:w="1670" w:type="dxa"/>
                  <w:shd w:val="clear" w:color="auto" w:fill="auto"/>
                  <w:noWrap w:val="0"/>
                  <w:vAlign w:val="center"/>
                </w:tcPr>
                <w:p w14:paraId="612C1D2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Ⅰ-09-（213-001-09）</w:t>
                  </w:r>
                </w:p>
              </w:tc>
              <w:tc>
                <w:tcPr>
                  <w:tcW w:w="879" w:type="dxa"/>
                  <w:shd w:val="clear" w:color="auto" w:fill="auto"/>
                  <w:noWrap w:val="0"/>
                  <w:vAlign w:val="center"/>
                </w:tcPr>
                <w:p w14:paraId="276602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336" w:type="dxa"/>
                  <w:vMerge w:val="continue"/>
                  <w:shd w:val="clear" w:color="auto" w:fill="auto"/>
                  <w:noWrap w:val="0"/>
                  <w:vAlign w:val="center"/>
                </w:tcPr>
                <w:p w14:paraId="4E97DB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5C70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215FAF8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280" w:type="dxa"/>
                  <w:shd w:val="clear" w:color="auto" w:fill="auto"/>
                  <w:noWrap w:val="0"/>
                  <w:vAlign w:val="center"/>
                </w:tcPr>
                <w:p w14:paraId="60F76A5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一般废包装材料</w:t>
                  </w:r>
                </w:p>
              </w:tc>
              <w:tc>
                <w:tcPr>
                  <w:tcW w:w="879" w:type="dxa"/>
                  <w:vMerge w:val="continue"/>
                  <w:shd w:val="clear" w:color="auto" w:fill="auto"/>
                  <w:noWrap w:val="0"/>
                  <w:vAlign w:val="center"/>
                </w:tcPr>
                <w:p w14:paraId="4D0BF3D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30DD6FF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拆包装</w:t>
                  </w:r>
                </w:p>
              </w:tc>
              <w:tc>
                <w:tcPr>
                  <w:tcW w:w="440" w:type="dxa"/>
                  <w:shd w:val="clear" w:color="auto" w:fill="auto"/>
                  <w:noWrap w:val="0"/>
                  <w:vAlign w:val="center"/>
                </w:tcPr>
                <w:p w14:paraId="7F7D4CA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277E89A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一般废包装材料</w:t>
                  </w:r>
                </w:p>
              </w:tc>
              <w:tc>
                <w:tcPr>
                  <w:tcW w:w="1670" w:type="dxa"/>
                  <w:shd w:val="clear" w:color="auto" w:fill="auto"/>
                  <w:noWrap w:val="0"/>
                  <w:vAlign w:val="center"/>
                </w:tcPr>
                <w:p w14:paraId="7D09928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Ⅰ-07-（223-001-07）</w:t>
                  </w:r>
                </w:p>
              </w:tc>
              <w:tc>
                <w:tcPr>
                  <w:tcW w:w="879" w:type="dxa"/>
                  <w:shd w:val="clear" w:color="auto" w:fill="auto"/>
                  <w:noWrap w:val="0"/>
                  <w:vAlign w:val="center"/>
                </w:tcPr>
                <w:p w14:paraId="19376D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336" w:type="dxa"/>
                  <w:vMerge w:val="continue"/>
                  <w:shd w:val="clear" w:color="auto" w:fill="auto"/>
                  <w:noWrap w:val="0"/>
                  <w:vAlign w:val="center"/>
                </w:tcPr>
                <w:p w14:paraId="26E66F6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740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664FBCD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280" w:type="dxa"/>
                  <w:shd w:val="clear" w:color="auto" w:fill="auto"/>
                  <w:noWrap w:val="0"/>
                  <w:vAlign w:val="center"/>
                </w:tcPr>
                <w:p w14:paraId="581468A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除尘器收尘</w:t>
                  </w:r>
                </w:p>
              </w:tc>
              <w:tc>
                <w:tcPr>
                  <w:tcW w:w="879" w:type="dxa"/>
                  <w:vMerge w:val="continue"/>
                  <w:shd w:val="clear" w:color="auto" w:fill="auto"/>
                  <w:noWrap w:val="0"/>
                  <w:vAlign w:val="center"/>
                </w:tcPr>
                <w:p w14:paraId="1F2C5AF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7E86502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w:t>
                  </w:r>
                </w:p>
              </w:tc>
              <w:tc>
                <w:tcPr>
                  <w:tcW w:w="440" w:type="dxa"/>
                  <w:shd w:val="clear" w:color="auto" w:fill="auto"/>
                  <w:noWrap w:val="0"/>
                  <w:vAlign w:val="center"/>
                </w:tcPr>
                <w:p w14:paraId="2F70915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0B95B79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除尘器收尘</w:t>
                  </w:r>
                </w:p>
              </w:tc>
              <w:tc>
                <w:tcPr>
                  <w:tcW w:w="1670" w:type="dxa"/>
                  <w:shd w:val="clear" w:color="auto" w:fill="auto"/>
                  <w:noWrap w:val="0"/>
                  <w:vAlign w:val="center"/>
                </w:tcPr>
                <w:p w14:paraId="24677D2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Ⅵ-66-（900-999-66）</w:t>
                  </w:r>
                </w:p>
              </w:tc>
              <w:tc>
                <w:tcPr>
                  <w:tcW w:w="879" w:type="dxa"/>
                  <w:shd w:val="clear" w:color="auto" w:fill="auto"/>
                  <w:noWrap w:val="0"/>
                  <w:vAlign w:val="center"/>
                </w:tcPr>
                <w:p w14:paraId="239BF9C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25.92</w:t>
                  </w:r>
                </w:p>
              </w:tc>
              <w:tc>
                <w:tcPr>
                  <w:tcW w:w="1336" w:type="dxa"/>
                  <w:vMerge w:val="continue"/>
                  <w:shd w:val="clear" w:color="auto" w:fill="auto"/>
                  <w:noWrap w:val="0"/>
                  <w:vAlign w:val="center"/>
                </w:tcPr>
                <w:p w14:paraId="0686FA4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53A3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33B8AA2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280" w:type="dxa"/>
                  <w:shd w:val="clear" w:color="auto" w:fill="auto"/>
                  <w:noWrap w:val="0"/>
                  <w:vAlign w:val="center"/>
                </w:tcPr>
                <w:p w14:paraId="17670A6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废滤芯</w:t>
                  </w:r>
                </w:p>
              </w:tc>
              <w:tc>
                <w:tcPr>
                  <w:tcW w:w="879" w:type="dxa"/>
                  <w:vMerge w:val="continue"/>
                  <w:shd w:val="clear" w:color="auto" w:fill="auto"/>
                  <w:noWrap w:val="0"/>
                  <w:vAlign w:val="center"/>
                </w:tcPr>
                <w:p w14:paraId="3A3FB64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4A2573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滤芯除尘</w:t>
                  </w:r>
                </w:p>
              </w:tc>
              <w:tc>
                <w:tcPr>
                  <w:tcW w:w="440" w:type="dxa"/>
                  <w:shd w:val="clear" w:color="auto" w:fill="auto"/>
                  <w:noWrap w:val="0"/>
                  <w:vAlign w:val="center"/>
                </w:tcPr>
                <w:p w14:paraId="12FF5F6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28BA792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废滤芯</w:t>
                  </w:r>
                </w:p>
              </w:tc>
              <w:tc>
                <w:tcPr>
                  <w:tcW w:w="1670" w:type="dxa"/>
                  <w:shd w:val="clear" w:color="auto" w:fill="auto"/>
                  <w:noWrap w:val="0"/>
                  <w:vAlign w:val="center"/>
                </w:tcPr>
                <w:p w14:paraId="032DE71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Ⅵ-99-（900-999-99）</w:t>
                  </w:r>
                </w:p>
              </w:tc>
              <w:tc>
                <w:tcPr>
                  <w:tcW w:w="879" w:type="dxa"/>
                  <w:shd w:val="clear" w:color="auto" w:fill="auto"/>
                  <w:noWrap w:val="0"/>
                  <w:vAlign w:val="center"/>
                </w:tcPr>
                <w:p w14:paraId="7AED293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336" w:type="dxa"/>
                  <w:vMerge w:val="continue"/>
                  <w:shd w:val="clear" w:color="auto" w:fill="auto"/>
                  <w:noWrap w:val="0"/>
                  <w:vAlign w:val="center"/>
                </w:tcPr>
                <w:p w14:paraId="34C0BA9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68F9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2A357B8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280" w:type="dxa"/>
                  <w:shd w:val="clear" w:color="auto" w:fill="auto"/>
                  <w:noWrap w:val="0"/>
                  <w:vAlign w:val="center"/>
                </w:tcPr>
                <w:p w14:paraId="28CCECD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废布袋</w:t>
                  </w:r>
                </w:p>
              </w:tc>
              <w:tc>
                <w:tcPr>
                  <w:tcW w:w="879" w:type="dxa"/>
                  <w:vMerge w:val="continue"/>
                  <w:shd w:val="clear" w:color="auto" w:fill="auto"/>
                  <w:noWrap w:val="0"/>
                  <w:vAlign w:val="center"/>
                </w:tcPr>
                <w:p w14:paraId="5943A5B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763B136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w:t>
                  </w:r>
                </w:p>
              </w:tc>
              <w:tc>
                <w:tcPr>
                  <w:tcW w:w="440" w:type="dxa"/>
                  <w:shd w:val="clear" w:color="auto" w:fill="auto"/>
                  <w:noWrap w:val="0"/>
                  <w:vAlign w:val="center"/>
                </w:tcPr>
                <w:p w14:paraId="4B7701D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05EEE33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废布袋</w:t>
                  </w:r>
                </w:p>
              </w:tc>
              <w:tc>
                <w:tcPr>
                  <w:tcW w:w="1670" w:type="dxa"/>
                  <w:shd w:val="clear" w:color="auto" w:fill="auto"/>
                  <w:noWrap w:val="0"/>
                  <w:vAlign w:val="center"/>
                </w:tcPr>
                <w:p w14:paraId="5656A59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Ⅵ-99-（900-999-99）</w:t>
                  </w:r>
                </w:p>
              </w:tc>
              <w:tc>
                <w:tcPr>
                  <w:tcW w:w="879" w:type="dxa"/>
                  <w:shd w:val="clear" w:color="auto" w:fill="auto"/>
                  <w:noWrap w:val="0"/>
                  <w:vAlign w:val="center"/>
                </w:tcPr>
                <w:p w14:paraId="238CA02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1336" w:type="dxa"/>
                  <w:vMerge w:val="continue"/>
                  <w:shd w:val="clear" w:color="auto" w:fill="auto"/>
                  <w:noWrap w:val="0"/>
                  <w:vAlign w:val="center"/>
                </w:tcPr>
                <w:p w14:paraId="4C351ED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613C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23B5146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280" w:type="dxa"/>
                  <w:shd w:val="clear" w:color="auto" w:fill="auto"/>
                  <w:noWrap w:val="0"/>
                  <w:vAlign w:val="center"/>
                </w:tcPr>
                <w:p w14:paraId="305695A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废漆桶</w:t>
                  </w:r>
                </w:p>
              </w:tc>
              <w:tc>
                <w:tcPr>
                  <w:tcW w:w="879" w:type="dxa"/>
                  <w:vMerge w:val="restart"/>
                  <w:shd w:val="clear" w:color="auto" w:fill="auto"/>
                  <w:noWrap w:val="0"/>
                  <w:vAlign w:val="center"/>
                </w:tcPr>
                <w:p w14:paraId="0C94790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01" w:type="dxa"/>
                  <w:shd w:val="clear" w:color="auto" w:fill="auto"/>
                  <w:noWrap w:val="0"/>
                  <w:vAlign w:val="center"/>
                </w:tcPr>
                <w:p w14:paraId="15590BF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电泳</w:t>
                  </w:r>
                </w:p>
              </w:tc>
              <w:tc>
                <w:tcPr>
                  <w:tcW w:w="440" w:type="dxa"/>
                  <w:shd w:val="clear" w:color="auto" w:fill="auto"/>
                  <w:noWrap w:val="0"/>
                  <w:vAlign w:val="center"/>
                </w:tcPr>
                <w:p w14:paraId="697811B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5914199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废漆桶</w:t>
                  </w:r>
                </w:p>
              </w:tc>
              <w:tc>
                <w:tcPr>
                  <w:tcW w:w="1670" w:type="dxa"/>
                  <w:shd w:val="clear" w:color="auto" w:fill="auto"/>
                  <w:noWrap w:val="0"/>
                  <w:vAlign w:val="center"/>
                </w:tcPr>
                <w:p w14:paraId="15DBB0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HW49（900-041-49）</w:t>
                  </w:r>
                </w:p>
              </w:tc>
              <w:tc>
                <w:tcPr>
                  <w:tcW w:w="879" w:type="dxa"/>
                  <w:shd w:val="clear" w:color="auto" w:fill="auto"/>
                  <w:noWrap w:val="0"/>
                  <w:vAlign w:val="center"/>
                </w:tcPr>
                <w:p w14:paraId="67D4BEB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GB" w:eastAsia="zh-CN"/>
                    </w:rPr>
                    <w:t>2.332</w:t>
                  </w:r>
                </w:p>
              </w:tc>
              <w:tc>
                <w:tcPr>
                  <w:tcW w:w="1336" w:type="dxa"/>
                  <w:vMerge w:val="restart"/>
                  <w:shd w:val="clear" w:color="auto" w:fill="auto"/>
                  <w:noWrap w:val="0"/>
                  <w:vAlign w:val="center"/>
                </w:tcPr>
                <w:p w14:paraId="79EF5B7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危废暂存区位于厂房东南侧，约20m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，委托有危废资质公司妥善处置</w:t>
                  </w:r>
                </w:p>
              </w:tc>
            </w:tr>
            <w:tr w14:paraId="66FD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32100BE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1280" w:type="dxa"/>
                  <w:shd w:val="clear" w:color="auto" w:fill="auto"/>
                  <w:noWrap w:val="0"/>
                  <w:vAlign w:val="center"/>
                </w:tcPr>
                <w:p w14:paraId="4169611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w:t>
                  </w:r>
                </w:p>
              </w:tc>
              <w:tc>
                <w:tcPr>
                  <w:tcW w:w="879" w:type="dxa"/>
                  <w:vMerge w:val="continue"/>
                  <w:shd w:val="clear" w:color="auto" w:fill="auto"/>
                  <w:noWrap w:val="0"/>
                  <w:vAlign w:val="center"/>
                </w:tcPr>
                <w:p w14:paraId="13EDF07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restart"/>
                  <w:shd w:val="clear" w:color="auto" w:fill="auto"/>
                  <w:noWrap w:val="0"/>
                  <w:vAlign w:val="center"/>
                </w:tcPr>
                <w:p w14:paraId="7B38403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r>
                    <w:rPr>
                      <w:rFonts w:hint="eastAsia" w:ascii="Times New Roman" w:hAnsi="Times New Roman" w:eastAsia="宋体" w:cs="Times New Roman"/>
                      <w:color w:val="auto"/>
                      <w:sz w:val="21"/>
                      <w:szCs w:val="21"/>
                      <w:highlight w:val="none"/>
                      <w:lang w:val="en-US" w:eastAsia="zh-CN"/>
                    </w:rPr>
                    <w:t>生产</w:t>
                  </w:r>
                </w:p>
              </w:tc>
              <w:tc>
                <w:tcPr>
                  <w:tcW w:w="440" w:type="dxa"/>
                  <w:shd w:val="clear" w:color="auto" w:fill="auto"/>
                  <w:noWrap w:val="0"/>
                  <w:vAlign w:val="center"/>
                </w:tcPr>
                <w:p w14:paraId="01ED63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019" w:type="dxa"/>
                  <w:shd w:val="clear" w:color="auto" w:fill="auto"/>
                  <w:noWrap w:val="0"/>
                  <w:vAlign w:val="center"/>
                </w:tcPr>
                <w:p w14:paraId="36EB117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w:t>
                  </w:r>
                </w:p>
              </w:tc>
              <w:tc>
                <w:tcPr>
                  <w:tcW w:w="1670" w:type="dxa"/>
                  <w:shd w:val="clear" w:color="auto" w:fill="auto"/>
                  <w:noWrap w:val="0"/>
                  <w:vAlign w:val="center"/>
                </w:tcPr>
                <w:p w14:paraId="7819EF0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HW08（900-249-08）</w:t>
                  </w:r>
                </w:p>
              </w:tc>
              <w:tc>
                <w:tcPr>
                  <w:tcW w:w="879" w:type="dxa"/>
                  <w:shd w:val="clear" w:color="auto" w:fill="auto"/>
                  <w:noWrap w:val="0"/>
                  <w:vAlign w:val="center"/>
                </w:tcPr>
                <w:p w14:paraId="2185DAD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1</w:t>
                  </w:r>
                </w:p>
              </w:tc>
              <w:tc>
                <w:tcPr>
                  <w:tcW w:w="1336" w:type="dxa"/>
                  <w:vMerge w:val="continue"/>
                  <w:shd w:val="clear" w:color="auto" w:fill="auto"/>
                  <w:noWrap w:val="0"/>
                  <w:vAlign w:val="center"/>
                </w:tcPr>
                <w:p w14:paraId="754F9E4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BF8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13" w:type="dxa"/>
                  <w:shd w:val="clear" w:color="auto" w:fill="auto"/>
                  <w:noWrap w:val="0"/>
                  <w:vAlign w:val="center"/>
                </w:tcPr>
                <w:p w14:paraId="13A0488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1</w:t>
                  </w:r>
                </w:p>
              </w:tc>
              <w:tc>
                <w:tcPr>
                  <w:tcW w:w="1280" w:type="dxa"/>
                  <w:shd w:val="clear" w:color="auto" w:fill="auto"/>
                  <w:noWrap w:val="0"/>
                  <w:vAlign w:val="center"/>
                </w:tcPr>
                <w:p w14:paraId="2BD4FDF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w:t>
                  </w:r>
                </w:p>
              </w:tc>
              <w:tc>
                <w:tcPr>
                  <w:tcW w:w="879" w:type="dxa"/>
                  <w:vMerge w:val="continue"/>
                  <w:shd w:val="clear" w:color="auto" w:fill="auto"/>
                  <w:noWrap w:val="0"/>
                  <w:vAlign w:val="center"/>
                </w:tcPr>
                <w:p w14:paraId="430ED7C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continue"/>
                  <w:shd w:val="clear" w:color="auto" w:fill="auto"/>
                  <w:noWrap w:val="0"/>
                  <w:vAlign w:val="center"/>
                </w:tcPr>
                <w:p w14:paraId="50C9107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c>
                <w:tcPr>
                  <w:tcW w:w="440" w:type="dxa"/>
                  <w:shd w:val="clear" w:color="auto" w:fill="auto"/>
                  <w:noWrap w:val="0"/>
                  <w:vAlign w:val="center"/>
                </w:tcPr>
                <w:p w14:paraId="2170497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019" w:type="dxa"/>
                  <w:shd w:val="clear" w:color="auto" w:fill="auto"/>
                  <w:noWrap w:val="0"/>
                  <w:vAlign w:val="center"/>
                </w:tcPr>
                <w:p w14:paraId="09D27A9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w:t>
                  </w:r>
                </w:p>
              </w:tc>
              <w:tc>
                <w:tcPr>
                  <w:tcW w:w="1670" w:type="dxa"/>
                  <w:shd w:val="clear" w:color="auto" w:fill="auto"/>
                  <w:noWrap w:val="0"/>
                  <w:vAlign w:val="center"/>
                </w:tcPr>
                <w:p w14:paraId="78B2654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HW09（900-006-09）</w:t>
                  </w:r>
                </w:p>
              </w:tc>
              <w:tc>
                <w:tcPr>
                  <w:tcW w:w="879" w:type="dxa"/>
                  <w:shd w:val="clear" w:color="auto" w:fill="auto"/>
                  <w:noWrap w:val="0"/>
                  <w:vAlign w:val="center"/>
                </w:tcPr>
                <w:p w14:paraId="4E0A4E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2</w:t>
                  </w:r>
                </w:p>
              </w:tc>
              <w:tc>
                <w:tcPr>
                  <w:tcW w:w="1336" w:type="dxa"/>
                  <w:vMerge w:val="continue"/>
                  <w:shd w:val="clear" w:color="auto" w:fill="auto"/>
                  <w:noWrap w:val="0"/>
                  <w:vAlign w:val="center"/>
                </w:tcPr>
                <w:p w14:paraId="5D2AC17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3F48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657FDFE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2</w:t>
                  </w:r>
                </w:p>
              </w:tc>
              <w:tc>
                <w:tcPr>
                  <w:tcW w:w="1280" w:type="dxa"/>
                  <w:shd w:val="clear" w:color="auto" w:fill="auto"/>
                  <w:noWrap w:val="0"/>
                  <w:vAlign w:val="center"/>
                </w:tcPr>
                <w:p w14:paraId="14F97A8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879" w:type="dxa"/>
                  <w:vMerge w:val="continue"/>
                  <w:shd w:val="clear" w:color="auto" w:fill="auto"/>
                  <w:noWrap w:val="0"/>
                  <w:vAlign w:val="center"/>
                </w:tcPr>
                <w:p w14:paraId="1EB5E3F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restart"/>
                  <w:shd w:val="clear" w:color="auto" w:fill="auto"/>
                  <w:noWrap w:val="0"/>
                  <w:vAlign w:val="center"/>
                </w:tcPr>
                <w:p w14:paraId="73EFA14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有机废气处理</w:t>
                  </w:r>
                </w:p>
              </w:tc>
              <w:tc>
                <w:tcPr>
                  <w:tcW w:w="440" w:type="dxa"/>
                  <w:shd w:val="clear" w:color="auto" w:fill="auto"/>
                  <w:noWrap w:val="0"/>
                  <w:vAlign w:val="center"/>
                </w:tcPr>
                <w:p w14:paraId="54DA38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0F9A93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1670" w:type="dxa"/>
                  <w:shd w:val="clear" w:color="auto" w:fill="auto"/>
                  <w:noWrap w:val="0"/>
                  <w:vAlign w:val="center"/>
                </w:tcPr>
                <w:p w14:paraId="64AF3D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HW49（900-039-49）</w:t>
                  </w:r>
                </w:p>
              </w:tc>
              <w:tc>
                <w:tcPr>
                  <w:tcW w:w="879" w:type="dxa"/>
                  <w:shd w:val="clear" w:color="auto" w:fill="auto"/>
                  <w:noWrap w:val="0"/>
                  <w:vAlign w:val="center"/>
                </w:tcPr>
                <w:p w14:paraId="38C3B3F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6.6</w:t>
                  </w:r>
                </w:p>
              </w:tc>
              <w:tc>
                <w:tcPr>
                  <w:tcW w:w="1336" w:type="dxa"/>
                  <w:vMerge w:val="continue"/>
                  <w:shd w:val="clear" w:color="auto" w:fill="auto"/>
                  <w:noWrap w:val="0"/>
                  <w:vAlign w:val="center"/>
                </w:tcPr>
                <w:p w14:paraId="7BF9B81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2C4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2030EF2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3</w:t>
                  </w:r>
                </w:p>
              </w:tc>
              <w:tc>
                <w:tcPr>
                  <w:tcW w:w="1280" w:type="dxa"/>
                  <w:shd w:val="clear" w:color="auto" w:fill="auto"/>
                  <w:noWrap w:val="0"/>
                  <w:vAlign w:val="center"/>
                </w:tcPr>
                <w:p w14:paraId="5C59CF9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废过滤棉</w:t>
                  </w:r>
                </w:p>
              </w:tc>
              <w:tc>
                <w:tcPr>
                  <w:tcW w:w="879" w:type="dxa"/>
                  <w:vMerge w:val="continue"/>
                  <w:shd w:val="clear" w:color="auto" w:fill="auto"/>
                  <w:noWrap w:val="0"/>
                  <w:vAlign w:val="center"/>
                </w:tcPr>
                <w:p w14:paraId="1281885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continue"/>
                  <w:shd w:val="clear" w:color="auto" w:fill="auto"/>
                  <w:noWrap w:val="0"/>
                  <w:vAlign w:val="center"/>
                </w:tcPr>
                <w:p w14:paraId="5FF0585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40" w:type="dxa"/>
                  <w:shd w:val="clear" w:color="auto" w:fill="auto"/>
                  <w:noWrap w:val="0"/>
                  <w:vAlign w:val="center"/>
                </w:tcPr>
                <w:p w14:paraId="5638B92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52C8E32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废过滤棉</w:t>
                  </w:r>
                </w:p>
              </w:tc>
              <w:tc>
                <w:tcPr>
                  <w:tcW w:w="1670" w:type="dxa"/>
                  <w:shd w:val="clear" w:color="auto" w:fill="auto"/>
                  <w:noWrap w:val="0"/>
                  <w:vAlign w:val="center"/>
                </w:tcPr>
                <w:p w14:paraId="33A13F9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US" w:eastAsia="zh-CN"/>
                    </w:rPr>
                    <w:t>HW49（900-041-49）</w:t>
                  </w:r>
                </w:p>
              </w:tc>
              <w:tc>
                <w:tcPr>
                  <w:tcW w:w="879" w:type="dxa"/>
                  <w:shd w:val="clear" w:color="auto" w:fill="auto"/>
                  <w:noWrap w:val="0"/>
                  <w:vAlign w:val="center"/>
                </w:tcPr>
                <w:p w14:paraId="53AAD9A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0.1</w:t>
                  </w:r>
                </w:p>
              </w:tc>
              <w:tc>
                <w:tcPr>
                  <w:tcW w:w="1336" w:type="dxa"/>
                  <w:vMerge w:val="continue"/>
                  <w:shd w:val="clear" w:color="auto" w:fill="auto"/>
                  <w:noWrap w:val="0"/>
                  <w:vAlign w:val="center"/>
                </w:tcPr>
                <w:p w14:paraId="46DBA24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68F1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479F62D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4</w:t>
                  </w:r>
                </w:p>
              </w:tc>
              <w:tc>
                <w:tcPr>
                  <w:tcW w:w="1280" w:type="dxa"/>
                  <w:shd w:val="clear" w:color="auto" w:fill="auto"/>
                  <w:noWrap w:val="0"/>
                  <w:vAlign w:val="center"/>
                </w:tcPr>
                <w:p w14:paraId="367F088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废劳保用品</w:t>
                  </w:r>
                </w:p>
              </w:tc>
              <w:tc>
                <w:tcPr>
                  <w:tcW w:w="879" w:type="dxa"/>
                  <w:vMerge w:val="continue"/>
                  <w:shd w:val="clear" w:color="auto" w:fill="auto"/>
                  <w:noWrap w:val="0"/>
                  <w:vAlign w:val="center"/>
                </w:tcPr>
                <w:p w14:paraId="16E342B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restart"/>
                  <w:shd w:val="clear" w:color="auto" w:fill="auto"/>
                  <w:noWrap w:val="0"/>
                  <w:vAlign w:val="center"/>
                </w:tcPr>
                <w:p w14:paraId="4D055A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机修</w:t>
                  </w:r>
                </w:p>
              </w:tc>
              <w:tc>
                <w:tcPr>
                  <w:tcW w:w="440" w:type="dxa"/>
                  <w:shd w:val="clear" w:color="auto" w:fill="auto"/>
                  <w:noWrap w:val="0"/>
                  <w:vAlign w:val="center"/>
                </w:tcPr>
                <w:p w14:paraId="01CDDB0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2DEC00A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废劳保用品</w:t>
                  </w:r>
                </w:p>
              </w:tc>
              <w:tc>
                <w:tcPr>
                  <w:tcW w:w="1670" w:type="dxa"/>
                  <w:shd w:val="clear" w:color="auto" w:fill="auto"/>
                  <w:noWrap w:val="0"/>
                  <w:vAlign w:val="center"/>
                </w:tcPr>
                <w:p w14:paraId="5D5B4B5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US" w:eastAsia="zh-CN"/>
                    </w:rPr>
                    <w:t>HW49（900-041-49）</w:t>
                  </w:r>
                </w:p>
              </w:tc>
              <w:tc>
                <w:tcPr>
                  <w:tcW w:w="879" w:type="dxa"/>
                  <w:shd w:val="clear" w:color="auto" w:fill="auto"/>
                  <w:noWrap w:val="0"/>
                  <w:vAlign w:val="center"/>
                </w:tcPr>
                <w:p w14:paraId="291F16A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US" w:eastAsia="zh-CN"/>
                    </w:rPr>
                    <w:t>0.02</w:t>
                  </w:r>
                </w:p>
              </w:tc>
              <w:tc>
                <w:tcPr>
                  <w:tcW w:w="1336" w:type="dxa"/>
                  <w:vMerge w:val="continue"/>
                  <w:shd w:val="clear" w:color="auto" w:fill="auto"/>
                  <w:noWrap w:val="0"/>
                  <w:vAlign w:val="center"/>
                </w:tcPr>
                <w:p w14:paraId="4DEB28D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3B72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12D4F88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5</w:t>
                  </w:r>
                </w:p>
              </w:tc>
              <w:tc>
                <w:tcPr>
                  <w:tcW w:w="1280" w:type="dxa"/>
                  <w:shd w:val="clear" w:color="auto" w:fill="auto"/>
                  <w:noWrap w:val="0"/>
                  <w:vAlign w:val="center"/>
                </w:tcPr>
                <w:p w14:paraId="398DC59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含油抹布手套</w:t>
                  </w:r>
                </w:p>
              </w:tc>
              <w:tc>
                <w:tcPr>
                  <w:tcW w:w="879" w:type="dxa"/>
                  <w:vMerge w:val="continue"/>
                  <w:shd w:val="clear" w:color="auto" w:fill="auto"/>
                  <w:noWrap w:val="0"/>
                  <w:vAlign w:val="center"/>
                </w:tcPr>
                <w:p w14:paraId="0254951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continue"/>
                  <w:shd w:val="clear" w:color="auto" w:fill="auto"/>
                  <w:noWrap w:val="0"/>
                  <w:vAlign w:val="center"/>
                </w:tcPr>
                <w:p w14:paraId="266D78F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40" w:type="dxa"/>
                  <w:shd w:val="clear" w:color="auto" w:fill="auto"/>
                  <w:noWrap w:val="0"/>
                  <w:vAlign w:val="center"/>
                </w:tcPr>
                <w:p w14:paraId="7D1DBC1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47254DE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含油抹布手套</w:t>
                  </w:r>
                </w:p>
              </w:tc>
              <w:tc>
                <w:tcPr>
                  <w:tcW w:w="1670" w:type="dxa"/>
                  <w:shd w:val="clear" w:color="auto" w:fill="auto"/>
                  <w:noWrap w:val="0"/>
                  <w:vAlign w:val="center"/>
                </w:tcPr>
                <w:p w14:paraId="4951193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HW49（900-041-49）</w:t>
                  </w:r>
                </w:p>
              </w:tc>
              <w:tc>
                <w:tcPr>
                  <w:tcW w:w="879" w:type="dxa"/>
                  <w:shd w:val="clear" w:color="auto" w:fill="auto"/>
                  <w:noWrap w:val="0"/>
                  <w:vAlign w:val="center"/>
                </w:tcPr>
                <w:p w14:paraId="5260488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336" w:type="dxa"/>
                  <w:vMerge w:val="continue"/>
                  <w:shd w:val="clear" w:color="auto" w:fill="auto"/>
                  <w:noWrap w:val="0"/>
                  <w:vAlign w:val="center"/>
                </w:tcPr>
                <w:p w14:paraId="5F1AE5F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150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4C5DC89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6</w:t>
                  </w:r>
                </w:p>
              </w:tc>
              <w:tc>
                <w:tcPr>
                  <w:tcW w:w="1280" w:type="dxa"/>
                  <w:shd w:val="clear" w:color="auto" w:fill="auto"/>
                  <w:noWrap w:val="0"/>
                  <w:vAlign w:val="center"/>
                </w:tcPr>
                <w:p w14:paraId="694AD17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槽渣</w:t>
                  </w:r>
                </w:p>
              </w:tc>
              <w:tc>
                <w:tcPr>
                  <w:tcW w:w="879" w:type="dxa"/>
                  <w:vMerge w:val="continue"/>
                  <w:shd w:val="clear" w:color="auto" w:fill="auto"/>
                  <w:noWrap w:val="0"/>
                  <w:vAlign w:val="center"/>
                </w:tcPr>
                <w:p w14:paraId="2761B8C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restart"/>
                  <w:shd w:val="clear" w:color="auto" w:fill="auto"/>
                  <w:noWrap w:val="0"/>
                  <w:vAlign w:val="center"/>
                </w:tcPr>
                <w:p w14:paraId="4F02374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预脱脂脱脂</w:t>
                  </w:r>
                </w:p>
                <w:p w14:paraId="1E05961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陶化</w:t>
                  </w:r>
                </w:p>
              </w:tc>
              <w:tc>
                <w:tcPr>
                  <w:tcW w:w="440" w:type="dxa"/>
                  <w:shd w:val="clear" w:color="auto" w:fill="auto"/>
                  <w:noWrap w:val="0"/>
                  <w:vAlign w:val="center"/>
                </w:tcPr>
                <w:p w14:paraId="3DDEB82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019" w:type="dxa"/>
                  <w:shd w:val="clear" w:color="auto" w:fill="auto"/>
                  <w:noWrap w:val="0"/>
                  <w:vAlign w:val="center"/>
                </w:tcPr>
                <w:p w14:paraId="4D6CA5AB">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槽渣</w:t>
                  </w:r>
                </w:p>
              </w:tc>
              <w:tc>
                <w:tcPr>
                  <w:tcW w:w="1670" w:type="dxa"/>
                  <w:shd w:val="clear" w:color="auto" w:fill="auto"/>
                  <w:noWrap w:val="0"/>
                  <w:vAlign w:val="center"/>
                </w:tcPr>
                <w:p w14:paraId="09A7C48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HW17（336-064-17）</w:t>
                  </w:r>
                </w:p>
              </w:tc>
              <w:tc>
                <w:tcPr>
                  <w:tcW w:w="879" w:type="dxa"/>
                  <w:shd w:val="clear" w:color="auto" w:fill="auto"/>
                  <w:noWrap w:val="0"/>
                  <w:vAlign w:val="center"/>
                </w:tcPr>
                <w:p w14:paraId="6F884086">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336" w:type="dxa"/>
                  <w:vMerge w:val="continue"/>
                  <w:shd w:val="clear" w:color="auto" w:fill="auto"/>
                  <w:noWrap w:val="0"/>
                  <w:vAlign w:val="center"/>
                </w:tcPr>
                <w:p w14:paraId="4CFB2F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531A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154EC6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7</w:t>
                  </w:r>
                </w:p>
              </w:tc>
              <w:tc>
                <w:tcPr>
                  <w:tcW w:w="1280" w:type="dxa"/>
                  <w:shd w:val="clear" w:color="auto" w:fill="auto"/>
                  <w:noWrap w:val="0"/>
                  <w:vAlign w:val="center"/>
                </w:tcPr>
                <w:p w14:paraId="1AA5940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废倒槽液</w:t>
                  </w:r>
                </w:p>
              </w:tc>
              <w:tc>
                <w:tcPr>
                  <w:tcW w:w="879" w:type="dxa"/>
                  <w:vMerge w:val="continue"/>
                  <w:shd w:val="clear" w:color="auto" w:fill="auto"/>
                  <w:noWrap w:val="0"/>
                  <w:vAlign w:val="center"/>
                </w:tcPr>
                <w:p w14:paraId="7615B51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vMerge w:val="continue"/>
                  <w:shd w:val="clear" w:color="auto" w:fill="auto"/>
                  <w:noWrap w:val="0"/>
                  <w:vAlign w:val="center"/>
                </w:tcPr>
                <w:p w14:paraId="442B34C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40" w:type="dxa"/>
                  <w:shd w:val="clear" w:color="auto" w:fill="auto"/>
                  <w:noWrap w:val="0"/>
                  <w:vAlign w:val="center"/>
                </w:tcPr>
                <w:p w14:paraId="40E5537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019" w:type="dxa"/>
                  <w:shd w:val="clear" w:color="auto" w:fill="auto"/>
                  <w:noWrap w:val="0"/>
                  <w:vAlign w:val="center"/>
                </w:tcPr>
                <w:p w14:paraId="756AE4A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废倒槽液</w:t>
                  </w:r>
                </w:p>
              </w:tc>
              <w:tc>
                <w:tcPr>
                  <w:tcW w:w="1670" w:type="dxa"/>
                  <w:shd w:val="clear" w:color="auto" w:fill="auto"/>
                  <w:noWrap w:val="0"/>
                  <w:vAlign w:val="center"/>
                </w:tcPr>
                <w:p w14:paraId="7BB978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HW17（336-064-17）</w:t>
                  </w:r>
                </w:p>
              </w:tc>
              <w:tc>
                <w:tcPr>
                  <w:tcW w:w="879" w:type="dxa"/>
                  <w:shd w:val="clear" w:color="auto" w:fill="auto"/>
                  <w:noWrap w:val="0"/>
                  <w:vAlign w:val="center"/>
                </w:tcPr>
                <w:p w14:paraId="29DEACB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67.5</w:t>
                  </w:r>
                </w:p>
              </w:tc>
              <w:tc>
                <w:tcPr>
                  <w:tcW w:w="1336" w:type="dxa"/>
                  <w:vMerge w:val="continue"/>
                  <w:shd w:val="clear" w:color="auto" w:fill="auto"/>
                  <w:noWrap w:val="0"/>
                  <w:vAlign w:val="center"/>
                </w:tcPr>
                <w:p w14:paraId="059B18D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2C55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101613E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8</w:t>
                  </w:r>
                </w:p>
              </w:tc>
              <w:tc>
                <w:tcPr>
                  <w:tcW w:w="1280" w:type="dxa"/>
                  <w:shd w:val="clear" w:color="auto" w:fill="auto"/>
                  <w:noWrap w:val="0"/>
                  <w:vAlign w:val="center"/>
                </w:tcPr>
                <w:p w14:paraId="63E69E9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液体药剂废包装瓶</w:t>
                  </w:r>
                </w:p>
              </w:tc>
              <w:tc>
                <w:tcPr>
                  <w:tcW w:w="879" w:type="dxa"/>
                  <w:vMerge w:val="continue"/>
                  <w:shd w:val="clear" w:color="auto" w:fill="auto"/>
                  <w:noWrap w:val="0"/>
                  <w:vAlign w:val="center"/>
                </w:tcPr>
                <w:p w14:paraId="42766A4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7769D82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药剂包装</w:t>
                  </w:r>
                </w:p>
              </w:tc>
              <w:tc>
                <w:tcPr>
                  <w:tcW w:w="440" w:type="dxa"/>
                  <w:shd w:val="clear" w:color="auto" w:fill="auto"/>
                  <w:noWrap w:val="0"/>
                  <w:vAlign w:val="center"/>
                </w:tcPr>
                <w:p w14:paraId="5D9BCFE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0962625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液体药剂废包装瓶</w:t>
                  </w:r>
                </w:p>
              </w:tc>
              <w:tc>
                <w:tcPr>
                  <w:tcW w:w="1670" w:type="dxa"/>
                  <w:shd w:val="clear" w:color="auto" w:fill="auto"/>
                  <w:noWrap w:val="0"/>
                  <w:vAlign w:val="center"/>
                </w:tcPr>
                <w:p w14:paraId="7279570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HW17（336-064-17）</w:t>
                  </w:r>
                </w:p>
              </w:tc>
              <w:tc>
                <w:tcPr>
                  <w:tcW w:w="879" w:type="dxa"/>
                  <w:shd w:val="clear" w:color="auto" w:fill="auto"/>
                  <w:noWrap w:val="0"/>
                  <w:vAlign w:val="center"/>
                </w:tcPr>
                <w:p w14:paraId="55E41BE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336" w:type="dxa"/>
                  <w:vMerge w:val="continue"/>
                  <w:shd w:val="clear" w:color="auto" w:fill="auto"/>
                  <w:noWrap w:val="0"/>
                  <w:vAlign w:val="center"/>
                </w:tcPr>
                <w:p w14:paraId="7F69CC6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865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dxa"/>
                  <w:shd w:val="clear" w:color="auto" w:fill="auto"/>
                  <w:noWrap w:val="0"/>
                  <w:vAlign w:val="center"/>
                </w:tcPr>
                <w:p w14:paraId="18D1AA72">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280" w:type="dxa"/>
                  <w:shd w:val="clear" w:color="auto" w:fill="auto"/>
                  <w:noWrap w:val="0"/>
                  <w:vAlign w:val="center"/>
                </w:tcPr>
                <w:p w14:paraId="6230CA2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879" w:type="dxa"/>
                  <w:vMerge w:val="continue"/>
                  <w:shd w:val="clear" w:color="auto" w:fill="auto"/>
                  <w:noWrap w:val="0"/>
                  <w:vAlign w:val="center"/>
                </w:tcPr>
                <w:p w14:paraId="330D7BE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01" w:type="dxa"/>
                  <w:shd w:val="clear" w:color="auto" w:fill="auto"/>
                  <w:noWrap w:val="0"/>
                  <w:vAlign w:val="center"/>
                </w:tcPr>
                <w:p w14:paraId="535EFEB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w:t>
                  </w:r>
                </w:p>
              </w:tc>
              <w:tc>
                <w:tcPr>
                  <w:tcW w:w="440" w:type="dxa"/>
                  <w:shd w:val="clear" w:color="auto" w:fill="auto"/>
                  <w:noWrap w:val="0"/>
                  <w:vAlign w:val="center"/>
                </w:tcPr>
                <w:p w14:paraId="169C896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19" w:type="dxa"/>
                  <w:shd w:val="clear" w:color="auto" w:fill="auto"/>
                  <w:noWrap w:val="0"/>
                  <w:vAlign w:val="center"/>
                </w:tcPr>
                <w:p w14:paraId="02D0CA1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1670" w:type="dxa"/>
                  <w:shd w:val="clear" w:color="auto" w:fill="auto"/>
                  <w:noWrap w:val="0"/>
                  <w:vAlign w:val="center"/>
                </w:tcPr>
                <w:p w14:paraId="517F38ED">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HW17（336-064-17）</w:t>
                  </w:r>
                </w:p>
              </w:tc>
              <w:tc>
                <w:tcPr>
                  <w:tcW w:w="879" w:type="dxa"/>
                  <w:shd w:val="clear" w:color="auto" w:fill="auto"/>
                  <w:noWrap w:val="0"/>
                  <w:vAlign w:val="center"/>
                </w:tcPr>
                <w:p w14:paraId="113B30E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336" w:type="dxa"/>
                  <w:vMerge w:val="continue"/>
                  <w:shd w:val="clear" w:color="auto" w:fill="auto"/>
                  <w:noWrap w:val="0"/>
                  <w:vAlign w:val="center"/>
                </w:tcPr>
                <w:p w14:paraId="4C5550A0">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084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2" w:type="dxa"/>
                  <w:gridSpan w:val="7"/>
                  <w:shd w:val="clear" w:color="auto" w:fill="auto"/>
                  <w:noWrap w:val="0"/>
                  <w:vAlign w:val="center"/>
                </w:tcPr>
                <w:p w14:paraId="05B8F45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2215" w:type="dxa"/>
                  <w:gridSpan w:val="2"/>
                  <w:shd w:val="clear" w:color="auto" w:fill="auto"/>
                  <w:noWrap w:val="0"/>
                  <w:vAlign w:val="center"/>
                </w:tcPr>
                <w:p w14:paraId="65B5E1E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4.5t/a</w:t>
                  </w:r>
                </w:p>
              </w:tc>
            </w:tr>
            <w:tr w14:paraId="7DEE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2" w:type="dxa"/>
                  <w:gridSpan w:val="7"/>
                  <w:shd w:val="clear" w:color="auto" w:fill="auto"/>
                  <w:noWrap w:val="0"/>
                  <w:vAlign w:val="center"/>
                </w:tcPr>
                <w:p w14:paraId="61DAC099">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2215" w:type="dxa"/>
                  <w:gridSpan w:val="2"/>
                  <w:shd w:val="clear" w:color="auto" w:fill="auto"/>
                  <w:noWrap w:val="0"/>
                  <w:vAlign w:val="center"/>
                </w:tcPr>
                <w:p w14:paraId="3A3F975E">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94.33t/a</w:t>
                  </w:r>
                </w:p>
              </w:tc>
            </w:tr>
            <w:tr w14:paraId="2571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2" w:type="dxa"/>
                  <w:gridSpan w:val="7"/>
                  <w:shd w:val="clear" w:color="auto" w:fill="auto"/>
                  <w:noWrap w:val="0"/>
                  <w:vAlign w:val="center"/>
                </w:tcPr>
                <w:p w14:paraId="3E9A65AF">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215" w:type="dxa"/>
                  <w:gridSpan w:val="2"/>
                  <w:shd w:val="clear" w:color="auto" w:fill="auto"/>
                  <w:noWrap w:val="0"/>
                  <w:vAlign w:val="center"/>
                </w:tcPr>
                <w:p w14:paraId="490A93D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93.717t/a</w:t>
                  </w:r>
                </w:p>
              </w:tc>
            </w:tr>
            <w:tr w14:paraId="1F4E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2" w:type="dxa"/>
                  <w:gridSpan w:val="7"/>
                  <w:shd w:val="clear" w:color="auto" w:fill="auto"/>
                  <w:noWrap w:val="0"/>
                  <w:vAlign w:val="center"/>
                </w:tcPr>
                <w:p w14:paraId="42365C3C">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总计</w:t>
                  </w:r>
                </w:p>
              </w:tc>
              <w:tc>
                <w:tcPr>
                  <w:tcW w:w="2215" w:type="dxa"/>
                  <w:gridSpan w:val="2"/>
                  <w:shd w:val="clear" w:color="auto" w:fill="auto"/>
                  <w:noWrap w:val="0"/>
                  <w:vAlign w:val="center"/>
                </w:tcPr>
                <w:p w14:paraId="0932FE71">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192.547t/a</w:t>
                  </w:r>
                </w:p>
              </w:tc>
            </w:tr>
            <w:bookmarkEnd w:id="4"/>
          </w:tbl>
          <w:p w14:paraId="774F41EE">
            <w:pPr>
              <w:spacing w:line="360" w:lineRule="auto"/>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、现有项目存在的主要环境问题及解决方案</w:t>
            </w:r>
          </w:p>
          <w:p w14:paraId="2217BADF">
            <w:pPr>
              <w:spacing w:line="360" w:lineRule="auto"/>
              <w:ind w:firstLine="480" w:firstLineChars="200"/>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厂内现有主要环境问题及整改措施见下表：</w:t>
            </w:r>
          </w:p>
          <w:p w14:paraId="33565D6F">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14:textFill>
                  <w14:solidFill>
                    <w14:schemeClr w14:val="tx1"/>
                  </w14:solidFill>
                </w14:textFill>
              </w:rPr>
              <w:t>表2-</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16</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 xml:space="preserve">现有环保问题及整改措施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137"/>
              <w:gridCol w:w="3440"/>
              <w:gridCol w:w="1579"/>
            </w:tblGrid>
            <w:tr w14:paraId="7D96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7" w:type="pct"/>
                  <w:noWrap w:val="0"/>
                  <w:vAlign w:val="center"/>
                </w:tcPr>
                <w:p w14:paraId="59CDB7A4">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758" w:type="pct"/>
                  <w:noWrap w:val="0"/>
                  <w:vAlign w:val="center"/>
                </w:tcPr>
                <w:p w14:paraId="73994837">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现有工程环境问题 </w:t>
                  </w:r>
                </w:p>
              </w:tc>
              <w:tc>
                <w:tcPr>
                  <w:tcW w:w="1928" w:type="pct"/>
                  <w:noWrap w:val="0"/>
                  <w:vAlign w:val="center"/>
                </w:tcPr>
                <w:p w14:paraId="5518EB2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整改要求及建议</w:t>
                  </w:r>
                </w:p>
              </w:tc>
              <w:tc>
                <w:tcPr>
                  <w:tcW w:w="885" w:type="pct"/>
                  <w:noWrap w:val="0"/>
                  <w:vAlign w:val="center"/>
                </w:tcPr>
                <w:p w14:paraId="2F1589A8">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完成时限</w:t>
                  </w:r>
                </w:p>
              </w:tc>
            </w:tr>
            <w:tr w14:paraId="52A3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7" w:type="pct"/>
                  <w:noWrap w:val="0"/>
                  <w:vAlign w:val="center"/>
                </w:tcPr>
                <w:p w14:paraId="4E8A6AE5">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758" w:type="pct"/>
                  <w:noWrap w:val="0"/>
                  <w:vAlign w:val="center"/>
                </w:tcPr>
                <w:p w14:paraId="6209190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企业废气处置设施未设置运行台账；</w:t>
                  </w:r>
                </w:p>
              </w:tc>
              <w:tc>
                <w:tcPr>
                  <w:tcW w:w="1928" w:type="pct"/>
                  <w:noWrap w:val="0"/>
                  <w:vAlign w:val="center"/>
                </w:tcPr>
                <w:p w14:paraId="6FB626F3">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废气处置设施按照要求设置运行台账；</w:t>
                  </w:r>
                </w:p>
              </w:tc>
              <w:tc>
                <w:tcPr>
                  <w:tcW w:w="885" w:type="pct"/>
                  <w:noWrap w:val="0"/>
                  <w:vAlign w:val="center"/>
                </w:tcPr>
                <w:p w14:paraId="139CE5DA">
                  <w:pPr>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纳入本次新建项目建设内容</w:t>
                  </w:r>
                </w:p>
              </w:tc>
            </w:tr>
          </w:tbl>
          <w:p w14:paraId="57CF06F1">
            <w:pPr>
              <w:pStyle w:val="35"/>
              <w:ind w:left="0" w:leftChars="0" w:firstLine="0" w:firstLineChars="0"/>
              <w:jc w:val="both"/>
              <w:rPr>
                <w:rFonts w:hint="eastAsia" w:ascii="宋体" w:hAnsi="宋体" w:eastAsia="宋体" w:cs="宋体"/>
                <w:color w:val="000000" w:themeColor="text1"/>
                <w:sz w:val="24"/>
                <w:szCs w:val="24"/>
                <w:lang w:eastAsia="zh-CN"/>
                <w14:textFill>
                  <w14:solidFill>
                    <w14:schemeClr w14:val="tx1"/>
                  </w14:solidFill>
                </w14:textFill>
              </w:rPr>
            </w:pPr>
          </w:p>
        </w:tc>
      </w:tr>
    </w:tbl>
    <w:p w14:paraId="557A9C89">
      <w:pPr>
        <w:jc w:val="center"/>
        <w:rPr>
          <w:rFonts w:hint="eastAsia" w:eastAsia="宋体" w:cs="宋体"/>
          <w:b/>
          <w:bCs/>
          <w:sz w:val="30"/>
          <w:szCs w:val="30"/>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43D9EC4">
      <w:pPr>
        <w:pStyle w:val="20"/>
        <w:spacing w:before="0" w:beforeAutospacing="0" w:after="0" w:afterAutospacing="0" w:line="360" w:lineRule="auto"/>
        <w:jc w:val="center"/>
        <w:outlineLvl w:val="0"/>
        <w:rPr>
          <w:rFonts w:ascii="Times New Roman" w:hAnsi="Times New Roman" w:eastAsia="宋体"/>
          <w:b/>
          <w:bCs/>
          <w:snapToGrid w:val="0"/>
          <w:color w:val="auto"/>
          <w:sz w:val="30"/>
          <w:szCs w:val="30"/>
          <w:highlight w:val="yellow"/>
        </w:rPr>
      </w:pPr>
      <w:r>
        <w:rPr>
          <w:rFonts w:ascii="Times New Roman" w:hAnsi="Times New Roman" w:eastAsia="宋体"/>
          <w:b/>
          <w:bCs/>
          <w:snapToGrid w:val="0"/>
          <w:color w:val="auto"/>
          <w:sz w:val="30"/>
          <w:szCs w:val="30"/>
        </w:rPr>
        <w:t>三、区域环境质量现状、环境保护目标及评价标准</w:t>
      </w:r>
    </w:p>
    <w:tbl>
      <w:tblPr>
        <w:tblStyle w:val="22"/>
        <w:tblW w:w="99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9148"/>
      </w:tblGrid>
      <w:tr w14:paraId="5E95D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814" w:type="dxa"/>
            <w:vAlign w:val="center"/>
          </w:tcPr>
          <w:p w14:paraId="6B009B38">
            <w:pPr>
              <w:adjustRightInd w:val="0"/>
              <w:snapToGrid w:val="0"/>
              <w:spacing w:line="360" w:lineRule="auto"/>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区域</w:t>
            </w:r>
          </w:p>
          <w:p w14:paraId="114FA144">
            <w:pPr>
              <w:adjustRightInd w:val="0"/>
              <w:snapToGrid w:val="0"/>
              <w:spacing w:line="360" w:lineRule="auto"/>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环境</w:t>
            </w:r>
          </w:p>
          <w:p w14:paraId="36EA732A">
            <w:pPr>
              <w:adjustRightInd w:val="0"/>
              <w:snapToGrid w:val="0"/>
              <w:spacing w:line="360" w:lineRule="auto"/>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质量</w:t>
            </w:r>
          </w:p>
          <w:p w14:paraId="5B50D458">
            <w:pPr>
              <w:adjustRightInd w:val="0"/>
              <w:snapToGrid w:val="0"/>
              <w:spacing w:line="360" w:lineRule="auto"/>
              <w:jc w:val="center"/>
              <w:rPr>
                <w:rFonts w:hint="default" w:ascii="Times New Roman" w:hAnsi="Times New Roman" w:eastAsia="宋体" w:cs="Times New Roman"/>
                <w:color w:val="000000" w:themeColor="text1"/>
                <w:kern w:val="0"/>
                <w:highlight w:val="yellow"/>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现状</w:t>
            </w:r>
          </w:p>
        </w:tc>
        <w:tc>
          <w:tcPr>
            <w:tcW w:w="9148" w:type="dxa"/>
          </w:tcPr>
          <w:p w14:paraId="79BE659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1、大气环境质量现状</w:t>
            </w:r>
          </w:p>
          <w:p w14:paraId="5D65142E">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根据《环境空气质量模型技术支持服务系统》对区域达标情况进行判定，宿州市202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年均浓度分别为6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；CO 24小时平均第95百分位数为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日最大8小时平均第90百分位数为1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；超过《环境空气质量标准》（GB3095-2012）中二级标准限值的污染物为PM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宿州市为不达标区。</w:t>
            </w:r>
            <w:r>
              <w:rPr>
                <w:rFonts w:hint="default" w:ascii="Times New Roman" w:hAnsi="Times New Roman" w:eastAsia="宋体" w:cs="Times New Roman"/>
                <w:color w:val="000000" w:themeColor="text1"/>
                <w:sz w:val="24"/>
                <w:szCs w:val="24"/>
                <w:highlight w:val="none"/>
                <w14:textFill>
                  <w14:solidFill>
                    <w14:schemeClr w14:val="tx1"/>
                  </w14:solidFill>
                </w14:textFill>
              </w:rPr>
              <w:t>宿州市202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年环境空气质量基础污染物监测浓度见下表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1805060">
            <w:pPr>
              <w:pStyle w:val="6"/>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-1 区域基本污染物环境质量现状评价表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069"/>
              <w:gridCol w:w="1398"/>
              <w:gridCol w:w="1419"/>
              <w:gridCol w:w="1388"/>
              <w:gridCol w:w="1488"/>
            </w:tblGrid>
            <w:tr w14:paraId="3A91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42102F62">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污染物</w:t>
                  </w:r>
                </w:p>
              </w:tc>
              <w:tc>
                <w:tcPr>
                  <w:tcW w:w="1923" w:type="dxa"/>
                  <w:vAlign w:val="center"/>
                </w:tcPr>
                <w:p w14:paraId="75B972EC">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评价标准</w:t>
                  </w:r>
                </w:p>
              </w:tc>
              <w:tc>
                <w:tcPr>
                  <w:tcW w:w="1299" w:type="dxa"/>
                  <w:vAlign w:val="center"/>
                </w:tcPr>
                <w:p w14:paraId="19CCCDC2">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年均浓度（μg/m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319" w:type="dxa"/>
                  <w:vAlign w:val="center"/>
                </w:tcPr>
                <w:p w14:paraId="242091ED">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标准值（μg/m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290" w:type="dxa"/>
                  <w:vAlign w:val="center"/>
                </w:tcPr>
                <w:p w14:paraId="0EA4CBF1">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占标率</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383" w:type="dxa"/>
                  <w:vAlign w:val="center"/>
                </w:tcPr>
                <w:p w14:paraId="5B002CD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达标情况</w:t>
                  </w:r>
                </w:p>
              </w:tc>
            </w:tr>
            <w:tr w14:paraId="6CD6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31D26CBD">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10</w:t>
                  </w:r>
                </w:p>
              </w:tc>
              <w:tc>
                <w:tcPr>
                  <w:tcW w:w="1923" w:type="dxa"/>
                  <w:vAlign w:val="center"/>
                </w:tcPr>
                <w:p w14:paraId="44BA2DC7">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年平均浓度</w:t>
                  </w:r>
                </w:p>
              </w:tc>
              <w:tc>
                <w:tcPr>
                  <w:tcW w:w="1299" w:type="dxa"/>
                  <w:vAlign w:val="center"/>
                </w:tcPr>
                <w:p w14:paraId="127B537E">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71</w:t>
                  </w:r>
                </w:p>
              </w:tc>
              <w:tc>
                <w:tcPr>
                  <w:tcW w:w="1319" w:type="dxa"/>
                  <w:vAlign w:val="center"/>
                </w:tcPr>
                <w:p w14:paraId="27DD237C">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70</w:t>
                  </w:r>
                </w:p>
              </w:tc>
              <w:tc>
                <w:tcPr>
                  <w:tcW w:w="1290" w:type="dxa"/>
                  <w:vAlign w:val="center"/>
                </w:tcPr>
                <w:p w14:paraId="7E2AAE0C">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101.4</w:t>
                  </w:r>
                </w:p>
              </w:tc>
              <w:tc>
                <w:tcPr>
                  <w:tcW w:w="1383" w:type="dxa"/>
                  <w:vAlign w:val="center"/>
                </w:tcPr>
                <w:p w14:paraId="46B4FE3C">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不达标</w:t>
                  </w:r>
                </w:p>
              </w:tc>
            </w:tr>
            <w:tr w14:paraId="0C71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1E2BB1C1">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2.5</w:t>
                  </w:r>
                </w:p>
              </w:tc>
              <w:tc>
                <w:tcPr>
                  <w:tcW w:w="1923" w:type="dxa"/>
                  <w:vAlign w:val="center"/>
                </w:tcPr>
                <w:p w14:paraId="19488768">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年平均浓度</w:t>
                  </w:r>
                </w:p>
              </w:tc>
              <w:tc>
                <w:tcPr>
                  <w:tcW w:w="1299" w:type="dxa"/>
                  <w:vAlign w:val="center"/>
                </w:tcPr>
                <w:p w14:paraId="1ECD009C">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43</w:t>
                  </w:r>
                </w:p>
              </w:tc>
              <w:tc>
                <w:tcPr>
                  <w:tcW w:w="1319" w:type="dxa"/>
                  <w:vAlign w:val="center"/>
                </w:tcPr>
                <w:p w14:paraId="390B0F2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35</w:t>
                  </w:r>
                </w:p>
              </w:tc>
              <w:tc>
                <w:tcPr>
                  <w:tcW w:w="1290" w:type="dxa"/>
                  <w:vAlign w:val="center"/>
                </w:tcPr>
                <w:p w14:paraId="664EF219">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122.9</w:t>
                  </w:r>
                </w:p>
              </w:tc>
              <w:tc>
                <w:tcPr>
                  <w:tcW w:w="1383" w:type="dxa"/>
                  <w:vAlign w:val="center"/>
                </w:tcPr>
                <w:p w14:paraId="2D3B784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不达标</w:t>
                  </w:r>
                </w:p>
              </w:tc>
            </w:tr>
            <w:tr w14:paraId="4255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615A4C9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p>
              </w:tc>
              <w:tc>
                <w:tcPr>
                  <w:tcW w:w="1923" w:type="dxa"/>
                  <w:vAlign w:val="center"/>
                </w:tcPr>
                <w:p w14:paraId="12714AB8">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年平均浓度</w:t>
                  </w:r>
                </w:p>
              </w:tc>
              <w:tc>
                <w:tcPr>
                  <w:tcW w:w="1299" w:type="dxa"/>
                  <w:vAlign w:val="center"/>
                </w:tcPr>
                <w:p w14:paraId="1B15DF9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w:t>
                  </w:r>
                </w:p>
              </w:tc>
              <w:tc>
                <w:tcPr>
                  <w:tcW w:w="1319" w:type="dxa"/>
                  <w:vAlign w:val="center"/>
                </w:tcPr>
                <w:p w14:paraId="73D1AE1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60</w:t>
                  </w:r>
                </w:p>
              </w:tc>
              <w:tc>
                <w:tcPr>
                  <w:tcW w:w="1290" w:type="dxa"/>
                  <w:vAlign w:val="center"/>
                </w:tcPr>
                <w:p w14:paraId="0EAEFFA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10.0</w:t>
                  </w:r>
                </w:p>
              </w:tc>
              <w:tc>
                <w:tcPr>
                  <w:tcW w:w="1383" w:type="dxa"/>
                  <w:vAlign w:val="center"/>
                </w:tcPr>
                <w:p w14:paraId="2E1433E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49C8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0AE9DA3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NO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p>
              </w:tc>
              <w:tc>
                <w:tcPr>
                  <w:tcW w:w="1923" w:type="dxa"/>
                  <w:vAlign w:val="center"/>
                </w:tcPr>
                <w:p w14:paraId="423D461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年平均浓度</w:t>
                  </w:r>
                </w:p>
              </w:tc>
              <w:tc>
                <w:tcPr>
                  <w:tcW w:w="1299" w:type="dxa"/>
                  <w:vAlign w:val="center"/>
                </w:tcPr>
                <w:p w14:paraId="64C58B9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w:t>
                  </w:r>
                </w:p>
              </w:tc>
              <w:tc>
                <w:tcPr>
                  <w:tcW w:w="1319" w:type="dxa"/>
                  <w:vAlign w:val="center"/>
                </w:tcPr>
                <w:p w14:paraId="1C9CF99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40</w:t>
                  </w:r>
                </w:p>
              </w:tc>
              <w:tc>
                <w:tcPr>
                  <w:tcW w:w="1290" w:type="dxa"/>
                  <w:vAlign w:val="center"/>
                </w:tcPr>
                <w:p w14:paraId="52425078">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45.0</w:t>
                  </w:r>
                </w:p>
              </w:tc>
              <w:tc>
                <w:tcPr>
                  <w:tcW w:w="1383" w:type="dxa"/>
                  <w:vAlign w:val="center"/>
                </w:tcPr>
                <w:p w14:paraId="02FE9CF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50D8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EC79A3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CO</w:t>
                  </w:r>
                </w:p>
              </w:tc>
              <w:tc>
                <w:tcPr>
                  <w:tcW w:w="1923" w:type="dxa"/>
                  <w:vAlign w:val="center"/>
                </w:tcPr>
                <w:p w14:paraId="674820E5">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日平均第95百分位质量浓度</w:t>
                  </w:r>
                </w:p>
              </w:tc>
              <w:tc>
                <w:tcPr>
                  <w:tcW w:w="1299" w:type="dxa"/>
                  <w:vAlign w:val="center"/>
                </w:tcPr>
                <w:p w14:paraId="4C11010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p>
              </w:tc>
              <w:tc>
                <w:tcPr>
                  <w:tcW w:w="1319" w:type="dxa"/>
                  <w:vAlign w:val="center"/>
                </w:tcPr>
                <w:p w14:paraId="2045743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4mg/m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p>
              </w:tc>
              <w:tc>
                <w:tcPr>
                  <w:tcW w:w="1290" w:type="dxa"/>
                  <w:vAlign w:val="center"/>
                </w:tcPr>
                <w:p w14:paraId="2D9267E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22.5</w:t>
                  </w:r>
                </w:p>
              </w:tc>
              <w:tc>
                <w:tcPr>
                  <w:tcW w:w="1383" w:type="dxa"/>
                  <w:vAlign w:val="center"/>
                </w:tcPr>
                <w:p w14:paraId="3BCF84B1">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0C7F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0AD1F8EC">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3</w:t>
                  </w:r>
                </w:p>
              </w:tc>
              <w:tc>
                <w:tcPr>
                  <w:tcW w:w="1923" w:type="dxa"/>
                  <w:vAlign w:val="center"/>
                </w:tcPr>
                <w:p w14:paraId="569C5F7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日最大8小时平均第90百分位质量浓度</w:t>
                  </w:r>
                </w:p>
              </w:tc>
              <w:tc>
                <w:tcPr>
                  <w:tcW w:w="1299" w:type="dxa"/>
                  <w:vAlign w:val="center"/>
                </w:tcPr>
                <w:p w14:paraId="0ED742F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170</w:t>
                  </w:r>
                </w:p>
              </w:tc>
              <w:tc>
                <w:tcPr>
                  <w:tcW w:w="1319" w:type="dxa"/>
                  <w:vAlign w:val="center"/>
                </w:tcPr>
                <w:p w14:paraId="04540FB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160</w:t>
                  </w:r>
                </w:p>
              </w:tc>
              <w:tc>
                <w:tcPr>
                  <w:tcW w:w="1290" w:type="dxa"/>
                  <w:vAlign w:val="center"/>
                </w:tcPr>
                <w:p w14:paraId="3FC3150E">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106.3</w:t>
                  </w:r>
                </w:p>
              </w:tc>
              <w:tc>
                <w:tcPr>
                  <w:tcW w:w="1383" w:type="dxa"/>
                  <w:vAlign w:val="center"/>
                </w:tcPr>
                <w:p w14:paraId="361E2B1F">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不达标</w:t>
                  </w:r>
                </w:p>
              </w:tc>
            </w:tr>
          </w:tbl>
          <w:p w14:paraId="4080A6D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两高”行业产能；强化“散乱污”企业综合整治；深化工业污染治理；大力培育绿色环保产业；加快调整能源结构，构建清洁低碳高效能源体系；积极调整运输结构，发展绿色交通体系等，采取以上措施，使宿州市区域环境空气质量大大改善。</w:t>
            </w:r>
          </w:p>
          <w:p w14:paraId="5E56D337">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（2）其他污染物环境质量现状</w:t>
            </w:r>
          </w:p>
          <w:p w14:paraId="3CE16E96">
            <w:pPr>
              <w:keepNext w:val="0"/>
              <w:keepLines w:val="0"/>
              <w:pageBreakBefore w:val="0"/>
              <w:widowControl/>
              <w:shd w:val="clear" w:color="auto" w:fill="FFFFFF"/>
              <w:suppressAutoHyphens/>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项目环境影响报告表编制技术指南（污染影响类）》中的规定：“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无相关数据的选择当季主导风向下风向1个点位补充不少于3天的监测数据”。</w:t>
            </w:r>
          </w:p>
          <w:p w14:paraId="43F1DFCA">
            <w:pPr>
              <w:keepNext w:val="0"/>
              <w:keepLines w:val="0"/>
              <w:pageBreakBefore w:val="0"/>
              <w:widowControl/>
              <w:shd w:val="clear" w:color="auto" w:fill="FFFFFF"/>
              <w:suppressAutoHyphens/>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本项目TSP、非甲烷总烃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硫酸雾</w:t>
            </w:r>
            <w:r>
              <w:rPr>
                <w:rFonts w:hint="default" w:ascii="Times New Roman" w:hAnsi="Times New Roman" w:eastAsia="宋体" w:cs="Times New Roman"/>
                <w:color w:val="000000" w:themeColor="text1"/>
                <w:sz w:val="24"/>
                <w:szCs w:val="24"/>
                <w:highlight w:val="none"/>
                <w14:textFill>
                  <w14:solidFill>
                    <w14:schemeClr w14:val="tx1"/>
                  </w14:solidFill>
                </w14:textFill>
              </w:rPr>
              <w:t>《安徽宿州高新技术产业开发区总体发展规划（2023-2035年）环境影响报告书》委托安徽创新检测技术有限公司于2023年5月15日~5月21日对宋湖村进行环境空气质量检测，监测点位在本项目5km范围内，现状监测的时效与范围符合《建设项目环境影响报告表编制技术指南（污染影响类）（试行）》的要求，故本报告引用该报告中大气环境质量中TSP、非甲烷总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硫酸雾</w:t>
            </w:r>
            <w:r>
              <w:rPr>
                <w:rFonts w:hint="default" w:ascii="Times New Roman" w:hAnsi="Times New Roman" w:eastAsia="宋体" w:cs="Times New Roman"/>
                <w:color w:val="000000" w:themeColor="text1"/>
                <w:sz w:val="24"/>
                <w:szCs w:val="24"/>
                <w:highlight w:val="none"/>
                <w14:textFill>
                  <w14:solidFill>
                    <w14:schemeClr w14:val="tx1"/>
                  </w14:solidFill>
                </w14:textFill>
              </w:rPr>
              <w:t>监测数据，各</w:t>
            </w:r>
            <w:r>
              <w:rPr>
                <w:rFonts w:hint="default" w:ascii="Times New Roman" w:hAnsi="Times New Roman" w:eastAsia="宋体" w:cs="Times New Roman"/>
                <w:bCs/>
                <w:color w:val="000000" w:themeColor="text1"/>
                <w:sz w:val="24"/>
                <w:szCs w:val="24"/>
                <w:highlight w:val="none"/>
                <w14:textFill>
                  <w14:solidFill>
                    <w14:schemeClr w14:val="tx1"/>
                  </w14:solidFill>
                </w14:textFill>
              </w:rPr>
              <w:t>监测点布设情况</w:t>
            </w:r>
            <w:r>
              <w:rPr>
                <w:rFonts w:hint="default" w:ascii="Times New Roman" w:hAnsi="Times New Roman" w:eastAsia="宋体" w:cs="Times New Roman"/>
                <w:color w:val="000000" w:themeColor="text1"/>
                <w:sz w:val="24"/>
                <w:szCs w:val="24"/>
                <w:highlight w:val="none"/>
                <w14:textFill>
                  <w14:solidFill>
                    <w14:schemeClr w14:val="tx1"/>
                  </w14:solidFill>
                </w14:textFill>
              </w:rPr>
              <w:t>如下：</w:t>
            </w:r>
          </w:p>
          <w:p w14:paraId="56385E09">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1"/>
                <w:sz w:val="24"/>
                <w:szCs w:val="24"/>
                <w14:textFill>
                  <w14:solidFill>
                    <w14:schemeClr w14:val="tx1"/>
                  </w14:solidFill>
                </w14:textFill>
              </w:rPr>
            </w:pPr>
            <w:r>
              <w:rPr>
                <w:rFonts w:hint="default" w:ascii="Times New Roman" w:hAnsi="Times New Roman" w:eastAsia="宋体" w:cs="Times New Roman"/>
                <w:color w:val="000000" w:themeColor="text1"/>
                <w:kern w:val="1"/>
                <w:sz w:val="24"/>
                <w:szCs w:val="24"/>
                <w14:textFill>
                  <w14:solidFill>
                    <w14:schemeClr w14:val="tx1"/>
                  </w14:solidFill>
                </w14:textFill>
              </w:rPr>
              <w:t>①监测点位</w:t>
            </w:r>
          </w:p>
          <w:p w14:paraId="56EA8460">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大气环境质量现状监测布点详见下表及附图。</w:t>
            </w:r>
          </w:p>
          <w:p w14:paraId="4CB854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auto"/>
                <w:kern w:val="2"/>
                <w:sz w:val="24"/>
                <w:szCs w:val="24"/>
                <w:lang w:val="en-US" w:eastAsia="zh-CN" w:bidi="ar-SA"/>
              </w:rPr>
              <w:t>表3-</w:t>
            </w:r>
            <w:r>
              <w:rPr>
                <w:rFonts w:hint="eastAsia" w:ascii="Times New Roman" w:hAnsi="Times New Roman" w:eastAsia="宋体" w:cs="Times New Roman"/>
                <w:b/>
                <w:color w:val="auto"/>
                <w:kern w:val="2"/>
                <w:sz w:val="24"/>
                <w:szCs w:val="24"/>
                <w:lang w:val="en-US" w:eastAsia="zh-CN" w:bidi="ar-SA"/>
              </w:rPr>
              <w:t>2</w:t>
            </w:r>
            <w:r>
              <w:rPr>
                <w:rFonts w:hint="default" w:ascii="Times New Roman" w:hAnsi="Times New Roman" w:eastAsia="宋体" w:cs="Times New Roman"/>
                <w:b/>
                <w:color w:val="auto"/>
                <w:kern w:val="2"/>
                <w:sz w:val="24"/>
                <w:szCs w:val="24"/>
                <w:lang w:val="en-US" w:eastAsia="zh-CN" w:bidi="ar-SA"/>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环境空气质量监测布点表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8"/>
              <w:gridCol w:w="1992"/>
              <w:gridCol w:w="1992"/>
              <w:gridCol w:w="1992"/>
              <w:gridCol w:w="1994"/>
            </w:tblGrid>
            <w:tr w14:paraId="42DA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1" w:type="pct"/>
                  <w:vAlign w:val="center"/>
                </w:tcPr>
                <w:p w14:paraId="16713659">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点位编号</w:t>
                  </w:r>
                </w:p>
              </w:tc>
              <w:tc>
                <w:tcPr>
                  <w:tcW w:w="1116" w:type="pct"/>
                  <w:vAlign w:val="center"/>
                </w:tcPr>
                <w:p w14:paraId="103EA1A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名称</w:t>
                  </w:r>
                </w:p>
              </w:tc>
              <w:tc>
                <w:tcPr>
                  <w:tcW w:w="1116" w:type="pct"/>
                  <w:vAlign w:val="center"/>
                </w:tcPr>
                <w:p w14:paraId="4DCCCC7A">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相对方位</w:t>
                  </w:r>
                </w:p>
              </w:tc>
              <w:tc>
                <w:tcPr>
                  <w:tcW w:w="1116" w:type="pct"/>
                  <w:vAlign w:val="center"/>
                </w:tcPr>
                <w:p w14:paraId="44CD365E">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相对距离(m)</w:t>
                  </w:r>
                </w:p>
              </w:tc>
              <w:tc>
                <w:tcPr>
                  <w:tcW w:w="1117" w:type="pct"/>
                  <w:vAlign w:val="center"/>
                </w:tcPr>
                <w:p w14:paraId="0FAB8A05">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备注</w:t>
                  </w:r>
                </w:p>
              </w:tc>
            </w:tr>
            <w:tr w14:paraId="0D15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1" w:type="pct"/>
                  <w:vAlign w:val="center"/>
                </w:tcPr>
                <w:p w14:paraId="5789E55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G1</w:t>
                  </w:r>
                </w:p>
              </w:tc>
              <w:tc>
                <w:tcPr>
                  <w:tcW w:w="1116" w:type="pct"/>
                  <w:vAlign w:val="center"/>
                </w:tcPr>
                <w:p w14:paraId="602F0EC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宋湖村</w:t>
                  </w:r>
                </w:p>
              </w:tc>
              <w:tc>
                <w:tcPr>
                  <w:tcW w:w="1116" w:type="pct"/>
                  <w:vAlign w:val="center"/>
                </w:tcPr>
                <w:p w14:paraId="08576EB2">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东南</w:t>
                  </w:r>
                </w:p>
              </w:tc>
              <w:tc>
                <w:tcPr>
                  <w:tcW w:w="1116" w:type="pct"/>
                  <w:vAlign w:val="center"/>
                </w:tcPr>
                <w:p w14:paraId="1D3E5A3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1050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m</w:t>
                  </w:r>
                </w:p>
              </w:tc>
              <w:tc>
                <w:tcPr>
                  <w:tcW w:w="1117" w:type="pct"/>
                  <w:vAlign w:val="center"/>
                </w:tcPr>
                <w:p w14:paraId="7C16ADC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TSP、非甲烷总烃、硫酸雾</w:t>
                  </w:r>
                </w:p>
              </w:tc>
            </w:tr>
          </w:tbl>
          <w:p w14:paraId="07F3BE08">
            <w:pPr>
              <w:spacing w:line="360" w:lineRule="auto"/>
              <w:ind w:left="0" w:leftChars="0" w:firstLine="0" w:firstLineChars="0"/>
              <w:jc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highlight w:val="yellow"/>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302895</wp:posOffset>
                      </wp:positionH>
                      <wp:positionV relativeFrom="paragraph">
                        <wp:posOffset>2620645</wp:posOffset>
                      </wp:positionV>
                      <wp:extent cx="174625" cy="158750"/>
                      <wp:effectExtent l="4445" t="4445" r="11430" b="8255"/>
                      <wp:wrapNone/>
                      <wp:docPr id="15" name="椭圆 15"/>
                      <wp:cNvGraphicFramePr/>
                      <a:graphic xmlns:a="http://schemas.openxmlformats.org/drawingml/2006/main">
                        <a:graphicData uri="http://schemas.microsoft.com/office/word/2010/wordprocessingShape">
                          <wps:wsp>
                            <wps:cNvSpPr/>
                            <wps:spPr>
                              <a:xfrm>
                                <a:off x="0" y="0"/>
                                <a:ext cx="174625" cy="158750"/>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3.85pt;margin-top:206.35pt;height:12.5pt;width:13.75pt;z-index:251662336;mso-width-relative:page;mso-height-relative:page;" fillcolor="#FFFF00" filled="t" stroked="t" coordsize="21600,21600" o:gfxdata="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BP1l2AAAAAkBAAAPAAAAAAAAAAEAIAAAACIAAABkcnMvZG93bnJldi54bWxQSwEC&#10;FAAUAAAACACHTuJAtXJq8vQBAAAYBAAADgAAAAAAAAABACAAAAAnAQAAZHJzL2Uyb0RvYy54bWxQ&#10;SwUGAAAAAAYABgBZAQAAjQUAAAAA&#10;">
                      <v:fill on="t" focussize="0,0"/>
                      <v:stroke color="#FFFF00" joinstyle="round"/>
                      <v:imagedata o:title=""/>
                      <o:lock v:ext="edit" aspectratio="f"/>
                    </v:shape>
                  </w:pict>
                </mc:Fallback>
              </mc:AlternateContent>
            </w:r>
            <w:r>
              <w:rPr>
                <w:rFonts w:hint="default" w:ascii="Times New Roman" w:hAnsi="Times New Roman" w:eastAsia="宋体" w:cs="Times New Roman"/>
                <w:color w:val="000000" w:themeColor="text1"/>
                <w:highlight w:val="yellow"/>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2536190</wp:posOffset>
                      </wp:positionV>
                      <wp:extent cx="1553845" cy="334010"/>
                      <wp:effectExtent l="4445" t="4445" r="22860" b="23495"/>
                      <wp:wrapNone/>
                      <wp:docPr id="7" name="文本框 7"/>
                      <wp:cNvGraphicFramePr/>
                      <a:graphic xmlns:a="http://schemas.openxmlformats.org/drawingml/2006/main">
                        <a:graphicData uri="http://schemas.microsoft.com/office/word/2010/wordprocessingShape">
                          <wps:wsp>
                            <wps:cNvSpPr txBox="1"/>
                            <wps:spPr>
                              <a:xfrm>
                                <a:off x="0" y="0"/>
                                <a:ext cx="155384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E750E9">
                                  <w:pPr>
                                    <w:ind w:firstLine="420" w:firstLineChars="200"/>
                                    <w:rPr>
                                      <w:lang w:eastAsia="zh-CN"/>
                                    </w:rPr>
                                  </w:pPr>
                                  <w:r>
                                    <w:rPr>
                                      <w:rFonts w:hint="eastAsia"/>
                                    </w:rPr>
                                    <w:t>：</w:t>
                                  </w:r>
                                  <w:r>
                                    <w:rPr>
                                      <w:rFonts w:hint="eastAsia"/>
                                      <w:lang w:eastAsia="zh-CN"/>
                                    </w:rPr>
                                    <w:t>大气</w:t>
                                  </w:r>
                                  <w:r>
                                    <w:rPr>
                                      <w:rFonts w:hint="eastAsia"/>
                                    </w:rPr>
                                    <w:t>监测点</w:t>
                                  </w:r>
                                </w:p>
                              </w:txbxContent>
                            </wps:txbx>
                            <wps:bodyPr upright="1"/>
                          </wps:wsp>
                        </a:graphicData>
                      </a:graphic>
                    </wp:anchor>
                  </w:drawing>
                </mc:Choice>
                <mc:Fallback>
                  <w:pict>
                    <v:shape id="_x0000_s1026" o:spid="_x0000_s1026" o:spt="202" type="#_x0000_t202" style="position:absolute;left:0pt;margin-left:14.15pt;margin-top:199.7pt;height:26.3pt;width:122.35pt;z-index:251660288;mso-width-relative:page;mso-height-relative:page;" fillcolor="#FFFFFF" filled="t" stroked="t" coordsize="21600,21600" o:gfxdata="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cfOw2gAAAAoBAAAPAAAAAAAAAAEAIAAA&#10;ACIAAABkcnMvZG93bnJldi54bWxQSwECFAAUAAAACACHTuJA7ItkEQoCAAA2BAAADgAAAAAAAAAB&#10;ACAAAAApAQAAZHJzL2Uyb0RvYy54bWxQSwUGAAAAAAYABgBZAQAApQUAAAAA&#10;">
                      <v:fill on="t" focussize="0,0"/>
                      <v:stroke color="#000000" joinstyle="miter"/>
                      <v:imagedata o:title=""/>
                      <o:lock v:ext="edit" aspectratio="f"/>
                      <v:textbox>
                        <w:txbxContent>
                          <w:p w14:paraId="66E750E9">
                            <w:pPr>
                              <w:ind w:firstLine="420" w:firstLineChars="200"/>
                              <w:rPr>
                                <w:lang w:eastAsia="zh-CN"/>
                              </w:rPr>
                            </w:pPr>
                            <w:r>
                              <w:rPr>
                                <w:rFonts w:hint="eastAsia"/>
                              </w:rPr>
                              <w:t>：</w:t>
                            </w:r>
                            <w:r>
                              <w:rPr>
                                <w:rFonts w:hint="eastAsia"/>
                                <w:lang w:eastAsia="zh-CN"/>
                              </w:rPr>
                              <w:t>大气</w:t>
                            </w:r>
                            <w:r>
                              <w:rPr>
                                <w:rFonts w:hint="eastAsia"/>
                              </w:rPr>
                              <w:t>监测点</w:t>
                            </w:r>
                          </w:p>
                        </w:txbxContent>
                      </v:textbox>
                    </v:shape>
                  </w:pict>
                </mc:Fallback>
              </mc:AlternateContent>
            </w:r>
            <w:r>
              <w:rPr>
                <w:rFonts w:hint="default" w:ascii="Times New Roman" w:hAnsi="Times New Roman" w:eastAsia="宋体" w:cs="Times New Roman"/>
                <w:color w:val="000000" w:themeColor="text1"/>
                <w:sz w:val="24"/>
                <w:szCs w:val="32"/>
                <w14:textFill>
                  <w14:solidFill>
                    <w14:schemeClr w14:val="tx1"/>
                  </w14:solidFill>
                </w14:textFill>
              </w:rPr>
              <w:drawing>
                <wp:inline distT="0" distB="0" distL="114300" distR="114300">
                  <wp:extent cx="5282565" cy="2777490"/>
                  <wp:effectExtent l="0" t="0" r="13335" b="3810"/>
                  <wp:docPr id="9" name="图片 9" descr="89b460a2-bf7e-4b51-83ba-859fc6f08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b460a2-bf7e-4b51-83ba-859fc6f08c68"/>
                          <pic:cNvPicPr>
                            <a:picLocks noChangeAspect="1"/>
                          </pic:cNvPicPr>
                        </pic:nvPicPr>
                        <pic:blipFill>
                          <a:blip r:embed="rId12"/>
                          <a:stretch>
                            <a:fillRect/>
                          </a:stretch>
                        </pic:blipFill>
                        <pic:spPr>
                          <a:xfrm>
                            <a:off x="0" y="0"/>
                            <a:ext cx="5282565" cy="2777490"/>
                          </a:xfrm>
                          <a:prstGeom prst="rect">
                            <a:avLst/>
                          </a:prstGeom>
                        </pic:spPr>
                      </pic:pic>
                    </a:graphicData>
                  </a:graphic>
                </wp:inline>
              </w:drawing>
            </w:r>
            <w:r>
              <w:rPr>
                <w:rFonts w:hint="eastAsia" w:ascii="Times New Roman" w:hAnsi="Times New Roman" w:eastAsia="宋体" w:cs="Times New Roman"/>
                <w:color w:val="000000" w:themeColor="text1"/>
                <w:sz w:val="24"/>
                <w:szCs w:val="24"/>
                <w:lang w:eastAsia="zh-CN"/>
                <w14:textFill>
                  <w14:solidFill>
                    <w14:schemeClr w14:val="tx1"/>
                  </w14:solidFill>
                </w14:textFill>
              </w:rPr>
              <w:drawing>
                <wp:anchor distT="0" distB="0" distL="114935" distR="114935" simplePos="0" relativeHeight="251661312" behindDoc="0" locked="0" layoutInCell="1" allowOverlap="1">
                  <wp:simplePos x="0" y="0"/>
                  <wp:positionH relativeFrom="column">
                    <wp:posOffset>4672965</wp:posOffset>
                  </wp:positionH>
                  <wp:positionV relativeFrom="paragraph">
                    <wp:posOffset>10160</wp:posOffset>
                  </wp:positionV>
                  <wp:extent cx="600075" cy="600075"/>
                  <wp:effectExtent l="0" t="0" r="9525" b="9525"/>
                  <wp:wrapNone/>
                  <wp:docPr id="6" name="图片 6" descr="4f009381-0e69-4bac-b19b-ac046829c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f009381-0e69-4bac-b19b-ac046829c3d5"/>
                          <pic:cNvPicPr>
                            <a:picLocks noChangeAspect="1"/>
                          </pic:cNvPicPr>
                        </pic:nvPicPr>
                        <pic:blipFill>
                          <a:blip r:embed="rId13"/>
                          <a:stretch>
                            <a:fillRect/>
                          </a:stretch>
                        </pic:blipFill>
                        <pic:spPr>
                          <a:xfrm>
                            <a:off x="0" y="0"/>
                            <a:ext cx="600075" cy="600075"/>
                          </a:xfrm>
                          <a:prstGeom prst="rect">
                            <a:avLst/>
                          </a:prstGeom>
                        </pic:spPr>
                      </pic:pic>
                    </a:graphicData>
                  </a:graphic>
                </wp:anchor>
              </w:drawing>
            </w:r>
            <w:r>
              <w:rPr>
                <w:rFonts w:hint="default" w:ascii="Times New Roman" w:hAnsi="Times New Roman" w:eastAsia="宋体" w:cs="Times New Roman"/>
                <w:color w:val="000000" w:themeColor="text1"/>
                <w:highlight w:val="yellow"/>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4026535</wp:posOffset>
                      </wp:positionH>
                      <wp:positionV relativeFrom="paragraph">
                        <wp:posOffset>2009140</wp:posOffset>
                      </wp:positionV>
                      <wp:extent cx="174625" cy="158750"/>
                      <wp:effectExtent l="4445" t="4445" r="11430" b="8255"/>
                      <wp:wrapNone/>
                      <wp:docPr id="8" name="椭圆 8"/>
                      <wp:cNvGraphicFramePr/>
                      <a:graphic xmlns:a="http://schemas.openxmlformats.org/drawingml/2006/main">
                        <a:graphicData uri="http://schemas.microsoft.com/office/word/2010/wordprocessingShape">
                          <wps:wsp>
                            <wps:cNvSpPr/>
                            <wps:spPr>
                              <a:xfrm>
                                <a:off x="0" y="0"/>
                                <a:ext cx="174625" cy="158750"/>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17.05pt;margin-top:158.2pt;height:12.5pt;width:13.75pt;z-index:251661312;mso-width-relative:page;mso-height-relative:page;" fillcolor="#FFFF00" filled="t" stroked="t" coordsize="21600,21600" o:gfxdata="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rZFAtoAAAALAQAADwAAAAAAAAABACAAAAAiAAAAZHJzL2Rvd25yZXYueG1sUEsB&#10;AhQAFAAAAAgAh07iQLw+rePzAQAAFgQAAA4AAAAAAAAAAQAgAAAAKQEAAGRycy9lMm9Eb2MueG1s&#10;UEsFBgAAAAAGAAYAWQEAAI4FAAAAAA==&#10;">
                      <v:fill on="t" focussize="0,0"/>
                      <v:stroke color="#FFFF00" joinstyle="round"/>
                      <v:imagedata o:title=""/>
                      <o:lock v:ext="edit" aspectratio="f"/>
                    </v:shape>
                  </w:pict>
                </mc:Fallback>
              </mc:AlternateContent>
            </w:r>
          </w:p>
          <w:p w14:paraId="78E02D1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t>监测结果</w:t>
            </w:r>
          </w:p>
          <w:p w14:paraId="3D96058F">
            <w:pPr>
              <w:spacing w:line="360" w:lineRule="auto"/>
              <w:ind w:firstLine="480"/>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环境空气现状监测结果见下表。</w:t>
            </w:r>
          </w:p>
          <w:p w14:paraId="04992C7D">
            <w:pPr>
              <w:pStyle w:val="39"/>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329E32B0">
            <w:pPr>
              <w:pStyle w:val="39"/>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6B059E56">
            <w:pPr>
              <w:pStyle w:val="39"/>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98957EA">
            <w:pPr>
              <w:pStyle w:val="3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表3-</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特征因子监测结果 单位：mg/m³</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6"/>
              <w:gridCol w:w="1508"/>
              <w:gridCol w:w="1952"/>
              <w:gridCol w:w="1577"/>
              <w:gridCol w:w="1489"/>
            </w:tblGrid>
            <w:tr w14:paraId="78687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1343" w:type="pct"/>
                  <w:vAlign w:val="center"/>
                </w:tcPr>
                <w:p w14:paraId="35D8A70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监测因子</w:t>
                  </w:r>
                </w:p>
              </w:tc>
              <w:tc>
                <w:tcPr>
                  <w:tcW w:w="845" w:type="pct"/>
                  <w:vAlign w:val="center"/>
                </w:tcPr>
                <w:p w14:paraId="3D3F9A32">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检测地点</w:t>
                  </w:r>
                </w:p>
              </w:tc>
              <w:tc>
                <w:tcPr>
                  <w:tcW w:w="1094" w:type="pct"/>
                  <w:vAlign w:val="center"/>
                </w:tcPr>
                <w:p w14:paraId="1D8E10A5">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检测结果浓度范围（mg/m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884" w:type="pct"/>
                  <w:vAlign w:val="center"/>
                </w:tcPr>
                <w:p w14:paraId="587C013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评级标准（mg/m3）</w:t>
                  </w:r>
                </w:p>
              </w:tc>
              <w:tc>
                <w:tcPr>
                  <w:tcW w:w="834" w:type="pct"/>
                  <w:vAlign w:val="center"/>
                </w:tcPr>
                <w:p w14:paraId="680F1EF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达标情况</w:t>
                  </w:r>
                </w:p>
              </w:tc>
            </w:tr>
            <w:tr w14:paraId="01A62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343" w:type="pct"/>
                  <w:vAlign w:val="center"/>
                </w:tcPr>
                <w:p w14:paraId="6A246136">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TSP</w:t>
                  </w:r>
                </w:p>
                <w:p w14:paraId="1C95BD8E">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（日平均浓度值）</w:t>
                  </w:r>
                </w:p>
              </w:tc>
              <w:tc>
                <w:tcPr>
                  <w:tcW w:w="845" w:type="pct"/>
                  <w:vAlign w:val="center"/>
                </w:tcPr>
                <w:p w14:paraId="5BE7510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宋湖村</w:t>
                  </w:r>
                </w:p>
              </w:tc>
              <w:tc>
                <w:tcPr>
                  <w:tcW w:w="1094" w:type="pct"/>
                  <w:vAlign w:val="center"/>
                </w:tcPr>
                <w:p w14:paraId="413EB84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0.089~0.094</w:t>
                  </w:r>
                </w:p>
              </w:tc>
              <w:tc>
                <w:tcPr>
                  <w:tcW w:w="884" w:type="pct"/>
                  <w:vAlign w:val="center"/>
                </w:tcPr>
                <w:p w14:paraId="0D61290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0.3</w:t>
                  </w:r>
                </w:p>
              </w:tc>
              <w:tc>
                <w:tcPr>
                  <w:tcW w:w="834" w:type="pct"/>
                  <w:vAlign w:val="center"/>
                </w:tcPr>
                <w:p w14:paraId="42D22632">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13E98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343" w:type="pct"/>
                  <w:vAlign w:val="center"/>
                </w:tcPr>
                <w:p w14:paraId="6E335AD7">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硫酸雾</w:t>
                  </w:r>
                </w:p>
                <w:p w14:paraId="1EC277A5">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（小时值）</w:t>
                  </w:r>
                </w:p>
              </w:tc>
              <w:tc>
                <w:tcPr>
                  <w:tcW w:w="845" w:type="pct"/>
                  <w:vAlign w:val="center"/>
                </w:tcPr>
                <w:p w14:paraId="0CA2E9AB">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宋湖村</w:t>
                  </w:r>
                </w:p>
              </w:tc>
              <w:tc>
                <w:tcPr>
                  <w:tcW w:w="1094" w:type="pct"/>
                  <w:vAlign w:val="center"/>
                </w:tcPr>
                <w:p w14:paraId="2BFF2AE4">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0.005-0.008</w:t>
                  </w:r>
                </w:p>
              </w:tc>
              <w:tc>
                <w:tcPr>
                  <w:tcW w:w="884" w:type="pct"/>
                  <w:vAlign w:val="center"/>
                </w:tcPr>
                <w:p w14:paraId="756886FD">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0.3</w:t>
                  </w:r>
                </w:p>
              </w:tc>
              <w:tc>
                <w:tcPr>
                  <w:tcW w:w="834" w:type="pct"/>
                  <w:vAlign w:val="center"/>
                </w:tcPr>
                <w:p w14:paraId="7E0BC22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r w14:paraId="626A0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343" w:type="pct"/>
                  <w:vAlign w:val="center"/>
                </w:tcPr>
                <w:p w14:paraId="1C0CB233">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非甲烷总烃</w:t>
                  </w:r>
                </w:p>
                <w:p w14:paraId="4944299D">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（小时值）</w:t>
                  </w:r>
                </w:p>
              </w:tc>
              <w:tc>
                <w:tcPr>
                  <w:tcW w:w="845" w:type="pct"/>
                  <w:vAlign w:val="center"/>
                </w:tcPr>
                <w:p w14:paraId="37B4CD90">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宋湖村</w:t>
                  </w:r>
                </w:p>
              </w:tc>
              <w:tc>
                <w:tcPr>
                  <w:tcW w:w="1094" w:type="pct"/>
                  <w:vAlign w:val="center"/>
                </w:tcPr>
                <w:p w14:paraId="0FDFA291">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0.56~1.54</w:t>
                  </w:r>
                </w:p>
              </w:tc>
              <w:tc>
                <w:tcPr>
                  <w:tcW w:w="884" w:type="pct"/>
                  <w:vAlign w:val="center"/>
                </w:tcPr>
                <w:p w14:paraId="33085576">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2.0</w:t>
                  </w:r>
                </w:p>
              </w:tc>
              <w:tc>
                <w:tcPr>
                  <w:tcW w:w="834" w:type="pct"/>
                  <w:vAlign w:val="center"/>
                </w:tcPr>
                <w:p w14:paraId="3D16EDB1">
                  <w:pPr>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w:t>
                  </w:r>
                </w:p>
              </w:tc>
            </w:tr>
          </w:tbl>
          <w:p w14:paraId="763E990B">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综上所述，监测期间硫酸雾的监测结果满足《环境影响评价技术导则-大气环境》（HJ2.2-2018）附录 D 中空气质量浓度参考限值要求，非甲烷总烃的监测结果满足《大气污染物综合排放标准详解》中规定值要求， TSP监测结果满足《环境空气质量标准》（GB3095-2012）中二级标准要求。</w:t>
            </w:r>
          </w:p>
          <w:p w14:paraId="463D1189">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2、地表水环境质量现状</w:t>
            </w:r>
          </w:p>
          <w:p w14:paraId="4F48C03A">
            <w:pPr>
              <w:kinsoku/>
              <w:topLinePunct/>
              <w:adjustRightInd/>
              <w:snapToGrid/>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2024年，宿州市水环境质量稳中向好、稳中趋优。全市13个地表水国家考核断面中10个水质达到Ⅲ类，水质优良比例为76.9% ，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w:t>
            </w:r>
          </w:p>
          <w:p w14:paraId="070F175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4"/>
                <w:szCs w:val="24"/>
                <w14:textFill>
                  <w14:solidFill>
                    <w14:schemeClr w14:val="tx1"/>
                  </w14:solidFill>
                </w14:textFill>
              </w:rPr>
              <w:t>声环境</w:t>
            </w:r>
          </w:p>
          <w:p w14:paraId="2742D774">
            <w:pPr>
              <w:pStyle w:val="5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highlight w:val="yellow"/>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安徽博钧机械设备有限公司</w:t>
            </w:r>
            <w:r>
              <w:rPr>
                <w:rFonts w:hint="default" w:ascii="Times New Roman" w:hAnsi="Times New Roman" w:eastAsia="宋体" w:cs="Times New Roman"/>
                <w:color w:val="000000" w:themeColor="text1"/>
                <w:sz w:val="24"/>
                <w:highlight w:val="none"/>
                <w14:textFill>
                  <w14:solidFill>
                    <w14:schemeClr w14:val="tx1"/>
                  </w14:solidFill>
                </w14:textFill>
              </w:rPr>
              <w:t>委托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安徽鑫程检测科技有限公司</w:t>
            </w:r>
            <w:r>
              <w:rPr>
                <w:rFonts w:hint="default" w:ascii="Times New Roman" w:hAnsi="Times New Roman" w:eastAsia="宋体" w:cs="Times New Roman"/>
                <w:color w:val="000000" w:themeColor="text1"/>
                <w:sz w:val="24"/>
                <w:highlight w:val="none"/>
                <w14:textFill>
                  <w14:solidFill>
                    <w14:schemeClr w14:val="tx1"/>
                  </w14:solidFill>
                </w14:textFill>
              </w:rPr>
              <w:t>于202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highlight w:val="none"/>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highlight w:val="none"/>
                <w14:textFill>
                  <w14:solidFill>
                    <w14:schemeClr w14:val="tx1"/>
                  </w14:solidFill>
                </w14:textFill>
              </w:rPr>
              <w:t>日进行声环境质量现状监测（见附件）。</w:t>
            </w:r>
          </w:p>
          <w:p w14:paraId="5FF94636">
            <w:pPr>
              <w:pStyle w:val="5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监测项目：等效A声级。</w:t>
            </w:r>
          </w:p>
          <w:p w14:paraId="6EB5AAFD">
            <w:pPr>
              <w:pStyle w:val="5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监测方法：《声环境质量标准》（GB3096-2008）。</w:t>
            </w:r>
          </w:p>
          <w:p w14:paraId="00940B3F">
            <w:pPr>
              <w:pStyle w:val="5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监测点布设：在敏感点处共布设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个监测点。</w:t>
            </w:r>
          </w:p>
          <w:p w14:paraId="6B4C9567">
            <w:pPr>
              <w:widowControl/>
              <w:jc w:val="center"/>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声环境质量现状监测布点一览表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003"/>
              <w:gridCol w:w="2001"/>
              <w:gridCol w:w="3354"/>
            </w:tblGrid>
            <w:tr w14:paraId="624E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76" w:type="pct"/>
                  <w:tcBorders>
                    <w:top w:val="single" w:color="auto" w:sz="4" w:space="0"/>
                    <w:left w:val="single" w:color="auto" w:sz="4" w:space="0"/>
                    <w:bottom w:val="single" w:color="auto" w:sz="4" w:space="0"/>
                    <w:right w:val="single" w:color="auto" w:sz="4" w:space="0"/>
                  </w:tcBorders>
                  <w:vAlign w:val="center"/>
                </w:tcPr>
                <w:p w14:paraId="5F055C93">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点位编号</w:t>
                  </w:r>
                </w:p>
              </w:tc>
              <w:tc>
                <w:tcPr>
                  <w:tcW w:w="1122" w:type="pct"/>
                  <w:tcBorders>
                    <w:top w:val="single" w:color="auto" w:sz="4" w:space="0"/>
                    <w:left w:val="single" w:color="auto" w:sz="4" w:space="0"/>
                    <w:bottom w:val="single" w:color="auto" w:sz="4" w:space="0"/>
                    <w:right w:val="single" w:color="auto" w:sz="4" w:space="0"/>
                  </w:tcBorders>
                  <w:vAlign w:val="center"/>
                </w:tcPr>
                <w:p w14:paraId="374CB47A">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监测点位</w:t>
                  </w:r>
                </w:p>
              </w:tc>
              <w:tc>
                <w:tcPr>
                  <w:tcW w:w="1121" w:type="pct"/>
                  <w:tcBorders>
                    <w:top w:val="single" w:color="auto" w:sz="4" w:space="0"/>
                    <w:left w:val="single" w:color="auto" w:sz="4" w:space="0"/>
                    <w:bottom w:val="single" w:color="auto" w:sz="4" w:space="0"/>
                    <w:right w:val="single" w:color="auto" w:sz="4" w:space="0"/>
                  </w:tcBorders>
                  <w:vAlign w:val="center"/>
                </w:tcPr>
                <w:p w14:paraId="62B52710">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噪声类型</w:t>
                  </w:r>
                </w:p>
              </w:tc>
              <w:tc>
                <w:tcPr>
                  <w:tcW w:w="1878" w:type="pct"/>
                  <w:tcBorders>
                    <w:top w:val="single" w:color="auto" w:sz="4" w:space="0"/>
                    <w:left w:val="single" w:color="auto" w:sz="4" w:space="0"/>
                    <w:bottom w:val="single" w:color="auto" w:sz="4" w:space="0"/>
                    <w:right w:val="single" w:color="auto" w:sz="4" w:space="0"/>
                  </w:tcBorders>
                  <w:vAlign w:val="center"/>
                </w:tcPr>
                <w:p w14:paraId="6E47E545">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项目位置</w:t>
                  </w:r>
                </w:p>
              </w:tc>
            </w:tr>
            <w:tr w14:paraId="1088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76" w:type="pct"/>
                  <w:tcBorders>
                    <w:top w:val="single" w:color="auto" w:sz="4" w:space="0"/>
                    <w:left w:val="single" w:color="auto" w:sz="4" w:space="0"/>
                    <w:bottom w:val="single" w:color="auto" w:sz="4" w:space="0"/>
                    <w:right w:val="single" w:color="auto" w:sz="4" w:space="0"/>
                  </w:tcBorders>
                  <w:vAlign w:val="center"/>
                </w:tcPr>
                <w:p w14:paraId="4F3B0E0F">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N1</w:t>
                  </w:r>
                </w:p>
              </w:tc>
              <w:tc>
                <w:tcPr>
                  <w:tcW w:w="1122" w:type="pct"/>
                  <w:tcBorders>
                    <w:top w:val="single" w:color="auto" w:sz="4" w:space="0"/>
                    <w:left w:val="single" w:color="auto" w:sz="4" w:space="0"/>
                    <w:bottom w:val="single" w:color="auto" w:sz="4" w:space="0"/>
                    <w:right w:val="single" w:color="auto" w:sz="4" w:space="0"/>
                  </w:tcBorders>
                  <w:vAlign w:val="center"/>
                </w:tcPr>
                <w:p w14:paraId="1CBD0D4E">
                  <w:pPr>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三环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小区</w:t>
                  </w:r>
                </w:p>
              </w:tc>
              <w:tc>
                <w:tcPr>
                  <w:tcW w:w="1121" w:type="pct"/>
                  <w:tcBorders>
                    <w:top w:val="single" w:color="auto" w:sz="4" w:space="0"/>
                    <w:left w:val="single" w:color="auto" w:sz="4" w:space="0"/>
                    <w:right w:val="single" w:color="auto" w:sz="4" w:space="0"/>
                  </w:tcBorders>
                  <w:vAlign w:val="center"/>
                </w:tcPr>
                <w:p w14:paraId="0810EB3A">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厂区噪声</w:t>
                  </w:r>
                </w:p>
              </w:tc>
              <w:tc>
                <w:tcPr>
                  <w:tcW w:w="1878" w:type="pct"/>
                  <w:tcBorders>
                    <w:top w:val="single" w:color="auto" w:sz="4" w:space="0"/>
                    <w:left w:val="single" w:color="auto" w:sz="4" w:space="0"/>
                    <w:right w:val="single" w:color="auto" w:sz="4" w:space="0"/>
                  </w:tcBorders>
                  <w:vAlign w:val="center"/>
                </w:tcPr>
                <w:p w14:paraId="00772DDF">
                  <w:pPr>
                    <w:jc w:val="center"/>
                    <w:outlineLvl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本项目南侧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50米</w:t>
                  </w:r>
                </w:p>
              </w:tc>
            </w:tr>
          </w:tbl>
          <w:p w14:paraId="030E7C2D">
            <w:pPr>
              <w:pStyle w:val="5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项目所在区域执行《声环境质量标准》（GB3096-2008）中2类标准限值要求。</w:t>
            </w:r>
          </w:p>
          <w:p w14:paraId="7C9AF3F5">
            <w:pPr>
              <w:pStyle w:val="5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声环境质量现状监测结果见表3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5F24E78C">
            <w:pPr>
              <w:widowControl/>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表3</w:t>
            </w:r>
            <w:r>
              <w:rPr>
                <w:rFonts w:hint="eastAsia" w:ascii="Times New Roman" w:hAnsi="Times New Roman" w:eastAsia="宋体" w:cs="Times New Roman"/>
                <w:b/>
                <w:color w:val="000000" w:themeColor="text1"/>
                <w:sz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14:textFill>
                  <w14:solidFill>
                    <w14:schemeClr w14:val="tx1"/>
                  </w14:solidFill>
                </w14:textFill>
              </w:rPr>
              <w:t xml:space="preserve">  声环境质量监测及评价结果</w:t>
            </w:r>
          </w:p>
          <w:tbl>
            <w:tblPr>
              <w:tblStyle w:val="2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516"/>
              <w:gridCol w:w="1253"/>
              <w:gridCol w:w="1169"/>
              <w:gridCol w:w="1241"/>
              <w:gridCol w:w="1212"/>
              <w:gridCol w:w="1294"/>
              <w:gridCol w:w="1238"/>
            </w:tblGrid>
            <w:tr w14:paraId="7A6466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49" w:type="pct"/>
                  <w:vMerge w:val="restart"/>
                  <w:tcBorders>
                    <w:top w:val="single" w:color="auto" w:sz="2" w:space="0"/>
                    <w:left w:val="single" w:color="auto" w:sz="2" w:space="0"/>
                    <w:bottom w:val="single" w:color="auto" w:sz="2" w:space="0"/>
                    <w:right w:val="single" w:color="auto" w:sz="2" w:space="0"/>
                  </w:tcBorders>
                  <w:vAlign w:val="center"/>
                </w:tcPr>
                <w:p w14:paraId="2ADACA9D">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监测点位</w:t>
                  </w:r>
                </w:p>
              </w:tc>
              <w:tc>
                <w:tcPr>
                  <w:tcW w:w="1357" w:type="pct"/>
                  <w:gridSpan w:val="2"/>
                  <w:tcBorders>
                    <w:top w:val="single" w:color="auto" w:sz="2" w:space="0"/>
                    <w:left w:val="single" w:color="auto" w:sz="2" w:space="0"/>
                    <w:bottom w:val="single" w:color="auto" w:sz="2" w:space="0"/>
                    <w:right w:val="single" w:color="auto" w:sz="2" w:space="0"/>
                  </w:tcBorders>
                  <w:vAlign w:val="center"/>
                </w:tcPr>
                <w:p w14:paraId="74411929">
                  <w:pPr>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202</w:t>
                  </w: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7</w:t>
                  </w:r>
                </w:p>
              </w:tc>
              <w:tc>
                <w:tcPr>
                  <w:tcW w:w="1374" w:type="pct"/>
                  <w:gridSpan w:val="2"/>
                  <w:tcBorders>
                    <w:top w:val="single" w:color="auto" w:sz="2" w:space="0"/>
                    <w:left w:val="single" w:color="auto" w:sz="2" w:space="0"/>
                    <w:bottom w:val="single" w:color="auto" w:sz="2" w:space="0"/>
                    <w:right w:val="single" w:color="auto" w:sz="2" w:space="0"/>
                  </w:tcBorders>
                  <w:vAlign w:val="center"/>
                </w:tcPr>
                <w:p w14:paraId="5658E781">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评价标准</w:t>
                  </w:r>
                </w:p>
              </w:tc>
              <w:tc>
                <w:tcPr>
                  <w:tcW w:w="1418" w:type="pct"/>
                  <w:gridSpan w:val="2"/>
                  <w:tcBorders>
                    <w:top w:val="single" w:color="auto" w:sz="2" w:space="0"/>
                    <w:left w:val="single" w:color="auto" w:sz="2" w:space="0"/>
                    <w:bottom w:val="single" w:color="auto" w:sz="2" w:space="0"/>
                    <w:right w:val="single" w:color="auto" w:sz="2" w:space="0"/>
                  </w:tcBorders>
                  <w:vAlign w:val="center"/>
                </w:tcPr>
                <w:p w14:paraId="4E955C23">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评价结果</w:t>
                  </w:r>
                </w:p>
              </w:tc>
            </w:tr>
            <w:tr w14:paraId="65E4ED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0" w:hRule="atLeast"/>
                <w:jc w:val="center"/>
              </w:trPr>
              <w:tc>
                <w:tcPr>
                  <w:tcW w:w="849" w:type="pct"/>
                  <w:vMerge w:val="continue"/>
                  <w:tcBorders>
                    <w:top w:val="single" w:color="auto" w:sz="2" w:space="0"/>
                    <w:left w:val="single" w:color="auto" w:sz="2" w:space="0"/>
                    <w:bottom w:val="single" w:color="auto" w:sz="2" w:space="0"/>
                    <w:right w:val="single" w:color="auto" w:sz="2" w:space="0"/>
                  </w:tcBorders>
                  <w:vAlign w:val="center"/>
                </w:tcPr>
                <w:p w14:paraId="5B2583DF">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357" w:type="pct"/>
                  <w:gridSpan w:val="2"/>
                  <w:tcBorders>
                    <w:top w:val="single" w:color="auto" w:sz="2" w:space="0"/>
                    <w:left w:val="single" w:color="auto" w:sz="2" w:space="0"/>
                    <w:bottom w:val="single" w:color="auto" w:sz="2" w:space="0"/>
                    <w:right w:val="single" w:color="auto" w:sz="2" w:space="0"/>
                  </w:tcBorders>
                  <w:vAlign w:val="center"/>
                </w:tcPr>
                <w:p w14:paraId="421F36FF">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（单位：dB(A)）</w:t>
                  </w:r>
                </w:p>
              </w:tc>
              <w:tc>
                <w:tcPr>
                  <w:tcW w:w="1374" w:type="pct"/>
                  <w:gridSpan w:val="2"/>
                  <w:tcBorders>
                    <w:top w:val="single" w:color="auto" w:sz="2" w:space="0"/>
                    <w:left w:val="single" w:color="auto" w:sz="2" w:space="0"/>
                    <w:bottom w:val="single" w:color="auto" w:sz="2" w:space="0"/>
                    <w:right w:val="single" w:color="auto" w:sz="2" w:space="0"/>
                  </w:tcBorders>
                  <w:vAlign w:val="center"/>
                </w:tcPr>
                <w:p w14:paraId="470F82F1">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（单位：dB(A)）</w:t>
                  </w:r>
                </w:p>
              </w:tc>
              <w:tc>
                <w:tcPr>
                  <w:tcW w:w="1418" w:type="pct"/>
                  <w:gridSpan w:val="2"/>
                  <w:tcBorders>
                    <w:top w:val="single" w:color="auto" w:sz="2" w:space="0"/>
                    <w:left w:val="single" w:color="auto" w:sz="2" w:space="0"/>
                    <w:bottom w:val="single" w:color="auto" w:sz="2" w:space="0"/>
                    <w:right w:val="single" w:color="auto" w:sz="2" w:space="0"/>
                  </w:tcBorders>
                  <w:vAlign w:val="center"/>
                </w:tcPr>
                <w:p w14:paraId="23F85B3E">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（单位：dB(A)）</w:t>
                  </w:r>
                </w:p>
              </w:tc>
            </w:tr>
            <w:tr w14:paraId="032620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0" w:hRule="atLeast"/>
                <w:jc w:val="center"/>
              </w:trPr>
              <w:tc>
                <w:tcPr>
                  <w:tcW w:w="849" w:type="pct"/>
                  <w:vMerge w:val="continue"/>
                  <w:tcBorders>
                    <w:top w:val="single" w:color="auto" w:sz="2" w:space="0"/>
                    <w:left w:val="single" w:color="auto" w:sz="2" w:space="0"/>
                    <w:bottom w:val="single" w:color="auto" w:sz="2" w:space="0"/>
                    <w:right w:val="single" w:color="auto" w:sz="2" w:space="0"/>
                  </w:tcBorders>
                  <w:vAlign w:val="center"/>
                </w:tcPr>
                <w:p w14:paraId="4B11FF57">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702" w:type="pct"/>
                  <w:tcBorders>
                    <w:top w:val="single" w:color="auto" w:sz="2" w:space="0"/>
                    <w:left w:val="single" w:color="auto" w:sz="2" w:space="0"/>
                    <w:bottom w:val="single" w:color="auto" w:sz="2" w:space="0"/>
                    <w:right w:val="single" w:color="auto" w:sz="2" w:space="0"/>
                  </w:tcBorders>
                  <w:vAlign w:val="center"/>
                </w:tcPr>
                <w:p w14:paraId="1E2576D7">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55" w:type="pct"/>
                  <w:tcBorders>
                    <w:top w:val="single" w:color="auto" w:sz="2" w:space="0"/>
                    <w:left w:val="single" w:color="auto" w:sz="2" w:space="0"/>
                    <w:bottom w:val="single" w:color="auto" w:sz="2" w:space="0"/>
                    <w:right w:val="single" w:color="auto" w:sz="2" w:space="0"/>
                  </w:tcBorders>
                  <w:vAlign w:val="center"/>
                </w:tcPr>
                <w:p w14:paraId="16EC6D0D">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c>
                <w:tcPr>
                  <w:tcW w:w="695" w:type="pct"/>
                  <w:tcBorders>
                    <w:top w:val="single" w:color="auto" w:sz="2" w:space="0"/>
                    <w:left w:val="single" w:color="auto" w:sz="2" w:space="0"/>
                    <w:bottom w:val="single" w:color="auto" w:sz="2" w:space="0"/>
                    <w:right w:val="single" w:color="auto" w:sz="2" w:space="0"/>
                  </w:tcBorders>
                  <w:vAlign w:val="center"/>
                </w:tcPr>
                <w:p w14:paraId="151802FC">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79" w:type="pct"/>
                  <w:tcBorders>
                    <w:top w:val="single" w:color="auto" w:sz="2" w:space="0"/>
                    <w:left w:val="single" w:color="auto" w:sz="2" w:space="0"/>
                    <w:bottom w:val="single" w:color="auto" w:sz="2" w:space="0"/>
                    <w:right w:val="single" w:color="auto" w:sz="2" w:space="0"/>
                  </w:tcBorders>
                  <w:vAlign w:val="center"/>
                </w:tcPr>
                <w:p w14:paraId="63BF8544">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c>
                <w:tcPr>
                  <w:tcW w:w="725" w:type="pct"/>
                  <w:tcBorders>
                    <w:top w:val="single" w:color="auto" w:sz="2" w:space="0"/>
                    <w:left w:val="single" w:color="auto" w:sz="2" w:space="0"/>
                    <w:bottom w:val="single" w:color="auto" w:sz="2" w:space="0"/>
                    <w:right w:val="single" w:color="auto" w:sz="2" w:space="0"/>
                  </w:tcBorders>
                  <w:vAlign w:val="center"/>
                </w:tcPr>
                <w:p w14:paraId="1E0E2F88">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昼间</w:t>
                  </w:r>
                </w:p>
              </w:tc>
              <w:tc>
                <w:tcPr>
                  <w:tcW w:w="692" w:type="pct"/>
                  <w:tcBorders>
                    <w:top w:val="single" w:color="auto" w:sz="2" w:space="0"/>
                    <w:left w:val="single" w:color="auto" w:sz="2" w:space="0"/>
                    <w:bottom w:val="single" w:color="auto" w:sz="2" w:space="0"/>
                    <w:right w:val="single" w:color="auto" w:sz="2" w:space="0"/>
                  </w:tcBorders>
                  <w:vAlign w:val="center"/>
                </w:tcPr>
                <w:p w14:paraId="634B6F75">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夜间</w:t>
                  </w:r>
                </w:p>
              </w:tc>
            </w:tr>
            <w:tr w14:paraId="6AE26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849" w:type="pct"/>
                  <w:tcBorders>
                    <w:top w:val="single" w:color="auto" w:sz="2" w:space="0"/>
                    <w:left w:val="single" w:color="auto" w:sz="2" w:space="0"/>
                    <w:bottom w:val="single" w:color="auto" w:sz="2" w:space="0"/>
                    <w:right w:val="single" w:color="auto" w:sz="2" w:space="0"/>
                  </w:tcBorders>
                  <w:vAlign w:val="center"/>
                </w:tcPr>
                <w:p w14:paraId="61F84DE6">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N1</w:t>
                  </w:r>
                </w:p>
              </w:tc>
              <w:tc>
                <w:tcPr>
                  <w:tcW w:w="702" w:type="pct"/>
                  <w:tcBorders>
                    <w:top w:val="single" w:color="auto" w:sz="2" w:space="0"/>
                    <w:left w:val="single" w:color="auto" w:sz="2" w:space="0"/>
                    <w:bottom w:val="single" w:color="auto" w:sz="2" w:space="0"/>
                    <w:right w:val="single" w:color="auto" w:sz="2" w:space="0"/>
                  </w:tcBorders>
                  <w:vAlign w:val="center"/>
                </w:tcPr>
                <w:p w14:paraId="48E8A60A">
                  <w:pPr>
                    <w:pStyle w:val="5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55.2</w:t>
                  </w:r>
                </w:p>
              </w:tc>
              <w:tc>
                <w:tcPr>
                  <w:tcW w:w="655" w:type="pct"/>
                  <w:tcBorders>
                    <w:top w:val="single" w:color="auto" w:sz="2" w:space="0"/>
                    <w:left w:val="single" w:color="auto" w:sz="2" w:space="0"/>
                    <w:bottom w:val="single" w:color="auto" w:sz="2" w:space="0"/>
                    <w:right w:val="single" w:color="auto" w:sz="2" w:space="0"/>
                  </w:tcBorders>
                  <w:vAlign w:val="center"/>
                </w:tcPr>
                <w:p w14:paraId="7353B098">
                  <w:pPr>
                    <w:pStyle w:val="5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47.6</w:t>
                  </w:r>
                </w:p>
              </w:tc>
              <w:tc>
                <w:tcPr>
                  <w:tcW w:w="695" w:type="pct"/>
                  <w:tcBorders>
                    <w:top w:val="single" w:color="auto" w:sz="2" w:space="0"/>
                    <w:left w:val="single" w:color="auto" w:sz="2" w:space="0"/>
                    <w:bottom w:val="single" w:color="auto" w:sz="2" w:space="0"/>
                    <w:right w:val="single" w:color="auto" w:sz="2" w:space="0"/>
                  </w:tcBorders>
                  <w:vAlign w:val="center"/>
                </w:tcPr>
                <w:p w14:paraId="58D7C52E">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60</w:t>
                  </w:r>
                </w:p>
              </w:tc>
              <w:tc>
                <w:tcPr>
                  <w:tcW w:w="679" w:type="pct"/>
                  <w:tcBorders>
                    <w:top w:val="single" w:color="auto" w:sz="2" w:space="0"/>
                    <w:left w:val="single" w:color="auto" w:sz="2" w:space="0"/>
                    <w:bottom w:val="single" w:color="auto" w:sz="2" w:space="0"/>
                    <w:right w:val="single" w:color="auto" w:sz="2" w:space="0"/>
                  </w:tcBorders>
                  <w:vAlign w:val="center"/>
                </w:tcPr>
                <w:p w14:paraId="5EA546D5">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50</w:t>
                  </w:r>
                </w:p>
              </w:tc>
              <w:tc>
                <w:tcPr>
                  <w:tcW w:w="725" w:type="pct"/>
                  <w:tcBorders>
                    <w:top w:val="single" w:color="auto" w:sz="2" w:space="0"/>
                    <w:left w:val="single" w:color="auto" w:sz="2" w:space="0"/>
                    <w:bottom w:val="single" w:color="auto" w:sz="2" w:space="0"/>
                    <w:right w:val="single" w:color="auto" w:sz="2" w:space="0"/>
                  </w:tcBorders>
                  <w:vAlign w:val="center"/>
                </w:tcPr>
                <w:p w14:paraId="585FF04D">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w:t>
                  </w:r>
                </w:p>
              </w:tc>
              <w:tc>
                <w:tcPr>
                  <w:tcW w:w="692" w:type="pct"/>
                  <w:tcBorders>
                    <w:top w:val="single" w:color="auto" w:sz="2" w:space="0"/>
                    <w:left w:val="single" w:color="auto" w:sz="2" w:space="0"/>
                    <w:bottom w:val="single" w:color="auto" w:sz="2" w:space="0"/>
                    <w:right w:val="single" w:color="auto" w:sz="2" w:space="0"/>
                  </w:tcBorders>
                  <w:vAlign w:val="center"/>
                </w:tcPr>
                <w:p w14:paraId="2B3C4C1F">
                  <w:pPr>
                    <w:adjustRightInd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w:t>
                  </w:r>
                </w:p>
              </w:tc>
            </w:tr>
          </w:tbl>
          <w:p w14:paraId="67B0B6FC">
            <w:pPr>
              <w:widowControl/>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由表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可知，通过与评价标准比较，表明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三环小区</w:t>
            </w:r>
            <w:r>
              <w:rPr>
                <w:rFonts w:hint="default" w:ascii="Times New Roman" w:hAnsi="Times New Roman" w:eastAsia="宋体" w:cs="Times New Roman"/>
                <w:color w:val="000000" w:themeColor="text1"/>
                <w:sz w:val="24"/>
                <w:highlight w:val="none"/>
                <w14:textFill>
                  <w14:solidFill>
                    <w14:schemeClr w14:val="tx1"/>
                  </w14:solidFill>
                </w14:textFill>
              </w:rPr>
              <w:t>能够满足《声环境质量标准》（GB3096-2008）中2类标准限值要求。</w:t>
            </w:r>
          </w:p>
          <w:p w14:paraId="665A55F7">
            <w:pPr>
              <w:keepNext w:val="0"/>
              <w:keepLines w:val="0"/>
              <w:pageBreakBefore w:val="0"/>
              <w:widowControl w:val="0"/>
              <w:suppressAutoHyphen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color w:val="000000" w:themeColor="text1"/>
                <w:kern w:val="1"/>
                <w:sz w:val="24"/>
                <w:szCs w:val="24"/>
                <w14:textFill>
                  <w14:solidFill>
                    <w14:schemeClr w14:val="tx1"/>
                  </w14:solidFill>
                </w14:textFill>
              </w:rPr>
            </w:pPr>
            <w:r>
              <w:rPr>
                <w:rFonts w:hint="default" w:ascii="Times New Roman" w:hAnsi="Times New Roman" w:eastAsia="宋体" w:cs="Times New Roman"/>
                <w:b/>
                <w:bCs/>
                <w:color w:val="000000" w:themeColor="text1"/>
                <w:kern w:val="1"/>
                <w:sz w:val="24"/>
                <w:szCs w:val="24"/>
                <w14:textFill>
                  <w14:solidFill>
                    <w14:schemeClr w14:val="tx1"/>
                  </w14:solidFill>
                </w14:textFill>
              </w:rPr>
              <w:t>4、地下水、土壤环境质量现状</w:t>
            </w:r>
          </w:p>
          <w:p w14:paraId="32A0D19A">
            <w:pPr>
              <w:keepNext w:val="0"/>
              <w:keepLines w:val="0"/>
              <w:pageBreakBefore w:val="0"/>
              <w:widowControl w:val="0"/>
              <w:suppressAutoHyphen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1"/>
                <w:sz w:val="24"/>
                <w:szCs w:val="24"/>
                <w14:textFill>
                  <w14:solidFill>
                    <w14:schemeClr w14:val="tx1"/>
                  </w14:solidFill>
                </w14:textFill>
              </w:rPr>
            </w:pPr>
            <w:r>
              <w:rPr>
                <w:rFonts w:hint="default" w:ascii="Times New Roman" w:hAnsi="Times New Roman" w:eastAsia="宋体" w:cs="Times New Roman"/>
                <w:color w:val="000000" w:themeColor="text1"/>
                <w:kern w:val="1"/>
                <w:sz w:val="24"/>
                <w:szCs w:val="24"/>
                <w14:textFill>
                  <w14:solidFill>
                    <w14:schemeClr w14:val="tx1"/>
                  </w14:solidFill>
                </w14:textFill>
              </w:rPr>
              <w:t>本项目为</w:t>
            </w:r>
            <w:r>
              <w:rPr>
                <w:rFonts w:hint="default" w:ascii="Times New Roman" w:hAnsi="Times New Roman" w:eastAsia="宋体" w:cs="Times New Roman"/>
                <w:color w:val="000000" w:themeColor="text1"/>
                <w:kern w:val="1"/>
                <w:sz w:val="24"/>
                <w:szCs w:val="24"/>
                <w:lang w:val="en-US" w:eastAsia="zh-CN"/>
                <w14:textFill>
                  <w14:solidFill>
                    <w14:schemeClr w14:val="tx1"/>
                  </w14:solidFill>
                </w14:textFill>
              </w:rPr>
              <w:t>金属结构制造</w:t>
            </w:r>
            <w:r>
              <w:rPr>
                <w:rFonts w:hint="default" w:ascii="Times New Roman" w:hAnsi="Times New Roman" w:eastAsia="宋体" w:cs="Times New Roman"/>
                <w:color w:val="000000" w:themeColor="text1"/>
                <w:kern w:val="1"/>
                <w:sz w:val="24"/>
                <w:szCs w:val="24"/>
                <w14:textFill>
                  <w14:solidFill>
                    <w14:schemeClr w14:val="tx1"/>
                  </w14:solidFill>
                </w14:textFill>
              </w:rPr>
              <w:t>，厂区经分区防渗后，项目对地下水及土壤环境产生影响较小，可不开展地下水、土壤环境现状调查。</w:t>
            </w:r>
          </w:p>
        </w:tc>
      </w:tr>
      <w:tr w14:paraId="585DD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14" w:type="dxa"/>
            <w:vAlign w:val="center"/>
          </w:tcPr>
          <w:p w14:paraId="358707BC">
            <w:pPr>
              <w:adjustRightInd w:val="0"/>
              <w:snapToGrid w:val="0"/>
              <w:spacing w:line="360" w:lineRule="auto"/>
              <w:jc w:val="center"/>
              <w:rPr>
                <w:rFonts w:hint="default" w:ascii="Times New Roman" w:hAnsi="Times New Roman" w:eastAsia="宋体" w:cs="Times New Roman"/>
                <w:color w:val="FF0000"/>
                <w:kern w:val="0"/>
                <w:highlight w:val="yellow"/>
              </w:rPr>
            </w:pPr>
            <w:r>
              <w:rPr>
                <w:rFonts w:hint="default" w:ascii="Times New Roman" w:hAnsi="Times New Roman" w:eastAsia="宋体" w:cs="Times New Roman"/>
                <w:color w:val="000000" w:themeColor="text1"/>
                <w:kern w:val="0"/>
                <w:sz w:val="24"/>
                <w:szCs w:val="24"/>
                <w14:textFill>
                  <w14:solidFill>
                    <w14:schemeClr w14:val="tx1"/>
                  </w14:solidFill>
                </w14:textFill>
              </w:rPr>
              <w:t>环境保护目标</w:t>
            </w:r>
          </w:p>
        </w:tc>
        <w:tc>
          <w:tcPr>
            <w:tcW w:w="9148" w:type="dxa"/>
          </w:tcPr>
          <w:p w14:paraId="184097F5">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主要环境保护目标</w:t>
            </w:r>
          </w:p>
          <w:p w14:paraId="0112519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yellow"/>
              </w:rPr>
            </w:pPr>
            <w:r>
              <w:rPr>
                <w:rFonts w:hint="default" w:ascii="Times New Roman" w:hAnsi="Times New Roman" w:eastAsia="宋体" w:cs="Times New Roman"/>
                <w:color w:val="auto"/>
                <w:kern w:val="0"/>
                <w:sz w:val="24"/>
                <w:szCs w:val="24"/>
              </w:rPr>
              <w:t>本项目位于</w:t>
            </w:r>
            <w:r>
              <w:rPr>
                <w:rFonts w:hint="default" w:ascii="Times New Roman" w:hAnsi="Times New Roman" w:eastAsia="宋体" w:cs="Times New Roman"/>
                <w:color w:val="auto"/>
                <w:sz w:val="24"/>
                <w:lang w:eastAsia="zh-CN"/>
              </w:rPr>
              <w:t>安徽省宿州市宿州徐州现代产业园区埇桥园G206国道与雁山路交叉口（金鸽面粉厂院内）</w:t>
            </w:r>
            <w:r>
              <w:rPr>
                <w:rFonts w:hint="default" w:ascii="Times New Roman" w:hAnsi="Times New Roman" w:eastAsia="宋体" w:cs="Times New Roman"/>
                <w:color w:val="auto"/>
                <w:kern w:val="0"/>
                <w:sz w:val="24"/>
                <w:szCs w:val="24"/>
              </w:rPr>
              <w:t>，根据现场勘查，评价范围内无自然保护区、风景旅游点和文物古迹等需要特殊保护的环境敏感对象；总体上不因本项目的实施而改变区域环境现有功能，具体环境保护目标如下：</w:t>
            </w:r>
          </w:p>
          <w:p w14:paraId="36D1FC68">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rPr>
              <w:t>大气环境</w:t>
            </w:r>
          </w:p>
          <w:p w14:paraId="7B1E1AFC">
            <w:pPr>
              <w:kinsoku/>
              <w:topLinePunct/>
              <w:adjustRightInd/>
              <w:snapToGrid/>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表3-</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eastAsia="zh-CN"/>
              </w:rPr>
              <w:t xml:space="preserve"> 大气环境保护目标一览表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657"/>
              <w:gridCol w:w="721"/>
              <w:gridCol w:w="884"/>
              <w:gridCol w:w="1378"/>
              <w:gridCol w:w="2331"/>
              <w:gridCol w:w="918"/>
              <w:gridCol w:w="1098"/>
            </w:tblGrid>
            <w:tr w14:paraId="6F4B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Merge w:val="restart"/>
                  <w:vAlign w:val="center"/>
                </w:tcPr>
                <w:p w14:paraId="4CFE20D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名称</w:t>
                  </w:r>
                </w:p>
              </w:tc>
              <w:tc>
                <w:tcPr>
                  <w:tcW w:w="1378" w:type="dxa"/>
                  <w:gridSpan w:val="2"/>
                  <w:vAlign w:val="center"/>
                </w:tcPr>
                <w:p w14:paraId="4C3EDC8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坐标/m</w:t>
                  </w:r>
                </w:p>
              </w:tc>
              <w:tc>
                <w:tcPr>
                  <w:tcW w:w="884" w:type="dxa"/>
                  <w:vMerge w:val="restart"/>
                  <w:vAlign w:val="center"/>
                </w:tcPr>
                <w:p w14:paraId="229E192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保护对象</w:t>
                  </w:r>
                </w:p>
              </w:tc>
              <w:tc>
                <w:tcPr>
                  <w:tcW w:w="1378" w:type="dxa"/>
                  <w:vMerge w:val="restart"/>
                  <w:vAlign w:val="center"/>
                </w:tcPr>
                <w:p w14:paraId="2636DFC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保护内容</w:t>
                  </w:r>
                </w:p>
              </w:tc>
              <w:tc>
                <w:tcPr>
                  <w:tcW w:w="2331" w:type="dxa"/>
                  <w:vMerge w:val="restart"/>
                  <w:vAlign w:val="center"/>
                </w:tcPr>
                <w:p w14:paraId="2233B88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环境要求及保护级别</w:t>
                  </w:r>
                </w:p>
              </w:tc>
              <w:tc>
                <w:tcPr>
                  <w:tcW w:w="918" w:type="dxa"/>
                  <w:vMerge w:val="restart"/>
                  <w:vAlign w:val="center"/>
                </w:tcPr>
                <w:p w14:paraId="3539CCD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相对厂址方位</w:t>
                  </w:r>
                </w:p>
              </w:tc>
              <w:tc>
                <w:tcPr>
                  <w:tcW w:w="1098" w:type="dxa"/>
                  <w:vMerge w:val="restart"/>
                  <w:vAlign w:val="center"/>
                </w:tcPr>
                <w:p w14:paraId="0574DCE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相对场界距离/m</w:t>
                  </w:r>
                </w:p>
              </w:tc>
            </w:tr>
            <w:tr w14:paraId="4847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Merge w:val="continue"/>
                  <w:vAlign w:val="center"/>
                </w:tcPr>
                <w:p w14:paraId="39C6209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57" w:type="dxa"/>
                  <w:vAlign w:val="center"/>
                </w:tcPr>
                <w:p w14:paraId="00DCBAC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x</w:t>
                  </w:r>
                </w:p>
              </w:tc>
              <w:tc>
                <w:tcPr>
                  <w:tcW w:w="721" w:type="dxa"/>
                  <w:vAlign w:val="center"/>
                </w:tcPr>
                <w:p w14:paraId="2EF695E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y</w:t>
                  </w:r>
                </w:p>
              </w:tc>
              <w:tc>
                <w:tcPr>
                  <w:tcW w:w="884" w:type="dxa"/>
                  <w:vMerge w:val="continue"/>
                  <w:vAlign w:val="center"/>
                </w:tcPr>
                <w:p w14:paraId="44E0789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378" w:type="dxa"/>
                  <w:vMerge w:val="continue"/>
                  <w:vAlign w:val="center"/>
                </w:tcPr>
                <w:p w14:paraId="727ED90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331" w:type="dxa"/>
                  <w:vMerge w:val="continue"/>
                  <w:vAlign w:val="center"/>
                </w:tcPr>
                <w:p w14:paraId="07591BD2">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918" w:type="dxa"/>
                  <w:vMerge w:val="continue"/>
                  <w:vAlign w:val="center"/>
                </w:tcPr>
                <w:p w14:paraId="008CE9F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98" w:type="dxa"/>
                  <w:vMerge w:val="continue"/>
                  <w:vAlign w:val="center"/>
                </w:tcPr>
                <w:p w14:paraId="38F91FD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14:paraId="7CB9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Align w:val="center"/>
                </w:tcPr>
                <w:p w14:paraId="799D1F7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三环</w:t>
                  </w:r>
                  <w:r>
                    <w:rPr>
                      <w:rFonts w:hint="eastAsia" w:ascii="Times New Roman" w:hAnsi="Times New Roman" w:eastAsia="宋体" w:cs="Times New Roman"/>
                      <w:color w:val="auto"/>
                      <w:kern w:val="0"/>
                      <w:sz w:val="21"/>
                      <w:szCs w:val="21"/>
                      <w:highlight w:val="none"/>
                      <w:lang w:val="en-US" w:eastAsia="zh-CN"/>
                    </w:rPr>
                    <w:t>小区</w:t>
                  </w:r>
                </w:p>
              </w:tc>
              <w:tc>
                <w:tcPr>
                  <w:tcW w:w="657" w:type="dxa"/>
                  <w:vAlign w:val="center"/>
                </w:tcPr>
                <w:p w14:paraId="1BCD3E46">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56</w:t>
                  </w:r>
                </w:p>
              </w:tc>
              <w:tc>
                <w:tcPr>
                  <w:tcW w:w="721" w:type="dxa"/>
                  <w:vAlign w:val="center"/>
                </w:tcPr>
                <w:p w14:paraId="2BDACAB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70</w:t>
                  </w:r>
                </w:p>
              </w:tc>
              <w:tc>
                <w:tcPr>
                  <w:tcW w:w="884" w:type="dxa"/>
                  <w:vAlign w:val="center"/>
                </w:tcPr>
                <w:p w14:paraId="039E91D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居民点</w:t>
                  </w:r>
                </w:p>
              </w:tc>
              <w:tc>
                <w:tcPr>
                  <w:tcW w:w="1378" w:type="dxa"/>
                  <w:vAlign w:val="center"/>
                </w:tcPr>
                <w:p w14:paraId="754CA42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200</w:t>
                  </w:r>
                  <w:r>
                    <w:rPr>
                      <w:rFonts w:hint="default" w:ascii="Times New Roman" w:hAnsi="Times New Roman" w:eastAsia="宋体" w:cs="Times New Roman"/>
                      <w:color w:val="auto"/>
                      <w:kern w:val="0"/>
                      <w:sz w:val="21"/>
                      <w:szCs w:val="21"/>
                      <w:highlight w:val="none"/>
                    </w:rPr>
                    <w:t>户/</w:t>
                  </w:r>
                  <w:r>
                    <w:rPr>
                      <w:rFonts w:hint="eastAsia"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lang w:val="en-US" w:eastAsia="zh-CN"/>
                    </w:rPr>
                    <w:t>00</w:t>
                  </w:r>
                  <w:r>
                    <w:rPr>
                      <w:rFonts w:hint="default" w:ascii="Times New Roman" w:hAnsi="Times New Roman" w:eastAsia="宋体" w:cs="Times New Roman"/>
                      <w:color w:val="auto"/>
                      <w:kern w:val="0"/>
                      <w:sz w:val="21"/>
                      <w:szCs w:val="21"/>
                      <w:highlight w:val="none"/>
                    </w:rPr>
                    <w:t>人</w:t>
                  </w:r>
                </w:p>
              </w:tc>
              <w:tc>
                <w:tcPr>
                  <w:tcW w:w="2331" w:type="dxa"/>
                  <w:vMerge w:val="restart"/>
                  <w:vAlign w:val="center"/>
                </w:tcPr>
                <w:p w14:paraId="1842C3A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《环境空气质量标准》（GB3095-2012）及其修改单中的二级标准</w:t>
                  </w:r>
                </w:p>
              </w:tc>
              <w:tc>
                <w:tcPr>
                  <w:tcW w:w="918" w:type="dxa"/>
                  <w:vAlign w:val="center"/>
                </w:tcPr>
                <w:p w14:paraId="5459138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南</w:t>
                  </w:r>
                </w:p>
              </w:tc>
              <w:tc>
                <w:tcPr>
                  <w:tcW w:w="1098" w:type="dxa"/>
                  <w:vAlign w:val="center"/>
                </w:tcPr>
                <w:p w14:paraId="784EA91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r>
                    <w:rPr>
                      <w:rFonts w:hint="eastAsia" w:ascii="Times New Roman" w:hAnsi="Times New Roman" w:eastAsia="宋体" w:cs="Times New Roman"/>
                      <w:color w:val="auto"/>
                      <w:kern w:val="0"/>
                      <w:sz w:val="21"/>
                      <w:szCs w:val="21"/>
                      <w:highlight w:val="none"/>
                      <w:lang w:val="en-US" w:eastAsia="zh-CN"/>
                    </w:rPr>
                    <w:t>（东南厂界）</w:t>
                  </w:r>
                </w:p>
              </w:tc>
            </w:tr>
            <w:tr w14:paraId="1B6F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Align w:val="center"/>
                </w:tcPr>
                <w:p w14:paraId="12DE1AB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三环</w:t>
                  </w:r>
                  <w:r>
                    <w:rPr>
                      <w:rFonts w:hint="eastAsia" w:ascii="Times New Roman" w:hAnsi="Times New Roman" w:eastAsia="宋体" w:cs="Times New Roman"/>
                      <w:color w:val="auto"/>
                      <w:kern w:val="0"/>
                      <w:sz w:val="21"/>
                      <w:szCs w:val="21"/>
                      <w:highlight w:val="none"/>
                      <w:lang w:val="en-US" w:eastAsia="zh-CN"/>
                    </w:rPr>
                    <w:t>村</w:t>
                  </w:r>
                </w:p>
              </w:tc>
              <w:tc>
                <w:tcPr>
                  <w:tcW w:w="657" w:type="dxa"/>
                  <w:vAlign w:val="center"/>
                </w:tcPr>
                <w:p w14:paraId="096CFBEC">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p>
              </w:tc>
              <w:tc>
                <w:tcPr>
                  <w:tcW w:w="721" w:type="dxa"/>
                  <w:vAlign w:val="center"/>
                </w:tcPr>
                <w:p w14:paraId="3BD4283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r>
                    <w:rPr>
                      <w:rFonts w:hint="eastAsia" w:ascii="Times New Roman" w:hAnsi="Times New Roman" w:eastAsia="宋体" w:cs="Times New Roman"/>
                      <w:color w:val="auto"/>
                      <w:kern w:val="0"/>
                      <w:sz w:val="21"/>
                      <w:szCs w:val="21"/>
                      <w:highlight w:val="none"/>
                      <w:lang w:val="en-US" w:eastAsia="zh-CN"/>
                    </w:rPr>
                    <w:t>45</w:t>
                  </w:r>
                </w:p>
              </w:tc>
              <w:tc>
                <w:tcPr>
                  <w:tcW w:w="884" w:type="dxa"/>
                  <w:shd w:val="clear" w:color="auto" w:fill="auto"/>
                  <w:vAlign w:val="center"/>
                </w:tcPr>
                <w:p w14:paraId="229AFB3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居民点</w:t>
                  </w:r>
                </w:p>
              </w:tc>
              <w:tc>
                <w:tcPr>
                  <w:tcW w:w="1378" w:type="dxa"/>
                  <w:shd w:val="clear" w:color="auto" w:fill="auto"/>
                  <w:vAlign w:val="center"/>
                </w:tcPr>
                <w:p w14:paraId="73F714E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150</w:t>
                  </w:r>
                  <w:r>
                    <w:rPr>
                      <w:rFonts w:hint="default" w:ascii="Times New Roman" w:hAnsi="Times New Roman" w:eastAsia="宋体" w:cs="Times New Roman"/>
                      <w:color w:val="auto"/>
                      <w:kern w:val="0"/>
                      <w:sz w:val="21"/>
                      <w:szCs w:val="21"/>
                      <w:highlight w:val="none"/>
                    </w:rPr>
                    <w:t>户/</w:t>
                  </w:r>
                  <w:r>
                    <w:rPr>
                      <w:rFonts w:hint="eastAsia"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lang w:val="en-US" w:eastAsia="zh-CN"/>
                    </w:rPr>
                    <w:t>00</w:t>
                  </w:r>
                  <w:r>
                    <w:rPr>
                      <w:rFonts w:hint="default" w:ascii="Times New Roman" w:hAnsi="Times New Roman" w:eastAsia="宋体" w:cs="Times New Roman"/>
                      <w:color w:val="auto"/>
                      <w:kern w:val="0"/>
                      <w:sz w:val="21"/>
                      <w:szCs w:val="21"/>
                      <w:highlight w:val="none"/>
                    </w:rPr>
                    <w:t>人</w:t>
                  </w:r>
                </w:p>
              </w:tc>
              <w:tc>
                <w:tcPr>
                  <w:tcW w:w="2331" w:type="dxa"/>
                  <w:vMerge w:val="continue"/>
                  <w:vAlign w:val="center"/>
                </w:tcPr>
                <w:p w14:paraId="7580300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918" w:type="dxa"/>
                  <w:shd w:val="clear" w:color="auto" w:fill="auto"/>
                  <w:vAlign w:val="center"/>
                </w:tcPr>
                <w:p w14:paraId="0BFC649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w:t>
                  </w:r>
                </w:p>
              </w:tc>
              <w:tc>
                <w:tcPr>
                  <w:tcW w:w="1098" w:type="dxa"/>
                  <w:shd w:val="clear" w:color="auto" w:fill="auto"/>
                  <w:vAlign w:val="center"/>
                </w:tcPr>
                <w:p w14:paraId="53C663B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330</w:t>
                  </w:r>
                  <w:r>
                    <w:rPr>
                      <w:rFonts w:hint="eastAsia" w:ascii="Times New Roman" w:hAnsi="Times New Roman" w:eastAsia="宋体" w:cs="Times New Roman"/>
                      <w:color w:val="auto"/>
                      <w:kern w:val="0"/>
                      <w:sz w:val="21"/>
                      <w:szCs w:val="21"/>
                      <w:highlight w:val="none"/>
                      <w:lang w:val="en-US" w:eastAsia="zh-CN"/>
                    </w:rPr>
                    <w:t>（南厂界）</w:t>
                  </w:r>
                </w:p>
              </w:tc>
            </w:tr>
            <w:tr w14:paraId="01C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Align w:val="center"/>
                </w:tcPr>
                <w:p w14:paraId="30EAB7DB">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淮海医院</w:t>
                  </w:r>
                </w:p>
              </w:tc>
              <w:tc>
                <w:tcPr>
                  <w:tcW w:w="657" w:type="dxa"/>
                  <w:vAlign w:val="center"/>
                </w:tcPr>
                <w:p w14:paraId="483D5EE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-270</w:t>
                  </w:r>
                </w:p>
              </w:tc>
              <w:tc>
                <w:tcPr>
                  <w:tcW w:w="721" w:type="dxa"/>
                  <w:vAlign w:val="center"/>
                </w:tcPr>
                <w:p w14:paraId="39A3EEF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-253</w:t>
                  </w:r>
                </w:p>
              </w:tc>
              <w:tc>
                <w:tcPr>
                  <w:tcW w:w="884" w:type="dxa"/>
                  <w:vAlign w:val="center"/>
                </w:tcPr>
                <w:p w14:paraId="73D509C2">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医院</w:t>
                  </w:r>
                </w:p>
              </w:tc>
              <w:tc>
                <w:tcPr>
                  <w:tcW w:w="1378" w:type="dxa"/>
                  <w:vAlign w:val="center"/>
                </w:tcPr>
                <w:p w14:paraId="08D6D69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80人</w:t>
                  </w:r>
                </w:p>
              </w:tc>
              <w:tc>
                <w:tcPr>
                  <w:tcW w:w="2331" w:type="dxa"/>
                  <w:vMerge w:val="continue"/>
                  <w:vAlign w:val="center"/>
                </w:tcPr>
                <w:p w14:paraId="3387845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918" w:type="dxa"/>
                  <w:vAlign w:val="center"/>
                </w:tcPr>
                <w:p w14:paraId="347BBBC5">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西南</w:t>
                  </w:r>
                </w:p>
              </w:tc>
              <w:tc>
                <w:tcPr>
                  <w:tcW w:w="1098" w:type="dxa"/>
                  <w:vAlign w:val="center"/>
                </w:tcPr>
                <w:p w14:paraId="761F2648">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320（西南厂界）</w:t>
                  </w:r>
                </w:p>
              </w:tc>
            </w:tr>
            <w:tr w14:paraId="5B63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22" w:type="dxa"/>
                  <w:gridSpan w:val="8"/>
                  <w:vAlign w:val="center"/>
                </w:tcPr>
                <w:p w14:paraId="757D1A35">
                  <w:pPr>
                    <w:kinsoku/>
                    <w:topLinePunct/>
                    <w:spacing w:line="240" w:lineRule="auto"/>
                    <w:ind w:left="0" w:leftChars="0"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eastAsia="zh-CN"/>
                    </w:rPr>
                    <w:t>注：以企业所在区域对角线交点为坐标原点，以东西方向为X坐标轴（东方向为正方向），以南北方向为Y坐标轴（北方向为正方向）。</w:t>
                  </w:r>
                </w:p>
              </w:tc>
            </w:tr>
          </w:tbl>
          <w:p w14:paraId="407C7B51">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水环境</w:t>
            </w:r>
          </w:p>
          <w:p w14:paraId="02939B1C">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本项目周边水环境保护目标为淝河；淝河水质执行</w:t>
            </w:r>
            <w:r>
              <w:rPr>
                <w:rFonts w:hint="default" w:ascii="Times New Roman" w:hAnsi="Times New Roman" w:eastAsia="宋体" w:cs="Times New Roman"/>
                <w:bCs/>
                <w:color w:val="auto"/>
                <w:sz w:val="24"/>
                <w:szCs w:val="24"/>
              </w:rPr>
              <w:t>《地表水环境质量标准》（GB3838-2002）</w:t>
            </w:r>
            <w:r>
              <w:rPr>
                <w:rFonts w:hint="default" w:ascii="Times New Roman" w:hAnsi="Times New Roman" w:eastAsia="宋体" w:cs="Times New Roman"/>
                <w:color w:val="auto"/>
                <w:sz w:val="24"/>
                <w:szCs w:val="24"/>
              </w:rPr>
              <w:t>Ⅳ</w:t>
            </w:r>
            <w:r>
              <w:rPr>
                <w:rFonts w:hint="default" w:ascii="Times New Roman" w:hAnsi="Times New Roman" w:eastAsia="宋体" w:cs="Times New Roman"/>
                <w:bCs/>
                <w:color w:val="auto"/>
                <w:sz w:val="24"/>
                <w:szCs w:val="24"/>
              </w:rPr>
              <w:t>类标准。</w:t>
            </w:r>
          </w:p>
          <w:p w14:paraId="73B23BFD">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highlight w:val="none"/>
              </w:rPr>
              <w:t>声环境</w:t>
            </w:r>
          </w:p>
          <w:p w14:paraId="0A98225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项目</w:t>
            </w:r>
            <w:r>
              <w:rPr>
                <w:rFonts w:hint="default" w:ascii="Times New Roman" w:hAnsi="Times New Roman" w:eastAsia="宋体" w:cs="Times New Roman"/>
                <w:b/>
                <w:bCs/>
                <w:color w:val="auto"/>
                <w:sz w:val="24"/>
                <w:szCs w:val="24"/>
                <w:highlight w:val="none"/>
                <w:lang w:val="en-US" w:eastAsia="zh-CN"/>
              </w:rPr>
              <w:t>声环境</w:t>
            </w:r>
            <w:r>
              <w:rPr>
                <w:rFonts w:hint="default" w:ascii="Times New Roman" w:hAnsi="Times New Roman" w:eastAsia="宋体" w:cs="Times New Roman"/>
                <w:b/>
                <w:bCs/>
                <w:color w:val="auto"/>
                <w:sz w:val="24"/>
                <w:szCs w:val="24"/>
                <w:highlight w:val="none"/>
              </w:rPr>
              <w:t>保护目标一览表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773"/>
              <w:gridCol w:w="569"/>
              <w:gridCol w:w="569"/>
              <w:gridCol w:w="694"/>
              <w:gridCol w:w="908"/>
              <w:gridCol w:w="3076"/>
              <w:gridCol w:w="853"/>
              <w:gridCol w:w="945"/>
            </w:tblGrid>
            <w:tr w14:paraId="6EE7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dxa"/>
                  <w:vMerge w:val="restart"/>
                  <w:tcBorders>
                    <w:tl2br w:val="nil"/>
                    <w:tr2bl w:val="nil"/>
                  </w:tcBorders>
                  <w:noWrap w:val="0"/>
                  <w:vAlign w:val="center"/>
                </w:tcPr>
                <w:p w14:paraId="422D0004">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22" w:type="dxa"/>
                  <w:vMerge w:val="restart"/>
                  <w:tcBorders>
                    <w:tl2br w:val="nil"/>
                    <w:tr2bl w:val="nil"/>
                  </w:tcBorders>
                  <w:noWrap w:val="0"/>
                  <w:vAlign w:val="center"/>
                </w:tcPr>
                <w:p w14:paraId="691C0664">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062" w:type="dxa"/>
                  <w:gridSpan w:val="2"/>
                  <w:tcBorders>
                    <w:tl2br w:val="nil"/>
                    <w:tr2bl w:val="nil"/>
                  </w:tcBorders>
                  <w:noWrap w:val="0"/>
                  <w:vAlign w:val="center"/>
                </w:tcPr>
                <w:p w14:paraId="73913DBC">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坐标/m</w:t>
                  </w:r>
                </w:p>
              </w:tc>
              <w:tc>
                <w:tcPr>
                  <w:tcW w:w="648" w:type="dxa"/>
                  <w:vMerge w:val="restart"/>
                  <w:tcBorders>
                    <w:tl2br w:val="nil"/>
                    <w:tr2bl w:val="nil"/>
                  </w:tcBorders>
                  <w:noWrap w:val="0"/>
                  <w:vAlign w:val="center"/>
                </w:tcPr>
                <w:p w14:paraId="17642D7E">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848" w:type="dxa"/>
                  <w:vMerge w:val="restart"/>
                  <w:tcBorders>
                    <w:tl2br w:val="nil"/>
                    <w:tr2bl w:val="nil"/>
                  </w:tcBorders>
                  <w:noWrap w:val="0"/>
                  <w:vAlign w:val="center"/>
                </w:tcPr>
                <w:p w14:paraId="53185A7C">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保护内容</w:t>
                  </w:r>
                </w:p>
              </w:tc>
              <w:tc>
                <w:tcPr>
                  <w:tcW w:w="2872" w:type="dxa"/>
                  <w:vMerge w:val="restart"/>
                  <w:tcBorders>
                    <w:tl2br w:val="nil"/>
                    <w:tr2bl w:val="nil"/>
                  </w:tcBorders>
                  <w:noWrap w:val="0"/>
                  <w:vAlign w:val="center"/>
                </w:tcPr>
                <w:p w14:paraId="2D170B73">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796" w:type="dxa"/>
                  <w:vMerge w:val="restart"/>
                  <w:tcBorders>
                    <w:tl2br w:val="nil"/>
                    <w:tr2bl w:val="nil"/>
                  </w:tcBorders>
                  <w:noWrap w:val="0"/>
                  <w:vAlign w:val="center"/>
                </w:tcPr>
                <w:p w14:paraId="69539154">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882" w:type="dxa"/>
                  <w:vMerge w:val="restart"/>
                  <w:tcBorders>
                    <w:tl2br w:val="nil"/>
                    <w:tr2bl w:val="nil"/>
                  </w:tcBorders>
                  <w:noWrap w:val="0"/>
                  <w:vAlign w:val="center"/>
                </w:tcPr>
                <w:p w14:paraId="0AFD4F7C">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相对厂界距离/m</w:t>
                  </w:r>
                </w:p>
              </w:tc>
            </w:tr>
            <w:tr w14:paraId="6650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dxa"/>
                  <w:vMerge w:val="continue"/>
                  <w:tcBorders>
                    <w:tl2br w:val="nil"/>
                    <w:tr2bl w:val="nil"/>
                  </w:tcBorders>
                  <w:noWrap w:val="0"/>
                  <w:vAlign w:val="center"/>
                </w:tcPr>
                <w:p w14:paraId="3BF67442">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22" w:type="dxa"/>
                  <w:vMerge w:val="continue"/>
                  <w:tcBorders>
                    <w:tl2br w:val="nil"/>
                    <w:tr2bl w:val="nil"/>
                  </w:tcBorders>
                  <w:noWrap w:val="0"/>
                  <w:vAlign w:val="center"/>
                </w:tcPr>
                <w:p w14:paraId="7CDF1C08">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31" w:type="dxa"/>
                  <w:tcBorders>
                    <w:tl2br w:val="nil"/>
                    <w:tr2bl w:val="nil"/>
                  </w:tcBorders>
                  <w:noWrap w:val="0"/>
                  <w:vAlign w:val="center"/>
                </w:tcPr>
                <w:p w14:paraId="1B5EED11">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31" w:type="dxa"/>
                  <w:tcBorders>
                    <w:tl2br w:val="nil"/>
                    <w:tr2bl w:val="nil"/>
                  </w:tcBorders>
                  <w:noWrap w:val="0"/>
                  <w:vAlign w:val="center"/>
                </w:tcPr>
                <w:p w14:paraId="4FB909E0">
                  <w:pPr>
                    <w:pStyle w:val="33"/>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648" w:type="dxa"/>
                  <w:vMerge w:val="continue"/>
                  <w:tcBorders>
                    <w:tl2br w:val="nil"/>
                    <w:tr2bl w:val="nil"/>
                  </w:tcBorders>
                  <w:noWrap w:val="0"/>
                  <w:vAlign w:val="center"/>
                </w:tcPr>
                <w:p w14:paraId="1775620C">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48" w:type="dxa"/>
                  <w:vMerge w:val="continue"/>
                  <w:tcBorders>
                    <w:tl2br w:val="nil"/>
                    <w:tr2bl w:val="nil"/>
                  </w:tcBorders>
                  <w:noWrap w:val="0"/>
                  <w:vAlign w:val="center"/>
                </w:tcPr>
                <w:p w14:paraId="6FB57B47">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72" w:type="dxa"/>
                  <w:vMerge w:val="continue"/>
                  <w:tcBorders>
                    <w:tl2br w:val="nil"/>
                    <w:tr2bl w:val="nil"/>
                  </w:tcBorders>
                  <w:noWrap w:val="0"/>
                  <w:vAlign w:val="center"/>
                </w:tcPr>
                <w:p w14:paraId="41796E61">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96" w:type="dxa"/>
                  <w:vMerge w:val="continue"/>
                  <w:tcBorders>
                    <w:tl2br w:val="nil"/>
                    <w:tr2bl w:val="nil"/>
                  </w:tcBorders>
                  <w:noWrap w:val="0"/>
                  <w:vAlign w:val="center"/>
                </w:tcPr>
                <w:p w14:paraId="3FD03681">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82" w:type="dxa"/>
                  <w:vMerge w:val="continue"/>
                  <w:tcBorders>
                    <w:tl2br w:val="nil"/>
                    <w:tr2bl w:val="nil"/>
                  </w:tcBorders>
                  <w:noWrap w:val="0"/>
                  <w:vAlign w:val="center"/>
                </w:tcPr>
                <w:p w14:paraId="6C41BA05">
                  <w:pPr>
                    <w:pStyle w:val="33"/>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5DB7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 w:type="dxa"/>
                  <w:tcBorders>
                    <w:tl2br w:val="nil"/>
                    <w:tr2bl w:val="nil"/>
                  </w:tcBorders>
                  <w:noWrap w:val="0"/>
                  <w:vAlign w:val="center"/>
                </w:tcPr>
                <w:p w14:paraId="30F60A7B">
                  <w:pPr>
                    <w:pStyle w:val="3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22" w:type="dxa"/>
                  <w:tcBorders>
                    <w:tl2br w:val="nil"/>
                    <w:tr2bl w:val="nil"/>
                  </w:tcBorders>
                  <w:shd w:val="clear" w:color="auto" w:fill="auto"/>
                  <w:noWrap w:val="0"/>
                  <w:vAlign w:val="center"/>
                </w:tcPr>
                <w:p w14:paraId="1E4C725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三环</w:t>
                  </w:r>
                  <w:r>
                    <w:rPr>
                      <w:rFonts w:hint="eastAsia" w:ascii="Times New Roman" w:hAnsi="Times New Roman" w:eastAsia="宋体" w:cs="Times New Roman"/>
                      <w:color w:val="auto"/>
                      <w:kern w:val="0"/>
                      <w:sz w:val="21"/>
                      <w:szCs w:val="21"/>
                      <w:highlight w:val="none"/>
                      <w:lang w:val="en-US" w:eastAsia="zh-CN"/>
                    </w:rPr>
                    <w:t>小区</w:t>
                  </w:r>
                </w:p>
              </w:tc>
              <w:tc>
                <w:tcPr>
                  <w:tcW w:w="531" w:type="dxa"/>
                  <w:tcBorders>
                    <w:tl2br w:val="nil"/>
                    <w:tr2bl w:val="nil"/>
                  </w:tcBorders>
                  <w:shd w:val="clear" w:color="auto" w:fill="auto"/>
                  <w:noWrap w:val="0"/>
                  <w:vAlign w:val="center"/>
                </w:tcPr>
                <w:p w14:paraId="2F3B356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p>
              </w:tc>
              <w:tc>
                <w:tcPr>
                  <w:tcW w:w="531" w:type="dxa"/>
                  <w:tcBorders>
                    <w:tl2br w:val="nil"/>
                    <w:tr2bl w:val="nil"/>
                  </w:tcBorders>
                  <w:shd w:val="clear" w:color="auto" w:fill="auto"/>
                  <w:noWrap w:val="0"/>
                  <w:vAlign w:val="center"/>
                </w:tcPr>
                <w:p w14:paraId="231921A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-50</w:t>
                  </w:r>
                </w:p>
              </w:tc>
              <w:tc>
                <w:tcPr>
                  <w:tcW w:w="648" w:type="dxa"/>
                  <w:tcBorders>
                    <w:tl2br w:val="nil"/>
                    <w:tr2bl w:val="nil"/>
                  </w:tcBorders>
                  <w:shd w:val="clear" w:color="auto" w:fill="auto"/>
                  <w:noWrap w:val="0"/>
                  <w:vAlign w:val="center"/>
                </w:tcPr>
                <w:p w14:paraId="2F11ADE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居民点</w:t>
                  </w:r>
                </w:p>
              </w:tc>
              <w:tc>
                <w:tcPr>
                  <w:tcW w:w="848" w:type="dxa"/>
                  <w:tcBorders>
                    <w:tl2br w:val="nil"/>
                    <w:tr2bl w:val="nil"/>
                  </w:tcBorders>
                  <w:noWrap w:val="0"/>
                  <w:vAlign w:val="center"/>
                </w:tcPr>
                <w:p w14:paraId="63EA0F0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150</w:t>
                  </w:r>
                  <w:r>
                    <w:rPr>
                      <w:rFonts w:hint="default" w:ascii="Times New Roman" w:hAnsi="Times New Roman" w:eastAsia="宋体" w:cs="Times New Roman"/>
                      <w:color w:val="auto"/>
                      <w:kern w:val="0"/>
                      <w:sz w:val="21"/>
                      <w:szCs w:val="21"/>
                      <w:highlight w:val="none"/>
                    </w:rPr>
                    <w:t>户/</w:t>
                  </w:r>
                  <w:r>
                    <w:rPr>
                      <w:rFonts w:hint="default" w:ascii="Times New Roman" w:hAnsi="Times New Roman" w:eastAsia="宋体" w:cs="Times New Roman"/>
                      <w:color w:val="auto"/>
                      <w:kern w:val="0"/>
                      <w:sz w:val="21"/>
                      <w:szCs w:val="21"/>
                      <w:highlight w:val="none"/>
                      <w:lang w:val="en-US" w:eastAsia="zh-CN"/>
                    </w:rPr>
                    <w:t>500</w:t>
                  </w:r>
                  <w:r>
                    <w:rPr>
                      <w:rFonts w:hint="default" w:ascii="Times New Roman" w:hAnsi="Times New Roman" w:eastAsia="宋体" w:cs="Times New Roman"/>
                      <w:color w:val="auto"/>
                      <w:kern w:val="0"/>
                      <w:sz w:val="21"/>
                      <w:szCs w:val="21"/>
                      <w:highlight w:val="none"/>
                    </w:rPr>
                    <w:t>人</w:t>
                  </w:r>
                </w:p>
              </w:tc>
              <w:tc>
                <w:tcPr>
                  <w:tcW w:w="2872" w:type="dxa"/>
                  <w:tcBorders>
                    <w:tl2br w:val="nil"/>
                    <w:tr2bl w:val="nil"/>
                  </w:tcBorders>
                  <w:noWrap w:val="0"/>
                  <w:vAlign w:val="center"/>
                </w:tcPr>
                <w:p w14:paraId="178988F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声环境质量标准</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GB3096-2008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中2类标准</w:t>
                  </w:r>
                </w:p>
              </w:tc>
              <w:tc>
                <w:tcPr>
                  <w:tcW w:w="796" w:type="dxa"/>
                  <w:tcBorders>
                    <w:tl2br w:val="nil"/>
                    <w:tr2bl w:val="nil"/>
                  </w:tcBorders>
                  <w:noWrap w:val="0"/>
                  <w:vAlign w:val="center"/>
                </w:tcPr>
                <w:p w14:paraId="3E47937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p>
              </w:tc>
              <w:tc>
                <w:tcPr>
                  <w:tcW w:w="882" w:type="dxa"/>
                  <w:tcBorders>
                    <w:tl2br w:val="nil"/>
                    <w:tr2bl w:val="nil"/>
                  </w:tcBorders>
                  <w:noWrap w:val="0"/>
                  <w:vAlign w:val="center"/>
                </w:tcPr>
                <w:p w14:paraId="5800A74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r>
            <w:tr w14:paraId="5850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0" w:type="dxa"/>
                  <w:gridSpan w:val="9"/>
                  <w:tcBorders>
                    <w:tl2br w:val="nil"/>
                    <w:tr2bl w:val="nil"/>
                  </w:tcBorders>
                  <w:noWrap w:val="0"/>
                  <w:vAlign w:val="center"/>
                </w:tcPr>
                <w:p w14:paraId="53D9C31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注：以企业所在区域对角线交点为坐标原点，以东西方向为X坐标轴（东方向为正方向），以南北方向为Y坐标轴（北方向为正方向）。</w:t>
                  </w:r>
                </w:p>
              </w:tc>
            </w:tr>
          </w:tbl>
          <w:p w14:paraId="7A6D1192">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rPr>
              <w:t>地下水环境</w:t>
            </w:r>
          </w:p>
          <w:p w14:paraId="4547FEE2">
            <w:pPr>
              <w:wordWrap w:val="0"/>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highlight w:val="yellow"/>
              </w:rPr>
            </w:pPr>
            <w:r>
              <w:rPr>
                <w:rFonts w:hint="default" w:ascii="Times New Roman" w:hAnsi="Times New Roman" w:eastAsia="宋体" w:cs="Times New Roman"/>
                <w:color w:val="auto"/>
                <w:kern w:val="0"/>
                <w:sz w:val="24"/>
                <w:szCs w:val="24"/>
              </w:rPr>
              <w:t>项目区域及厂界500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kern w:val="0"/>
                <w:sz w:val="24"/>
                <w:szCs w:val="24"/>
              </w:rPr>
              <w:t>范围内地下水执行《地下水质量标准》（GB/T14848-2017）中</w:t>
            </w:r>
            <w:r>
              <w:rPr>
                <w:rFonts w:hint="default" w:ascii="Times New Roman" w:hAnsi="Times New Roman" w:eastAsia="宋体" w:cs="Times New Roman"/>
                <w:color w:val="auto"/>
                <w:kern w:val="0"/>
                <w:sz w:val="24"/>
                <w:szCs w:val="24"/>
              </w:rPr>
              <w:fldChar w:fldCharType="begin"/>
            </w:r>
            <w:r>
              <w:rPr>
                <w:rFonts w:hint="default" w:ascii="Times New Roman" w:hAnsi="Times New Roman" w:eastAsia="宋体" w:cs="Times New Roman"/>
                <w:color w:val="auto"/>
                <w:kern w:val="0"/>
                <w:sz w:val="24"/>
                <w:szCs w:val="24"/>
              </w:rPr>
              <w:instrText xml:space="preserve"> = 3 \* ROMAN </w:instrText>
            </w:r>
            <w:r>
              <w:rPr>
                <w:rFonts w:hint="default" w:ascii="Times New Roman" w:hAnsi="Times New Roman" w:eastAsia="宋体" w:cs="Times New Roman"/>
                <w:color w:val="auto"/>
                <w:kern w:val="0"/>
                <w:sz w:val="24"/>
                <w:szCs w:val="24"/>
              </w:rPr>
              <w:fldChar w:fldCharType="separate"/>
            </w:r>
            <w:r>
              <w:rPr>
                <w:rFonts w:hint="default" w:ascii="Times New Roman" w:hAnsi="Times New Roman" w:eastAsia="宋体" w:cs="Times New Roman"/>
                <w:color w:val="auto"/>
                <w:kern w:val="0"/>
                <w:sz w:val="24"/>
                <w:szCs w:val="24"/>
              </w:rPr>
              <w:t>III</w:t>
            </w:r>
            <w:r>
              <w:rPr>
                <w:rFonts w:hint="default" w:ascii="Times New Roman" w:hAnsi="Times New Roman" w:eastAsia="宋体" w:cs="Times New Roman"/>
                <w:color w:val="auto"/>
                <w:kern w:val="0"/>
                <w:sz w:val="24"/>
                <w:szCs w:val="24"/>
              </w:rPr>
              <w:fldChar w:fldCharType="end"/>
            </w:r>
            <w:r>
              <w:rPr>
                <w:rFonts w:hint="default" w:ascii="Times New Roman" w:hAnsi="Times New Roman" w:eastAsia="宋体" w:cs="Times New Roman"/>
                <w:color w:val="auto"/>
                <w:kern w:val="0"/>
                <w:sz w:val="24"/>
                <w:szCs w:val="24"/>
              </w:rPr>
              <w:t>类标准。</w:t>
            </w:r>
          </w:p>
          <w:p w14:paraId="0C9383AA">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color w:val="auto"/>
                <w:kern w:val="0"/>
                <w:sz w:val="24"/>
                <w:szCs w:val="24"/>
                <w:lang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eastAsia="zh-CN"/>
              </w:rPr>
              <w:t>生态环境</w:t>
            </w:r>
          </w:p>
          <w:p w14:paraId="4E8CCFDF">
            <w:pPr>
              <w:autoSpaceDE w:val="0"/>
              <w:autoSpaceDN w:val="0"/>
              <w:adjustRightInd w:val="0"/>
              <w:spacing w:line="360" w:lineRule="auto"/>
              <w:ind w:firstLine="480" w:firstLineChars="200"/>
              <w:jc w:val="left"/>
              <w:rPr>
                <w:rFonts w:hint="default" w:ascii="Times New Roman" w:hAnsi="Times New Roman" w:eastAsia="宋体" w:cs="Times New Roman"/>
                <w:b/>
                <w:color w:val="FF0000"/>
                <w:kern w:val="0"/>
                <w:highlight w:val="yellow"/>
              </w:rPr>
            </w:pPr>
            <w:r>
              <w:rPr>
                <w:rFonts w:hint="default" w:ascii="Times New Roman" w:hAnsi="Times New Roman" w:eastAsia="宋体" w:cs="Times New Roman"/>
                <w:color w:val="auto"/>
                <w:kern w:val="0"/>
                <w:sz w:val="24"/>
                <w:szCs w:val="24"/>
                <w:lang w:eastAsia="zh-CN"/>
              </w:rPr>
              <w:t>本项目位于</w:t>
            </w:r>
            <w:r>
              <w:rPr>
                <w:rFonts w:hint="default" w:ascii="Times New Roman" w:hAnsi="Times New Roman" w:eastAsia="宋体" w:cs="Times New Roman"/>
                <w:color w:val="auto"/>
                <w:kern w:val="0"/>
                <w:sz w:val="24"/>
                <w:szCs w:val="24"/>
              </w:rPr>
              <w:t>宿州市</w:t>
            </w:r>
            <w:r>
              <w:rPr>
                <w:rFonts w:hint="default" w:ascii="Times New Roman" w:hAnsi="Times New Roman" w:eastAsia="宋体" w:cs="Times New Roman"/>
                <w:color w:val="auto"/>
                <w:kern w:val="0"/>
                <w:sz w:val="24"/>
                <w:szCs w:val="24"/>
                <w:lang w:eastAsia="zh-CN"/>
              </w:rPr>
              <w:t>宿州徐州现代产业园区埇桥园G206国道与雁山路交叉口（金鸽面粉厂院内），租赁已建厂房，属于工业用地，</w:t>
            </w:r>
            <w:r>
              <w:rPr>
                <w:rFonts w:hint="eastAsia" w:ascii="Times New Roman" w:hAnsi="Times New Roman" w:eastAsia="宋体" w:cs="Times New Roman"/>
                <w:color w:val="auto"/>
                <w:kern w:val="0"/>
                <w:sz w:val="24"/>
                <w:szCs w:val="24"/>
                <w:lang w:eastAsia="zh-CN"/>
              </w:rPr>
              <w:t>不新增用地，</w:t>
            </w:r>
            <w:r>
              <w:rPr>
                <w:rFonts w:hint="default" w:ascii="Times New Roman" w:hAnsi="Times New Roman" w:eastAsia="宋体" w:cs="Times New Roman"/>
                <w:color w:val="auto"/>
                <w:kern w:val="0"/>
                <w:sz w:val="24"/>
                <w:szCs w:val="24"/>
                <w:lang w:eastAsia="zh-CN"/>
              </w:rPr>
              <w:t>用地范围内无生态环境保护目标，可不进行生态现状调查。</w:t>
            </w:r>
          </w:p>
        </w:tc>
      </w:tr>
      <w:tr w14:paraId="2A7FE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14" w:type="dxa"/>
            <w:tcMar>
              <w:left w:w="28" w:type="dxa"/>
              <w:right w:w="28" w:type="dxa"/>
            </w:tcMar>
            <w:vAlign w:val="center"/>
          </w:tcPr>
          <w:p w14:paraId="232A61BA">
            <w:pPr>
              <w:adjustRightInd w:val="0"/>
              <w:snapToGrid w:val="0"/>
              <w:spacing w:line="360" w:lineRule="auto"/>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污染物排放控</w:t>
            </w:r>
          </w:p>
          <w:p w14:paraId="2BF3DDE9">
            <w:pPr>
              <w:adjustRightInd w:val="0"/>
              <w:snapToGrid w:val="0"/>
              <w:spacing w:line="360" w:lineRule="auto"/>
              <w:jc w:val="center"/>
              <w:rPr>
                <w:rFonts w:hint="default" w:ascii="Times New Roman" w:hAnsi="Times New Roman" w:eastAsia="宋体" w:cs="Times New Roman"/>
                <w:color w:val="FF0000"/>
                <w:kern w:val="0"/>
                <w:highlight w:val="yellow"/>
              </w:rPr>
            </w:pPr>
            <w:r>
              <w:rPr>
                <w:rFonts w:hint="default" w:ascii="Times New Roman" w:hAnsi="Times New Roman" w:eastAsia="宋体" w:cs="Times New Roman"/>
                <w:color w:val="000000" w:themeColor="text1"/>
                <w:kern w:val="0"/>
                <w:sz w:val="24"/>
                <w:szCs w:val="24"/>
                <w14:textFill>
                  <w14:solidFill>
                    <w14:schemeClr w14:val="tx1"/>
                  </w14:solidFill>
                </w14:textFill>
              </w:rPr>
              <w:t>制标准</w:t>
            </w:r>
          </w:p>
        </w:tc>
        <w:tc>
          <w:tcPr>
            <w:tcW w:w="9148" w:type="dxa"/>
          </w:tcPr>
          <w:p w14:paraId="7EB2481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color w:val="auto"/>
                <w:kern w:val="0"/>
                <w:sz w:val="24"/>
                <w:szCs w:val="24"/>
                <w:highlight w:val="yellow"/>
              </w:rPr>
            </w:pPr>
            <w:bookmarkStart w:id="18" w:name="_Hlk193188366"/>
            <w:r>
              <w:rPr>
                <w:rFonts w:hint="eastAsia" w:ascii="Times New Roman" w:hAnsi="Times New Roman" w:eastAsia="宋体" w:cs="Times New Roman"/>
                <w:b/>
                <w:color w:val="auto"/>
                <w:kern w:val="0"/>
                <w:sz w:val="24"/>
                <w:szCs w:val="24"/>
                <w:lang w:val="en-US" w:eastAsia="zh-CN"/>
              </w:rPr>
              <w:t>1、</w:t>
            </w:r>
            <w:r>
              <w:rPr>
                <w:rFonts w:hint="default" w:ascii="Times New Roman" w:hAnsi="Times New Roman" w:eastAsia="宋体" w:cs="Times New Roman"/>
                <w:b/>
                <w:color w:val="auto"/>
                <w:kern w:val="0"/>
                <w:sz w:val="24"/>
                <w:szCs w:val="24"/>
              </w:rPr>
              <w:t>废气排放标准</w:t>
            </w:r>
          </w:p>
          <w:p w14:paraId="1883A159">
            <w:pPr>
              <w:wordWrap w:val="0"/>
              <w:spacing w:line="360" w:lineRule="auto"/>
              <w:ind w:firstLine="480" w:firstLineChars="200"/>
              <w:rPr>
                <w:rFonts w:hint="default" w:ascii="Times New Roman" w:hAnsi="Times New Roman" w:eastAsia="宋体" w:cs="Times New Roman"/>
                <w:color w:val="auto"/>
                <w:kern w:val="0"/>
                <w:sz w:val="24"/>
                <w:szCs w:val="24"/>
                <w:highlight w:val="yellow"/>
              </w:rPr>
            </w:pPr>
            <w:r>
              <w:rPr>
                <w:rFonts w:hint="default" w:ascii="Times New Roman" w:hAnsi="Times New Roman" w:eastAsia="宋体" w:cs="Times New Roman"/>
                <w:color w:val="auto"/>
                <w:sz w:val="24"/>
              </w:rPr>
              <w:t>本项目切割、</w:t>
            </w:r>
            <w:r>
              <w:rPr>
                <w:rFonts w:hint="eastAsia" w:ascii="Times New Roman" w:hAnsi="Times New Roman" w:eastAsia="宋体" w:cs="Times New Roman"/>
                <w:color w:val="auto"/>
                <w:sz w:val="24"/>
                <w:lang w:eastAsia="zh-CN"/>
              </w:rPr>
              <w:t>焊接</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抛丸、</w:t>
            </w:r>
            <w:r>
              <w:rPr>
                <w:rFonts w:hint="default" w:ascii="Times New Roman" w:hAnsi="Times New Roman" w:eastAsia="宋体" w:cs="Times New Roman"/>
                <w:color w:val="auto"/>
                <w:sz w:val="24"/>
              </w:rPr>
              <w:t>喷塑产生的颗粒物与酸洗产的硫酸雾执行《大气污染物综合排放标准》（GB16297-1996）表2中相关要求；电泳、电泳烘干、</w:t>
            </w:r>
            <w:r>
              <w:rPr>
                <w:rFonts w:hint="eastAsia" w:ascii="Times New Roman" w:hAnsi="Times New Roman" w:eastAsia="宋体" w:cs="Times New Roman"/>
                <w:color w:val="auto"/>
                <w:sz w:val="24"/>
                <w:lang w:eastAsia="zh-CN"/>
              </w:rPr>
              <w:t>喷塑固化</w:t>
            </w:r>
            <w:r>
              <w:rPr>
                <w:rFonts w:hint="default" w:ascii="Times New Roman" w:hAnsi="Times New Roman" w:eastAsia="宋体" w:cs="Times New Roman"/>
                <w:color w:val="auto"/>
                <w:sz w:val="24"/>
              </w:rPr>
              <w:t>产生的</w:t>
            </w:r>
            <w:r>
              <w:rPr>
                <w:rFonts w:hint="eastAsia" w:ascii="Times New Roman" w:hAnsi="Times New Roman" w:eastAsia="宋体" w:cs="Times New Roman"/>
                <w:color w:val="auto"/>
                <w:sz w:val="24"/>
                <w:lang w:eastAsia="zh-CN"/>
              </w:rPr>
              <w:t>非甲烷总烃</w:t>
            </w:r>
            <w:r>
              <w:rPr>
                <w:rFonts w:hint="default" w:ascii="Times New Roman" w:hAnsi="Times New Roman" w:eastAsia="宋体" w:cs="Times New Roman"/>
                <w:color w:val="auto"/>
                <w:sz w:val="24"/>
              </w:rPr>
              <w:t>参照安徽省地方标准《固定源挥发性有机物综合排放标准第6部分：其他行业》（DB344812.6-2024）中表1其他涉表面涂装工序的工业排放限值；</w:t>
            </w:r>
            <w:r>
              <w:rPr>
                <w:rFonts w:hint="default" w:ascii="Times New Roman" w:hAnsi="Times New Roman" w:eastAsia="宋体" w:cs="Times New Roman"/>
                <w:color w:val="auto"/>
                <w:sz w:val="24"/>
                <w:szCs w:val="24"/>
              </w:rPr>
              <w:t>项目的</w:t>
            </w:r>
            <w:r>
              <w:rPr>
                <w:rFonts w:hint="eastAsia" w:ascii="Times New Roman" w:hAnsi="Times New Roman" w:eastAsia="宋体" w:cs="Times New Roman"/>
                <w:color w:val="auto"/>
                <w:sz w:val="24"/>
                <w:szCs w:val="24"/>
                <w:lang w:eastAsia="zh-CN"/>
              </w:rPr>
              <w:t>固化及电泳</w:t>
            </w:r>
            <w:r>
              <w:rPr>
                <w:rFonts w:hint="default" w:ascii="Times New Roman" w:hAnsi="Times New Roman" w:eastAsia="宋体" w:cs="Times New Roman"/>
                <w:color w:val="auto"/>
                <w:sz w:val="24"/>
                <w:szCs w:val="24"/>
              </w:rPr>
              <w:t>烘干</w:t>
            </w:r>
            <w:r>
              <w:rPr>
                <w:rFonts w:hint="default" w:ascii="Times New Roman" w:hAnsi="Times New Roman" w:eastAsia="宋体" w:cs="Times New Roman"/>
                <w:color w:val="auto"/>
                <w:sz w:val="24"/>
                <w:szCs w:val="24"/>
                <w:lang w:eastAsia="zh-CN"/>
              </w:rPr>
              <w:t>液化石油气</w:t>
            </w:r>
            <w:r>
              <w:rPr>
                <w:rFonts w:hint="default" w:ascii="Times New Roman" w:hAnsi="Times New Roman" w:eastAsia="宋体" w:cs="Times New Roman"/>
                <w:color w:val="auto"/>
                <w:sz w:val="24"/>
                <w:szCs w:val="24"/>
              </w:rPr>
              <w:t>燃烧废气（SO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）排放执行《工业炉窑大气污染物排放标准》（GB9078-1996）中其他炉窑排放限值以及《工业炉窑大气污染</w:t>
            </w:r>
            <w:r>
              <w:rPr>
                <w:rFonts w:hint="default" w:ascii="Times New Roman" w:hAnsi="Times New Roman" w:eastAsia="宋体" w:cs="Times New Roman"/>
                <w:color w:val="auto"/>
                <w:sz w:val="24"/>
              </w:rPr>
              <w:t>综合治理方案》（环大气〔2019〕56号）中要求；项目厂区内非甲烷总烃参照执行《固定源挥发性有机物综合排放标准：第6部分：其他行业》（DB34/ 4812.6-2024）中相关要求；项目厂界无组织废气参照执行《大气污染物综合排放标准》（GB16297-1996）表2中相关要求；H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S、NH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、臭气浓度执行《恶臭污染物排放标准》（GB14554-93）表1中二级新扩改建无组织排放标准限值</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具体标准值如下表</w:t>
            </w:r>
            <w:r>
              <w:rPr>
                <w:rFonts w:hint="default" w:ascii="Times New Roman" w:hAnsi="Times New Roman" w:eastAsia="宋体" w:cs="Times New Roman"/>
                <w:color w:val="auto"/>
                <w:kern w:val="0"/>
                <w:sz w:val="24"/>
                <w:szCs w:val="24"/>
              </w:rPr>
              <w:t>：</w:t>
            </w:r>
          </w:p>
          <w:p w14:paraId="0CD19FD6">
            <w:pPr>
              <w:spacing w:line="240" w:lineRule="auto"/>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表3-</w:t>
            </w:r>
            <w:r>
              <w:rPr>
                <w:rFonts w:hint="eastAsia" w:ascii="Times New Roman" w:hAnsi="Times New Roman" w:eastAsia="宋体" w:cs="Times New Roman"/>
                <w:b/>
                <w:color w:val="auto"/>
                <w:kern w:val="0"/>
                <w:sz w:val="24"/>
                <w:szCs w:val="24"/>
                <w:lang w:val="en-US" w:eastAsia="zh-CN"/>
              </w:rPr>
              <w:t xml:space="preserve">8 </w:t>
            </w:r>
            <w:r>
              <w:rPr>
                <w:rFonts w:hint="default" w:ascii="Times New Roman" w:hAnsi="Times New Roman" w:eastAsia="宋体" w:cs="Times New Roman"/>
                <w:b/>
                <w:color w:val="auto"/>
                <w:kern w:val="0"/>
                <w:sz w:val="24"/>
                <w:szCs w:val="24"/>
              </w:rPr>
              <w:t>大气污染物排放标准</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35"/>
              <w:gridCol w:w="1563"/>
              <w:gridCol w:w="2258"/>
              <w:gridCol w:w="1876"/>
              <w:gridCol w:w="1144"/>
              <w:gridCol w:w="1146"/>
            </w:tblGrid>
            <w:tr w14:paraId="33D9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8" w:hRule="atLeast"/>
              </w:trPr>
              <w:tc>
                <w:tcPr>
                  <w:tcW w:w="523" w:type="pct"/>
                  <w:vMerge w:val="restart"/>
                  <w:vAlign w:val="center"/>
                </w:tcPr>
                <w:p w14:paraId="60ED99A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bookmarkStart w:id="19" w:name="_Hlk178344754"/>
                  <w:r>
                    <w:rPr>
                      <w:rFonts w:hint="default" w:ascii="Times New Roman" w:hAnsi="Times New Roman" w:eastAsia="宋体" w:cs="Times New Roman"/>
                      <w:color w:val="auto"/>
                      <w:szCs w:val="21"/>
                    </w:rPr>
                    <w:t>污染源</w:t>
                  </w:r>
                </w:p>
              </w:tc>
              <w:tc>
                <w:tcPr>
                  <w:tcW w:w="875" w:type="pct"/>
                  <w:vMerge w:val="restart"/>
                  <w:vAlign w:val="center"/>
                </w:tcPr>
                <w:p w14:paraId="162D5FE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3600" w:type="pct"/>
                  <w:gridSpan w:val="4"/>
                  <w:vAlign w:val="center"/>
                </w:tcPr>
                <w:p w14:paraId="65C4395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rPr>
                    <w:t>污染物排放标准</w:t>
                  </w:r>
                </w:p>
              </w:tc>
            </w:tr>
            <w:tr w14:paraId="2D59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6" w:hRule="atLeast"/>
              </w:trPr>
              <w:tc>
                <w:tcPr>
                  <w:tcW w:w="523" w:type="pct"/>
                  <w:vMerge w:val="continue"/>
                  <w:vAlign w:val="center"/>
                </w:tcPr>
                <w:p w14:paraId="3F73116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875" w:type="pct"/>
                  <w:vMerge w:val="continue"/>
                  <w:vAlign w:val="center"/>
                </w:tcPr>
                <w:p w14:paraId="3C6F160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1265" w:type="pct"/>
                  <w:vAlign w:val="center"/>
                </w:tcPr>
                <w:p w14:paraId="0CADB9B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标准名称</w:t>
                  </w:r>
                </w:p>
              </w:tc>
              <w:tc>
                <w:tcPr>
                  <w:tcW w:w="1051" w:type="pct"/>
                  <w:vAlign w:val="center"/>
                </w:tcPr>
                <w:p w14:paraId="7FBA051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641" w:type="pct"/>
                  <w:vAlign w:val="center"/>
                </w:tcPr>
                <w:p w14:paraId="1E61D68A">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排气筒高度（m）</w:t>
                  </w:r>
                </w:p>
              </w:tc>
              <w:tc>
                <w:tcPr>
                  <w:tcW w:w="642" w:type="pct"/>
                  <w:vAlign w:val="center"/>
                </w:tcPr>
                <w:p w14:paraId="2A7032CB">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rPr>
                    <w:t>最高允许排放速率（kg/h）</w:t>
                  </w:r>
                </w:p>
              </w:tc>
            </w:tr>
            <w:tr w14:paraId="7AAE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9" w:hRule="atLeast"/>
              </w:trPr>
              <w:tc>
                <w:tcPr>
                  <w:tcW w:w="523" w:type="pct"/>
                  <w:vAlign w:val="center"/>
                </w:tcPr>
                <w:p w14:paraId="57016E5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切割、焊接、抛丸</w:t>
                  </w:r>
                  <w:r>
                    <w:rPr>
                      <w:rFonts w:hint="eastAsia" w:ascii="Times New Roman" w:hAnsi="Times New Roman" w:eastAsia="宋体" w:cs="Times New Roman"/>
                      <w:color w:val="auto"/>
                      <w:szCs w:val="21"/>
                      <w:lang w:val="en-US" w:eastAsia="zh-CN"/>
                    </w:rPr>
                    <w:t>、喷塑</w:t>
                  </w:r>
                </w:p>
              </w:tc>
              <w:tc>
                <w:tcPr>
                  <w:tcW w:w="875" w:type="pct"/>
                  <w:vAlign w:val="center"/>
                </w:tcPr>
                <w:p w14:paraId="6CF3ED8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颗粒物</w:t>
                  </w:r>
                </w:p>
              </w:tc>
              <w:tc>
                <w:tcPr>
                  <w:tcW w:w="1265" w:type="pct"/>
                  <w:vAlign w:val="center"/>
                </w:tcPr>
                <w:p w14:paraId="64ED3F8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p>
              </w:tc>
              <w:tc>
                <w:tcPr>
                  <w:tcW w:w="1051" w:type="pct"/>
                  <w:vAlign w:val="center"/>
                </w:tcPr>
                <w:p w14:paraId="7CAAB08C">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641" w:type="pct"/>
                  <w:vAlign w:val="center"/>
                </w:tcPr>
                <w:p w14:paraId="3B43E5E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642" w:type="pct"/>
                  <w:vAlign w:val="center"/>
                </w:tcPr>
                <w:p w14:paraId="36D73F8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w:t>
                  </w:r>
                </w:p>
              </w:tc>
            </w:tr>
            <w:tr w14:paraId="025E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9" w:hRule="atLeast"/>
              </w:trPr>
              <w:tc>
                <w:tcPr>
                  <w:tcW w:w="523" w:type="pct"/>
                  <w:vAlign w:val="center"/>
                </w:tcPr>
                <w:p w14:paraId="5A60A74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eastAsia="zh-CN"/>
                    </w:rPr>
                  </w:pPr>
                  <w:bookmarkStart w:id="20" w:name="_Hlk194406378"/>
                  <w:r>
                    <w:rPr>
                      <w:rFonts w:hint="default" w:ascii="Times New Roman" w:hAnsi="Times New Roman" w:eastAsia="宋体" w:cs="Times New Roman"/>
                      <w:color w:val="auto"/>
                      <w:szCs w:val="21"/>
                      <w:lang w:val="en-US" w:eastAsia="zh-CN"/>
                    </w:rPr>
                    <w:t>酸洗</w:t>
                  </w:r>
                </w:p>
              </w:tc>
              <w:tc>
                <w:tcPr>
                  <w:tcW w:w="875" w:type="pct"/>
                  <w:vAlign w:val="center"/>
                </w:tcPr>
                <w:p w14:paraId="48FE805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硫酸雾</w:t>
                  </w:r>
                </w:p>
              </w:tc>
              <w:tc>
                <w:tcPr>
                  <w:tcW w:w="1265" w:type="pct"/>
                  <w:vAlign w:val="center"/>
                </w:tcPr>
                <w:p w14:paraId="668FA91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p>
              </w:tc>
              <w:tc>
                <w:tcPr>
                  <w:tcW w:w="1051" w:type="pct"/>
                  <w:vAlign w:val="center"/>
                </w:tcPr>
                <w:p w14:paraId="30566C0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w:t>
                  </w:r>
                </w:p>
              </w:tc>
              <w:tc>
                <w:tcPr>
                  <w:tcW w:w="641" w:type="pct"/>
                  <w:vAlign w:val="center"/>
                </w:tcPr>
                <w:p w14:paraId="7E7B743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642" w:type="pct"/>
                  <w:vAlign w:val="center"/>
                </w:tcPr>
                <w:p w14:paraId="6125CE0C">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w:t>
                  </w:r>
                </w:p>
              </w:tc>
            </w:tr>
            <w:bookmarkEnd w:id="20"/>
            <w:tr w14:paraId="37EB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9" w:hRule="atLeast"/>
              </w:trPr>
              <w:tc>
                <w:tcPr>
                  <w:tcW w:w="523" w:type="pct"/>
                  <w:vMerge w:val="restart"/>
                  <w:vAlign w:val="center"/>
                </w:tcPr>
                <w:p w14:paraId="01C354A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val="en-US" w:eastAsia="zh-CN"/>
                    </w:rPr>
                  </w:pPr>
                  <w:bookmarkStart w:id="21" w:name="_Hlk192672052"/>
                  <w:r>
                    <w:rPr>
                      <w:rFonts w:hint="eastAsia" w:ascii="Times New Roman" w:hAnsi="Times New Roman" w:eastAsia="宋体" w:cs="Times New Roman"/>
                      <w:color w:val="auto"/>
                      <w:szCs w:val="21"/>
                      <w:lang w:val="en-US" w:eastAsia="zh-CN"/>
                    </w:rPr>
                    <w:t>喷塑固化固化、</w:t>
                  </w:r>
                  <w:r>
                    <w:rPr>
                      <w:rFonts w:hint="default" w:ascii="Times New Roman" w:hAnsi="Times New Roman" w:eastAsia="宋体" w:cs="Times New Roman"/>
                      <w:color w:val="auto"/>
                      <w:szCs w:val="21"/>
                      <w:lang w:val="en-US" w:eastAsia="zh-CN"/>
                    </w:rPr>
                    <w:t>电泳、烘干</w:t>
                  </w:r>
                </w:p>
              </w:tc>
              <w:tc>
                <w:tcPr>
                  <w:tcW w:w="875" w:type="pct"/>
                  <w:vAlign w:val="center"/>
                </w:tcPr>
                <w:p w14:paraId="3D94516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非甲烷总烃</w:t>
                  </w:r>
                </w:p>
              </w:tc>
              <w:tc>
                <w:tcPr>
                  <w:tcW w:w="1265" w:type="pct"/>
                  <w:vAlign w:val="center"/>
                </w:tcPr>
                <w:p w14:paraId="7E04DEF7">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安徽省地方标准《固定源挥发性有机物综合排放标准第6部分：其他行业》（DB344812.6-2024）</w:t>
                  </w:r>
                </w:p>
              </w:tc>
              <w:tc>
                <w:tcPr>
                  <w:tcW w:w="1051" w:type="pct"/>
                  <w:vAlign w:val="center"/>
                </w:tcPr>
                <w:p w14:paraId="1BEAA58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641" w:type="pct"/>
                  <w:vMerge w:val="restart"/>
                  <w:vAlign w:val="center"/>
                </w:tcPr>
                <w:p w14:paraId="13DC6F2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642" w:type="pct"/>
                  <w:vAlign w:val="center"/>
                </w:tcPr>
                <w:p w14:paraId="0AA004FB">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bookmarkEnd w:id="21"/>
            <w:tr w14:paraId="2871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9" w:hRule="atLeast"/>
              </w:trPr>
              <w:tc>
                <w:tcPr>
                  <w:tcW w:w="523" w:type="pct"/>
                  <w:vMerge w:val="continue"/>
                  <w:vAlign w:val="center"/>
                </w:tcPr>
                <w:p w14:paraId="6B96910C">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875" w:type="pct"/>
                  <w:vAlign w:val="center"/>
                </w:tcPr>
                <w:p w14:paraId="0A475FCA">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SO</w:t>
                  </w:r>
                  <w:r>
                    <w:rPr>
                      <w:rFonts w:hint="default" w:ascii="Times New Roman" w:hAnsi="Times New Roman" w:eastAsia="宋体" w:cs="Times New Roman"/>
                      <w:color w:val="auto"/>
                      <w:kern w:val="0"/>
                      <w:szCs w:val="21"/>
                      <w:vertAlign w:val="subscript"/>
                    </w:rPr>
                    <w:t>2</w:t>
                  </w:r>
                </w:p>
              </w:tc>
              <w:tc>
                <w:tcPr>
                  <w:tcW w:w="1265" w:type="pct"/>
                  <w:vMerge w:val="restart"/>
                  <w:vAlign w:val="center"/>
                </w:tcPr>
                <w:p w14:paraId="6F32878B">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参照GB9078-1996及（环大气〔2019〕56号）中要求</w:t>
                  </w:r>
                </w:p>
              </w:tc>
              <w:tc>
                <w:tcPr>
                  <w:tcW w:w="1051" w:type="pct"/>
                  <w:vAlign w:val="center"/>
                </w:tcPr>
                <w:p w14:paraId="0086E46C">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641" w:type="pct"/>
                  <w:vMerge w:val="continue"/>
                  <w:vAlign w:val="center"/>
                </w:tcPr>
                <w:p w14:paraId="51F5BFB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642" w:type="pct"/>
                  <w:vAlign w:val="center"/>
                </w:tcPr>
                <w:p w14:paraId="5BC8264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07DC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9" w:hRule="atLeast"/>
              </w:trPr>
              <w:tc>
                <w:tcPr>
                  <w:tcW w:w="523" w:type="pct"/>
                  <w:vMerge w:val="continue"/>
                  <w:vAlign w:val="center"/>
                </w:tcPr>
                <w:p w14:paraId="143761B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875" w:type="pct"/>
                  <w:vAlign w:val="center"/>
                </w:tcPr>
                <w:p w14:paraId="2BABF0D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NO</w:t>
                  </w:r>
                  <w:r>
                    <w:rPr>
                      <w:rFonts w:hint="default" w:ascii="Times New Roman" w:hAnsi="Times New Roman" w:eastAsia="宋体" w:cs="Times New Roman"/>
                      <w:color w:val="auto"/>
                      <w:kern w:val="0"/>
                      <w:szCs w:val="21"/>
                      <w:vertAlign w:val="subscript"/>
                    </w:rPr>
                    <w:t>x</w:t>
                  </w:r>
                </w:p>
              </w:tc>
              <w:tc>
                <w:tcPr>
                  <w:tcW w:w="1265" w:type="pct"/>
                  <w:vMerge w:val="continue"/>
                  <w:vAlign w:val="center"/>
                </w:tcPr>
                <w:p w14:paraId="7E430F4A">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1051" w:type="pct"/>
                  <w:vAlign w:val="center"/>
                </w:tcPr>
                <w:p w14:paraId="6DAE8A0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c>
                <w:tcPr>
                  <w:tcW w:w="641" w:type="pct"/>
                  <w:vMerge w:val="continue"/>
                  <w:vAlign w:val="center"/>
                </w:tcPr>
                <w:p w14:paraId="5BF15FF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p>
              </w:tc>
              <w:tc>
                <w:tcPr>
                  <w:tcW w:w="642" w:type="pct"/>
                  <w:vAlign w:val="center"/>
                </w:tcPr>
                <w:p w14:paraId="55FA8C1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bookmarkEnd w:id="19"/>
          </w:tbl>
          <w:p w14:paraId="6AE5AD0D">
            <w:pPr>
              <w:spacing w:line="240" w:lineRule="auto"/>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表3-</w:t>
            </w:r>
            <w:r>
              <w:rPr>
                <w:rFonts w:hint="eastAsia" w:ascii="Times New Roman" w:hAnsi="Times New Roman" w:eastAsia="宋体" w:cs="Times New Roman"/>
                <w:b/>
                <w:color w:val="auto"/>
                <w:kern w:val="0"/>
                <w:sz w:val="24"/>
                <w:szCs w:val="24"/>
                <w:lang w:val="en-US" w:eastAsia="zh-CN"/>
              </w:rPr>
              <w:t xml:space="preserve">9 </w:t>
            </w:r>
            <w:r>
              <w:rPr>
                <w:rFonts w:hint="default" w:ascii="Times New Roman" w:hAnsi="Times New Roman" w:eastAsia="宋体" w:cs="Times New Roman"/>
                <w:b/>
                <w:color w:val="auto"/>
                <w:kern w:val="0"/>
                <w:sz w:val="24"/>
                <w:szCs w:val="24"/>
              </w:rPr>
              <w:t>大气污染物厂界无组织排放限值（单位：mg/m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4"/>
              <w:gridCol w:w="2323"/>
              <w:gridCol w:w="4745"/>
            </w:tblGrid>
            <w:tr w14:paraId="2CFFF0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9" w:type="pct"/>
                  <w:vAlign w:val="center"/>
                </w:tcPr>
                <w:p w14:paraId="082CB4A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301" w:type="pct"/>
                  <w:vAlign w:val="center"/>
                </w:tcPr>
                <w:p w14:paraId="361A1CF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厂界大气污染物浓度限值</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2659" w:type="pct"/>
                  <w:vAlign w:val="center"/>
                </w:tcPr>
                <w:p w14:paraId="22D6FEF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标准来源</w:t>
                  </w:r>
                </w:p>
              </w:tc>
            </w:tr>
            <w:tr w14:paraId="1402D7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039" w:type="pct"/>
                  <w:vAlign w:val="center"/>
                </w:tcPr>
                <w:p w14:paraId="71AD826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颗粒物</w:t>
                  </w:r>
                </w:p>
              </w:tc>
              <w:tc>
                <w:tcPr>
                  <w:tcW w:w="1301" w:type="pct"/>
                  <w:vAlign w:val="center"/>
                </w:tcPr>
                <w:p w14:paraId="2871838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2659" w:type="pct"/>
                  <w:vMerge w:val="restart"/>
                  <w:vAlign w:val="center"/>
                </w:tcPr>
                <w:p w14:paraId="25CF126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《大气污染物综合排放标准》（GB16297-1996）</w:t>
                  </w:r>
                </w:p>
              </w:tc>
            </w:tr>
            <w:tr w14:paraId="645CCC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039" w:type="pct"/>
                  <w:vAlign w:val="center"/>
                </w:tcPr>
                <w:p w14:paraId="4C173B3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lang w:val="en-US" w:eastAsia="zh-CN"/>
                    </w:rPr>
                    <w:t>非甲烷总烃</w:t>
                  </w:r>
                </w:p>
              </w:tc>
              <w:tc>
                <w:tcPr>
                  <w:tcW w:w="1301" w:type="pct"/>
                  <w:vAlign w:val="center"/>
                </w:tcPr>
                <w:p w14:paraId="324887C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2659" w:type="pct"/>
                  <w:vMerge w:val="continue"/>
                  <w:vAlign w:val="center"/>
                </w:tcPr>
                <w:p w14:paraId="238C9C8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r w14:paraId="3265A4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039" w:type="pct"/>
                  <w:vAlign w:val="center"/>
                </w:tcPr>
                <w:p w14:paraId="572B34F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44"/>
                    </w:rPr>
                  </w:pPr>
                  <w:r>
                    <w:rPr>
                      <w:rFonts w:hint="default" w:ascii="Times New Roman" w:hAnsi="Times New Roman" w:eastAsia="宋体" w:cs="Times New Roman"/>
                      <w:color w:val="auto"/>
                      <w:kern w:val="44"/>
                    </w:rPr>
                    <w:t>硫酸雾</w:t>
                  </w:r>
                </w:p>
              </w:tc>
              <w:tc>
                <w:tcPr>
                  <w:tcW w:w="1301" w:type="pct"/>
                  <w:vAlign w:val="center"/>
                </w:tcPr>
                <w:p w14:paraId="2F9CA26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2659" w:type="pct"/>
                  <w:vMerge w:val="continue"/>
                  <w:vAlign w:val="center"/>
                </w:tcPr>
                <w:p w14:paraId="27102B9B">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r w14:paraId="1E6A2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039" w:type="pct"/>
                  <w:vAlign w:val="center"/>
                </w:tcPr>
                <w:p w14:paraId="006043F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44"/>
                      <w:highlight w:val="none"/>
                    </w:rPr>
                  </w:pPr>
                  <w:r>
                    <w:rPr>
                      <w:rFonts w:hint="default" w:ascii="Times New Roman" w:hAnsi="Times New Roman" w:eastAsia="宋体" w:cs="Times New Roman"/>
                      <w:color w:val="auto"/>
                      <w:kern w:val="0"/>
                      <w:highlight w:val="none"/>
                    </w:rPr>
                    <w:t>SO</w:t>
                  </w:r>
                  <w:r>
                    <w:rPr>
                      <w:rFonts w:hint="default" w:ascii="Times New Roman" w:hAnsi="Times New Roman" w:eastAsia="宋体" w:cs="Times New Roman"/>
                      <w:color w:val="auto"/>
                      <w:kern w:val="0"/>
                      <w:highlight w:val="none"/>
                      <w:vertAlign w:val="subscript"/>
                    </w:rPr>
                    <w:t>2</w:t>
                  </w:r>
                </w:p>
              </w:tc>
              <w:tc>
                <w:tcPr>
                  <w:tcW w:w="1301" w:type="pct"/>
                  <w:vAlign w:val="center"/>
                </w:tcPr>
                <w:p w14:paraId="081BC74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w:t>
                  </w:r>
                </w:p>
              </w:tc>
              <w:tc>
                <w:tcPr>
                  <w:tcW w:w="2659" w:type="pct"/>
                  <w:vMerge w:val="continue"/>
                  <w:vAlign w:val="center"/>
                </w:tcPr>
                <w:p w14:paraId="2CB7B36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r w14:paraId="7A1A0F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039" w:type="pct"/>
                  <w:vAlign w:val="center"/>
                </w:tcPr>
                <w:p w14:paraId="6A5CC5C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44"/>
                      <w:highlight w:val="none"/>
                    </w:rPr>
                  </w:pPr>
                  <w:r>
                    <w:rPr>
                      <w:rFonts w:hint="default" w:ascii="Times New Roman" w:hAnsi="Times New Roman" w:eastAsia="宋体" w:cs="Times New Roman"/>
                      <w:color w:val="auto"/>
                      <w:kern w:val="0"/>
                      <w:highlight w:val="none"/>
                    </w:rPr>
                    <w:t>NO</w:t>
                  </w:r>
                  <w:r>
                    <w:rPr>
                      <w:rFonts w:hint="default" w:ascii="Times New Roman" w:hAnsi="Times New Roman" w:eastAsia="宋体" w:cs="Times New Roman"/>
                      <w:color w:val="auto"/>
                      <w:kern w:val="0"/>
                      <w:highlight w:val="none"/>
                      <w:vertAlign w:val="subscript"/>
                    </w:rPr>
                    <w:t>x</w:t>
                  </w:r>
                </w:p>
              </w:tc>
              <w:tc>
                <w:tcPr>
                  <w:tcW w:w="1301" w:type="pct"/>
                  <w:vAlign w:val="center"/>
                </w:tcPr>
                <w:p w14:paraId="041D824A">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0.12</w:t>
                  </w:r>
                </w:p>
              </w:tc>
              <w:tc>
                <w:tcPr>
                  <w:tcW w:w="2659" w:type="pct"/>
                  <w:vMerge w:val="continue"/>
                  <w:vAlign w:val="center"/>
                </w:tcPr>
                <w:p w14:paraId="7B1BF1D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r w14:paraId="188A31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63" w:hRule="atLeast"/>
              </w:trPr>
              <w:tc>
                <w:tcPr>
                  <w:tcW w:w="1039" w:type="pct"/>
                  <w:vAlign w:val="center"/>
                </w:tcPr>
                <w:p w14:paraId="15FB000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eastAsia="zh-CN"/>
                    </w:rPr>
                    <w:t>氨</w:t>
                  </w:r>
                </w:p>
              </w:tc>
              <w:tc>
                <w:tcPr>
                  <w:tcW w:w="1301" w:type="pct"/>
                  <w:vAlign w:val="center"/>
                </w:tcPr>
                <w:p w14:paraId="0ECC0E3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2659" w:type="pct"/>
                  <w:vMerge w:val="restart"/>
                  <w:vAlign w:val="center"/>
                </w:tcPr>
                <w:p w14:paraId="6433939B">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《恶臭污染物排放标准》</w:t>
                  </w:r>
                  <w:r>
                    <w:rPr>
                      <w:rFonts w:hint="default" w:ascii="Times New Roman" w:hAnsi="Times New Roman" w:eastAsia="宋体" w:cs="Times New Roman"/>
                      <w:color w:val="auto"/>
                    </w:rPr>
                    <w:t>（</w:t>
                  </w:r>
                  <w:r>
                    <w:rPr>
                      <w:rFonts w:hint="default" w:ascii="Times New Roman" w:hAnsi="Times New Roman" w:eastAsia="宋体" w:cs="Times New Roman"/>
                      <w:color w:val="auto"/>
                      <w:sz w:val="24"/>
                    </w:rPr>
                    <w:t>GB14554-93）</w:t>
                  </w:r>
                </w:p>
              </w:tc>
            </w:tr>
            <w:tr w14:paraId="2DA594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039" w:type="pct"/>
                  <w:vAlign w:val="center"/>
                </w:tcPr>
                <w:p w14:paraId="79A333A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eastAsia="zh-CN"/>
                    </w:rPr>
                    <w:t>硫化氢</w:t>
                  </w:r>
                </w:p>
              </w:tc>
              <w:tc>
                <w:tcPr>
                  <w:tcW w:w="1301" w:type="pct"/>
                  <w:vAlign w:val="center"/>
                </w:tcPr>
                <w:p w14:paraId="3BA7F6E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0.06</w:t>
                  </w:r>
                </w:p>
              </w:tc>
              <w:tc>
                <w:tcPr>
                  <w:tcW w:w="2659" w:type="pct"/>
                  <w:vMerge w:val="continue"/>
                  <w:vAlign w:val="center"/>
                </w:tcPr>
                <w:p w14:paraId="218A0E17">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r w14:paraId="177EC1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039" w:type="pct"/>
                  <w:vAlign w:val="center"/>
                </w:tcPr>
                <w:p w14:paraId="3436C7A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eastAsia="zh-CN"/>
                    </w:rPr>
                    <w:t>臭气浓度</w:t>
                  </w:r>
                </w:p>
              </w:tc>
              <w:tc>
                <w:tcPr>
                  <w:tcW w:w="1301" w:type="pct"/>
                  <w:vAlign w:val="center"/>
                </w:tcPr>
                <w:p w14:paraId="47D3F7C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20（无量纲）</w:t>
                  </w:r>
                </w:p>
              </w:tc>
              <w:tc>
                <w:tcPr>
                  <w:tcW w:w="2659" w:type="pct"/>
                  <w:vMerge w:val="continue"/>
                  <w:vAlign w:val="center"/>
                </w:tcPr>
                <w:p w14:paraId="6A7D5E7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bl>
          <w:p w14:paraId="54BFBA30">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firstLine="482" w:firstLineChars="200"/>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表3-</w:t>
            </w:r>
            <w:r>
              <w:rPr>
                <w:rFonts w:hint="eastAsia" w:ascii="Times New Roman" w:hAnsi="Times New Roman" w:eastAsia="宋体" w:cs="Times New Roman"/>
                <w:b/>
                <w:color w:val="auto"/>
                <w:kern w:val="0"/>
                <w:sz w:val="24"/>
                <w:szCs w:val="24"/>
                <w:lang w:val="en-US" w:eastAsia="zh-CN"/>
              </w:rPr>
              <w:t xml:space="preserve">10 </w:t>
            </w:r>
            <w:r>
              <w:rPr>
                <w:rFonts w:hint="default" w:ascii="Times New Roman" w:hAnsi="Times New Roman" w:eastAsia="宋体" w:cs="Times New Roman"/>
                <w:b/>
                <w:color w:val="auto"/>
                <w:kern w:val="0"/>
                <w:sz w:val="24"/>
                <w:szCs w:val="24"/>
              </w:rPr>
              <w:t>大气污染物厂内无组织排放限值（单位：mg/m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9"/>
              <w:gridCol w:w="1385"/>
              <w:gridCol w:w="2780"/>
              <w:gridCol w:w="1430"/>
              <w:gridCol w:w="2378"/>
            </w:tblGrid>
            <w:tr w14:paraId="682C6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4" w:type="dxa"/>
                  <w:vAlign w:val="center"/>
                </w:tcPr>
                <w:p w14:paraId="5A56AF4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289" w:type="dxa"/>
                  <w:vAlign w:val="center"/>
                </w:tcPr>
                <w:p w14:paraId="4A8E5F6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特别排放限值（mg/m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2588" w:type="dxa"/>
                  <w:vAlign w:val="center"/>
                </w:tcPr>
                <w:p w14:paraId="52EFBA6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限值含义</w:t>
                  </w:r>
                </w:p>
              </w:tc>
              <w:tc>
                <w:tcPr>
                  <w:tcW w:w="1331" w:type="dxa"/>
                  <w:vAlign w:val="center"/>
                </w:tcPr>
                <w:p w14:paraId="51CDF6A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无组织排放监控位置</w:t>
                  </w:r>
                </w:p>
              </w:tc>
              <w:tc>
                <w:tcPr>
                  <w:tcW w:w="2214" w:type="dxa"/>
                  <w:vAlign w:val="center"/>
                </w:tcPr>
                <w:p w14:paraId="657C2F38">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标准来源</w:t>
                  </w:r>
                </w:p>
              </w:tc>
            </w:tr>
            <w:tr w14:paraId="46F35F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4" w:type="dxa"/>
                  <w:vMerge w:val="restart"/>
                  <w:vAlign w:val="center"/>
                </w:tcPr>
                <w:p w14:paraId="0B69394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44"/>
                    </w:rPr>
                    <w:t>NMHC</w:t>
                  </w:r>
                </w:p>
              </w:tc>
              <w:tc>
                <w:tcPr>
                  <w:tcW w:w="1289" w:type="dxa"/>
                  <w:vAlign w:val="center"/>
                </w:tcPr>
                <w:p w14:paraId="5EC61AC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588" w:type="dxa"/>
                  <w:vAlign w:val="center"/>
                </w:tcPr>
                <w:p w14:paraId="70FE058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监控点处1h平均浓度值</w:t>
                  </w:r>
                </w:p>
              </w:tc>
              <w:tc>
                <w:tcPr>
                  <w:tcW w:w="1331" w:type="dxa"/>
                  <w:vMerge w:val="restart"/>
                  <w:vAlign w:val="center"/>
                </w:tcPr>
                <w:p w14:paraId="5C27FA7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在厂房外设置监控点</w:t>
                  </w:r>
                </w:p>
              </w:tc>
              <w:tc>
                <w:tcPr>
                  <w:tcW w:w="2214" w:type="dxa"/>
                  <w:vMerge w:val="restart"/>
                  <w:vAlign w:val="center"/>
                </w:tcPr>
                <w:p w14:paraId="04BFA39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themeColor="text1"/>
                      <w14:textFill>
                        <w14:solidFill>
                          <w14:schemeClr w14:val="tx1"/>
                        </w14:solidFill>
                      </w14:textFill>
                    </w:rPr>
                    <w:t>《固定源挥发性有机物综合排放标准：第6部分：其他行业》（DB34/ 4812.6-2024）</w:t>
                  </w:r>
                </w:p>
              </w:tc>
            </w:tr>
            <w:tr w14:paraId="1C30B6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 w:hRule="atLeast"/>
              </w:trPr>
              <w:tc>
                <w:tcPr>
                  <w:tcW w:w="884" w:type="dxa"/>
                  <w:vMerge w:val="continue"/>
                  <w:vAlign w:val="center"/>
                </w:tcPr>
                <w:p w14:paraId="01A3793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44"/>
                    </w:rPr>
                  </w:pPr>
                </w:p>
              </w:tc>
              <w:tc>
                <w:tcPr>
                  <w:tcW w:w="1289" w:type="dxa"/>
                  <w:vAlign w:val="center"/>
                </w:tcPr>
                <w:p w14:paraId="776DB99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2588" w:type="dxa"/>
                  <w:vAlign w:val="center"/>
                </w:tcPr>
                <w:p w14:paraId="477515A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监控点处任意一次浓度值</w:t>
                  </w:r>
                </w:p>
              </w:tc>
              <w:tc>
                <w:tcPr>
                  <w:tcW w:w="1331" w:type="dxa"/>
                  <w:vMerge w:val="continue"/>
                  <w:vAlign w:val="center"/>
                </w:tcPr>
                <w:p w14:paraId="71CC26D7">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c>
                <w:tcPr>
                  <w:tcW w:w="2214" w:type="dxa"/>
                  <w:vMerge w:val="continue"/>
                  <w:vAlign w:val="center"/>
                </w:tcPr>
                <w:p w14:paraId="3FFB066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rPr>
                  </w:pPr>
                </w:p>
              </w:tc>
            </w:tr>
          </w:tbl>
          <w:p w14:paraId="0C90FD7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废水排放标准</w:t>
            </w:r>
          </w:p>
          <w:bookmarkEnd w:id="18"/>
          <w:p w14:paraId="3159617A">
            <w:pPr>
              <w:spacing w:line="360" w:lineRule="auto"/>
              <w:ind w:left="105" w:leftChars="50" w:right="105" w:rightChars="5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项目排水实行雨污分流制，</w:t>
            </w:r>
            <w:r>
              <w:rPr>
                <w:rFonts w:hint="default" w:ascii="Times New Roman" w:hAnsi="Times New Roman" w:eastAsia="宋体" w:cs="Times New Roman"/>
                <w:color w:val="auto"/>
                <w:kern w:val="0"/>
                <w:sz w:val="24"/>
                <w:szCs w:val="24"/>
              </w:rPr>
              <w:t>项目生活污水经</w:t>
            </w:r>
            <w:r>
              <w:rPr>
                <w:rFonts w:hint="default" w:ascii="Times New Roman" w:hAnsi="Times New Roman" w:eastAsia="宋体" w:cs="Times New Roman"/>
                <w:color w:val="auto"/>
                <w:kern w:val="0"/>
                <w:sz w:val="24"/>
                <w:szCs w:val="24"/>
                <w:lang w:eastAsia="zh-CN"/>
              </w:rPr>
              <w:t>化粪池</w:t>
            </w:r>
            <w:r>
              <w:rPr>
                <w:rFonts w:hint="default" w:ascii="Times New Roman" w:hAnsi="Times New Roman" w:eastAsia="宋体" w:cs="Times New Roman"/>
                <w:color w:val="auto"/>
                <w:kern w:val="0"/>
                <w:sz w:val="24"/>
                <w:szCs w:val="24"/>
              </w:rPr>
              <w:t>预处理，生产废水经自建污水处理站预处理，预处理达到</w:t>
            </w:r>
            <w:r>
              <w:rPr>
                <w:rFonts w:hint="default" w:ascii="Times New Roman" w:hAnsi="Times New Roman" w:eastAsia="宋体" w:cs="Times New Roman"/>
                <w:color w:val="auto"/>
                <w:kern w:val="0"/>
                <w:sz w:val="24"/>
                <w:szCs w:val="24"/>
                <w:lang w:eastAsia="zh-CN"/>
              </w:rPr>
              <w:t>宿州市曹村污水处理厂</w:t>
            </w:r>
            <w:r>
              <w:rPr>
                <w:rFonts w:hint="default" w:ascii="Times New Roman" w:hAnsi="Times New Roman" w:eastAsia="宋体" w:cs="Times New Roman"/>
                <w:color w:val="auto"/>
                <w:kern w:val="0"/>
                <w:sz w:val="24"/>
                <w:szCs w:val="24"/>
              </w:rPr>
              <w:t>接管标准及《污水综合排放标准》（GB8978-1996）表4中三级标准限值要求后汇同浓水通过废水总排口纳管进入</w:t>
            </w:r>
            <w:r>
              <w:rPr>
                <w:rFonts w:hint="default" w:ascii="Times New Roman" w:hAnsi="Times New Roman" w:eastAsia="宋体" w:cs="Times New Roman"/>
                <w:color w:val="auto"/>
                <w:kern w:val="0"/>
                <w:sz w:val="24"/>
                <w:szCs w:val="24"/>
                <w:lang w:eastAsia="zh-CN"/>
              </w:rPr>
              <w:t>宿州市曹村污水处理厂</w:t>
            </w:r>
            <w:r>
              <w:rPr>
                <w:rFonts w:hint="default" w:ascii="Times New Roman" w:hAnsi="Times New Roman" w:eastAsia="宋体" w:cs="Times New Roman"/>
                <w:color w:val="auto"/>
                <w:kern w:val="0"/>
                <w:sz w:val="24"/>
                <w:szCs w:val="24"/>
              </w:rPr>
              <w:t>处理，处理尾水满足</w:t>
            </w:r>
            <w:bookmarkStart w:id="22" w:name="OLE_LINK58"/>
            <w:r>
              <w:rPr>
                <w:rFonts w:hint="default" w:ascii="Times New Roman" w:hAnsi="Times New Roman" w:eastAsia="宋体" w:cs="Times New Roman"/>
                <w:color w:val="auto"/>
                <w:kern w:val="0"/>
                <w:sz w:val="24"/>
                <w:szCs w:val="24"/>
              </w:rPr>
              <w:t>《城镇污水处理厂污染物排放标准》（GB18918-2002）</w:t>
            </w:r>
            <w:bookmarkEnd w:id="22"/>
            <w:r>
              <w:rPr>
                <w:rFonts w:hint="default" w:ascii="Times New Roman" w:hAnsi="Times New Roman" w:eastAsia="宋体" w:cs="Times New Roman"/>
                <w:color w:val="auto"/>
                <w:kern w:val="0"/>
                <w:sz w:val="24"/>
                <w:szCs w:val="24"/>
              </w:rPr>
              <w:t>中一级A标准后最终排入淝河。</w:t>
            </w:r>
          </w:p>
          <w:p w14:paraId="4CFD609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color w:val="auto"/>
                <w:sz w:val="24"/>
                <w:szCs w:val="24"/>
              </w:rPr>
              <w:t>表3-1</w:t>
            </w:r>
            <w:r>
              <w:rPr>
                <w:rFonts w:hint="eastAsia" w:ascii="Times New Roman" w:hAnsi="Times New Roman" w:eastAsia="宋体" w:cs="Times New Roman"/>
                <w:b/>
                <w:color w:val="auto"/>
                <w:sz w:val="24"/>
                <w:szCs w:val="24"/>
                <w:lang w:val="en-US" w:eastAsia="zh-CN"/>
              </w:rPr>
              <w:t xml:space="preserve">1 </w:t>
            </w:r>
            <w:r>
              <w:rPr>
                <w:rFonts w:hint="default" w:ascii="Times New Roman" w:hAnsi="Times New Roman" w:eastAsia="宋体" w:cs="Times New Roman"/>
                <w:b/>
                <w:color w:val="auto"/>
                <w:sz w:val="24"/>
                <w:szCs w:val="24"/>
              </w:rPr>
              <w:t>污水排放标准</w:t>
            </w:r>
            <w:r>
              <w:rPr>
                <w:rFonts w:hint="default" w:ascii="Times New Roman" w:hAnsi="Times New Roman" w:eastAsia="宋体" w:cs="Times New Roman"/>
                <w:b/>
                <w:bCs/>
                <w:color w:val="auto"/>
                <w:sz w:val="24"/>
                <w:szCs w:val="24"/>
              </w:rPr>
              <w:t>单位：mg/L，除pH外</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6"/>
              <w:gridCol w:w="620"/>
              <w:gridCol w:w="758"/>
              <w:gridCol w:w="836"/>
              <w:gridCol w:w="609"/>
              <w:gridCol w:w="929"/>
              <w:gridCol w:w="559"/>
              <w:gridCol w:w="704"/>
              <w:gridCol w:w="550"/>
              <w:gridCol w:w="550"/>
              <w:gridCol w:w="551"/>
            </w:tblGrid>
            <w:tr w14:paraId="18F72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jc w:val="center"/>
              </w:trPr>
              <w:tc>
                <w:tcPr>
                  <w:tcW w:w="1263" w:type="pct"/>
                  <w:vAlign w:val="center"/>
                </w:tcPr>
                <w:p w14:paraId="2F6F171C">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标准来源</w:t>
                  </w:r>
                </w:p>
              </w:tc>
              <w:tc>
                <w:tcPr>
                  <w:tcW w:w="347" w:type="pct"/>
                  <w:vAlign w:val="center"/>
                </w:tcPr>
                <w:p w14:paraId="53D664F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424" w:type="pct"/>
                  <w:vAlign w:val="center"/>
                </w:tcPr>
                <w:p w14:paraId="62ED134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468" w:type="pct"/>
                  <w:vAlign w:val="center"/>
                </w:tcPr>
                <w:p w14:paraId="3C087A2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341" w:type="pct"/>
                  <w:vAlign w:val="center"/>
                </w:tcPr>
                <w:p w14:paraId="2C44213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520" w:type="pct"/>
                  <w:vAlign w:val="center"/>
                </w:tcPr>
                <w:p w14:paraId="4CB9E62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313" w:type="pct"/>
                  <w:vAlign w:val="center"/>
                </w:tcPr>
                <w:p w14:paraId="12C0785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石油类</w:t>
                  </w:r>
                </w:p>
              </w:tc>
              <w:tc>
                <w:tcPr>
                  <w:tcW w:w="394" w:type="pct"/>
                  <w:vAlign w:val="center"/>
                </w:tcPr>
                <w:p w14:paraId="7CD4435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LAS</w:t>
                  </w:r>
                </w:p>
              </w:tc>
              <w:tc>
                <w:tcPr>
                  <w:tcW w:w="308" w:type="pct"/>
                  <w:vAlign w:val="center"/>
                </w:tcPr>
                <w:p w14:paraId="2A0AD8D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308" w:type="pct"/>
                  <w:vAlign w:val="center"/>
                </w:tcPr>
                <w:p w14:paraId="7D2DB83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总锌</w:t>
                  </w:r>
                </w:p>
              </w:tc>
              <w:tc>
                <w:tcPr>
                  <w:tcW w:w="308" w:type="pct"/>
                  <w:vAlign w:val="center"/>
                </w:tcPr>
                <w:p w14:paraId="5E024AA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总锰</w:t>
                  </w:r>
                </w:p>
              </w:tc>
            </w:tr>
            <w:tr w14:paraId="112E7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1263" w:type="pct"/>
                  <w:vAlign w:val="center"/>
                </w:tcPr>
                <w:p w14:paraId="5C859AA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污水处理厂接管标准</w:t>
                  </w:r>
                </w:p>
              </w:tc>
              <w:tc>
                <w:tcPr>
                  <w:tcW w:w="347" w:type="pct"/>
                  <w:vAlign w:val="center"/>
                </w:tcPr>
                <w:p w14:paraId="0C8A355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424" w:type="pct"/>
                  <w:vAlign w:val="center"/>
                </w:tcPr>
                <w:p w14:paraId="2D2BE63A">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c>
                <w:tcPr>
                  <w:tcW w:w="468" w:type="pct"/>
                  <w:vAlign w:val="center"/>
                </w:tcPr>
                <w:p w14:paraId="082C005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341" w:type="pct"/>
                  <w:vAlign w:val="center"/>
                </w:tcPr>
                <w:p w14:paraId="1B159EB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w:t>
                  </w:r>
                </w:p>
              </w:tc>
              <w:tc>
                <w:tcPr>
                  <w:tcW w:w="520" w:type="pct"/>
                  <w:vAlign w:val="center"/>
                </w:tcPr>
                <w:p w14:paraId="277774AE">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313" w:type="pct"/>
                  <w:vAlign w:val="center"/>
                </w:tcPr>
                <w:p w14:paraId="2CC3FDA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94" w:type="pct"/>
                  <w:vAlign w:val="center"/>
                </w:tcPr>
                <w:p w14:paraId="75E672E3">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08" w:type="pct"/>
                  <w:vAlign w:val="center"/>
                </w:tcPr>
                <w:p w14:paraId="36D5947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w:t>
                  </w:r>
                </w:p>
              </w:tc>
              <w:tc>
                <w:tcPr>
                  <w:tcW w:w="308" w:type="pct"/>
                  <w:vAlign w:val="center"/>
                </w:tcPr>
                <w:p w14:paraId="3AAE507C">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08" w:type="pct"/>
                  <w:vAlign w:val="center"/>
                </w:tcPr>
                <w:p w14:paraId="4C526D0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1FD86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1263" w:type="pct"/>
                  <w:vAlign w:val="center"/>
                </w:tcPr>
                <w:p w14:paraId="3F2E522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《污水综合排放标准》（GB8978-1996）三级标准</w:t>
                  </w:r>
                </w:p>
              </w:tc>
              <w:tc>
                <w:tcPr>
                  <w:tcW w:w="347" w:type="pct"/>
                  <w:vAlign w:val="center"/>
                </w:tcPr>
                <w:p w14:paraId="6F117DC6">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424" w:type="pct"/>
                  <w:vAlign w:val="center"/>
                </w:tcPr>
                <w:p w14:paraId="0D13013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c>
                <w:tcPr>
                  <w:tcW w:w="468" w:type="pct"/>
                  <w:vAlign w:val="center"/>
                </w:tcPr>
                <w:p w14:paraId="2D21ED80">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w:t>
                  </w:r>
                </w:p>
              </w:tc>
              <w:tc>
                <w:tcPr>
                  <w:tcW w:w="341" w:type="pct"/>
                  <w:vAlign w:val="center"/>
                </w:tcPr>
                <w:p w14:paraId="09A11787">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w:t>
                  </w:r>
                </w:p>
              </w:tc>
              <w:tc>
                <w:tcPr>
                  <w:tcW w:w="520" w:type="pct"/>
                  <w:vAlign w:val="center"/>
                </w:tcPr>
                <w:p w14:paraId="0410493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13" w:type="pct"/>
                  <w:vAlign w:val="center"/>
                </w:tcPr>
                <w:p w14:paraId="7FD5C58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394" w:type="pct"/>
                  <w:vAlign w:val="center"/>
                </w:tcPr>
                <w:p w14:paraId="4706CFB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308" w:type="pct"/>
                  <w:vAlign w:val="center"/>
                </w:tcPr>
                <w:p w14:paraId="4FD459AD">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08" w:type="pct"/>
                  <w:vAlign w:val="center"/>
                </w:tcPr>
                <w:p w14:paraId="20810F67">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308" w:type="pct"/>
                  <w:vAlign w:val="center"/>
                </w:tcPr>
                <w:p w14:paraId="123895D2">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14:paraId="40453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1263" w:type="pct"/>
                  <w:vAlign w:val="center"/>
                </w:tcPr>
                <w:p w14:paraId="4B80E4C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本项目执行标准</w:t>
                  </w:r>
                </w:p>
              </w:tc>
              <w:tc>
                <w:tcPr>
                  <w:tcW w:w="347" w:type="pct"/>
                  <w:vAlign w:val="center"/>
                </w:tcPr>
                <w:p w14:paraId="2AD5C0DF">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424" w:type="pct"/>
                  <w:vAlign w:val="center"/>
                </w:tcPr>
                <w:p w14:paraId="6554FA4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c>
                <w:tcPr>
                  <w:tcW w:w="468" w:type="pct"/>
                  <w:vAlign w:val="center"/>
                </w:tcPr>
                <w:p w14:paraId="0812A31B">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341" w:type="pct"/>
                  <w:vAlign w:val="center"/>
                </w:tcPr>
                <w:p w14:paraId="4E07FB7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w:t>
                  </w:r>
                </w:p>
              </w:tc>
              <w:tc>
                <w:tcPr>
                  <w:tcW w:w="520" w:type="pct"/>
                  <w:vAlign w:val="center"/>
                </w:tcPr>
                <w:p w14:paraId="2346774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313" w:type="pct"/>
                  <w:vAlign w:val="center"/>
                </w:tcPr>
                <w:p w14:paraId="615A5BA5">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394" w:type="pct"/>
                  <w:vAlign w:val="center"/>
                </w:tcPr>
                <w:p w14:paraId="627AB104">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308" w:type="pct"/>
                  <w:vAlign w:val="center"/>
                </w:tcPr>
                <w:p w14:paraId="65C69B21">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w:t>
                  </w:r>
                </w:p>
              </w:tc>
              <w:tc>
                <w:tcPr>
                  <w:tcW w:w="308" w:type="pct"/>
                  <w:vAlign w:val="center"/>
                </w:tcPr>
                <w:p w14:paraId="0F3A3009">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308" w:type="pct"/>
                  <w:vAlign w:val="center"/>
                </w:tcPr>
                <w:p w14:paraId="46518417">
                  <w:pPr>
                    <w:pStyle w:val="3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bl>
          <w:p w14:paraId="326E797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lang w:val="en-US" w:eastAsia="zh-CN"/>
              </w:rPr>
              <w:t>3、</w:t>
            </w:r>
            <w:r>
              <w:rPr>
                <w:rFonts w:hint="default" w:ascii="Times New Roman" w:hAnsi="Times New Roman" w:eastAsia="宋体" w:cs="Times New Roman"/>
                <w:b/>
                <w:color w:val="auto"/>
                <w:kern w:val="0"/>
                <w:sz w:val="24"/>
                <w:szCs w:val="24"/>
              </w:rPr>
              <w:t>噪声排放标准</w:t>
            </w:r>
          </w:p>
          <w:p w14:paraId="6F17F33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项目运营期厂界噪声排放执行《工业企业厂界环境噪声排放标准》（GB12348-2008）中3类排放限值；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敏感目标三环小区满足2类标准，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详见下表。</w:t>
            </w:r>
          </w:p>
          <w:p w14:paraId="04D9FD91">
            <w:pPr>
              <w:pStyle w:val="59"/>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3-12</w:t>
            </w:r>
            <w:r>
              <w:rPr>
                <w:rFonts w:hint="default" w:ascii="Times New Roman" w:hAnsi="Times New Roman" w:eastAsia="宋体" w:cs="Times New Roman"/>
                <w:b/>
                <w:color w:val="auto"/>
                <w:kern w:val="2"/>
                <w:sz w:val="24"/>
                <w:szCs w:val="24"/>
                <w:lang w:val="en-US" w:eastAsia="zh-CN" w:bidi="ar-SA"/>
              </w:rPr>
              <w:t xml:space="preserve"> 项目运营期噪声排放执行标准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5"/>
              <w:gridCol w:w="3434"/>
              <w:gridCol w:w="2749"/>
            </w:tblGrid>
            <w:tr w14:paraId="4DCA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3" w:type="pct"/>
                  <w:tcBorders>
                    <w:tl2br w:val="nil"/>
                    <w:tr2bl w:val="nil"/>
                  </w:tcBorders>
                  <w:vAlign w:val="center"/>
                </w:tcPr>
                <w:p w14:paraId="39E157E7">
                  <w:pPr>
                    <w:pStyle w:val="4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类别</w:t>
                  </w:r>
                </w:p>
              </w:tc>
              <w:tc>
                <w:tcPr>
                  <w:tcW w:w="1925" w:type="pct"/>
                  <w:tcBorders>
                    <w:tl2br w:val="nil"/>
                    <w:tr2bl w:val="nil"/>
                  </w:tcBorders>
                  <w:vAlign w:val="center"/>
                </w:tcPr>
                <w:p w14:paraId="14F6038D">
                  <w:pPr>
                    <w:pStyle w:val="4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 dB（A）</w:t>
                  </w:r>
                </w:p>
              </w:tc>
              <w:tc>
                <w:tcPr>
                  <w:tcW w:w="1541" w:type="pct"/>
                  <w:tcBorders>
                    <w:tl2br w:val="nil"/>
                    <w:tr2bl w:val="nil"/>
                  </w:tcBorders>
                  <w:vAlign w:val="center"/>
                </w:tcPr>
                <w:p w14:paraId="3CF2E867">
                  <w:pPr>
                    <w:pStyle w:val="4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夜间 dB（A）</w:t>
                  </w:r>
                </w:p>
              </w:tc>
            </w:tr>
            <w:tr w14:paraId="646E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3" w:type="pct"/>
                  <w:tcBorders>
                    <w:tl2br w:val="nil"/>
                    <w:tr2bl w:val="nil"/>
                  </w:tcBorders>
                  <w:vAlign w:val="center"/>
                </w:tcPr>
                <w:p w14:paraId="6E05903A">
                  <w:pPr>
                    <w:pStyle w:val="4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3类标准</w:t>
                  </w:r>
                </w:p>
              </w:tc>
              <w:tc>
                <w:tcPr>
                  <w:tcW w:w="1925" w:type="pct"/>
                  <w:tcBorders>
                    <w:tl2br w:val="nil"/>
                    <w:tr2bl w:val="nil"/>
                  </w:tcBorders>
                  <w:vAlign w:val="center"/>
                </w:tcPr>
                <w:p w14:paraId="667AE52C">
                  <w:pPr>
                    <w:pStyle w:val="4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65</w:t>
                  </w:r>
                </w:p>
              </w:tc>
              <w:tc>
                <w:tcPr>
                  <w:tcW w:w="1541" w:type="pct"/>
                  <w:tcBorders>
                    <w:tl2br w:val="nil"/>
                    <w:tr2bl w:val="nil"/>
                  </w:tcBorders>
                  <w:vAlign w:val="center"/>
                </w:tcPr>
                <w:p w14:paraId="13B6BC9A">
                  <w:pPr>
                    <w:pStyle w:val="4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55</w:t>
                  </w:r>
                </w:p>
              </w:tc>
            </w:tr>
            <w:tr w14:paraId="1BF0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3" w:type="pct"/>
                  <w:tcBorders>
                    <w:tl2br w:val="nil"/>
                    <w:tr2bl w:val="nil"/>
                  </w:tcBorders>
                  <w:vAlign w:val="center"/>
                </w:tcPr>
                <w:p w14:paraId="1CF91430">
                  <w:pPr>
                    <w:pStyle w:val="40"/>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类标准</w:t>
                  </w:r>
                </w:p>
              </w:tc>
              <w:tc>
                <w:tcPr>
                  <w:tcW w:w="1925" w:type="pct"/>
                  <w:tcBorders>
                    <w:tl2br w:val="nil"/>
                    <w:tr2bl w:val="nil"/>
                  </w:tcBorders>
                  <w:vAlign w:val="center"/>
                </w:tcPr>
                <w:p w14:paraId="3CB07D74">
                  <w:pPr>
                    <w:pStyle w:val="4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1541" w:type="pct"/>
                  <w:tcBorders>
                    <w:tl2br w:val="nil"/>
                    <w:tr2bl w:val="nil"/>
                  </w:tcBorders>
                  <w:vAlign w:val="center"/>
                </w:tcPr>
                <w:p w14:paraId="545B26A5">
                  <w:pPr>
                    <w:pStyle w:val="4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r>
          </w:tbl>
          <w:p w14:paraId="42FBCC5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lang w:val="en-US" w:eastAsia="zh-CN"/>
              </w:rPr>
              <w:t>4、</w:t>
            </w:r>
            <w:r>
              <w:rPr>
                <w:rFonts w:hint="default" w:ascii="Times New Roman" w:hAnsi="Times New Roman" w:eastAsia="宋体" w:cs="Times New Roman"/>
                <w:b/>
                <w:color w:val="auto"/>
                <w:kern w:val="0"/>
                <w:sz w:val="24"/>
                <w:szCs w:val="24"/>
              </w:rPr>
              <w:t>固体废物存储、处置标准</w:t>
            </w:r>
          </w:p>
          <w:p w14:paraId="3EDE0AE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kern w:val="0"/>
                <w:highlight w:val="yellow"/>
              </w:rPr>
            </w:pPr>
            <w:r>
              <w:rPr>
                <w:rFonts w:hint="default" w:ascii="Times New Roman" w:hAnsi="Times New Roman" w:eastAsia="宋体" w:cs="Times New Roman"/>
                <w:color w:val="000000" w:themeColor="text1"/>
                <w:sz w:val="24"/>
                <w:szCs w:val="24"/>
                <w14:textFill>
                  <w14:solidFill>
                    <w14:schemeClr w14:val="tx1"/>
                  </w14:solidFill>
                </w14:textFill>
              </w:rPr>
              <w:t>一般工业固体废物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14:textFill>
                  <w14:solidFill>
                    <w14:schemeClr w14:val="tx1"/>
                  </w14:solidFill>
                </w14:textFill>
              </w:rPr>
              <w:t>《一般工业固体废物贮存和填埋污染控制标准》（GB18599-2020）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中相关要求执行，</w:t>
            </w:r>
            <w:r>
              <w:rPr>
                <w:rFonts w:hint="default" w:ascii="Times New Roman" w:hAnsi="Times New Roman" w:eastAsia="宋体" w:cs="Times New Roman"/>
                <w:color w:val="000000" w:themeColor="text1"/>
                <w:sz w:val="24"/>
                <w:szCs w:val="24"/>
                <w14:textFill>
                  <w14:solidFill>
                    <w14:schemeClr w14:val="tx1"/>
                  </w14:solidFill>
                </w14:textFill>
              </w:rPr>
              <w:t>危险固废的暂存及污染控制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按照</w:t>
            </w:r>
            <w:r>
              <w:rPr>
                <w:rFonts w:hint="default" w:ascii="Times New Roman" w:hAnsi="Times New Roman" w:eastAsia="宋体" w:cs="Times New Roman"/>
                <w:color w:val="000000" w:themeColor="text1"/>
                <w:sz w:val="24"/>
                <w:szCs w:val="24"/>
                <w14:textFill>
                  <w14:solidFill>
                    <w14:schemeClr w14:val="tx1"/>
                  </w14:solidFill>
                </w14:textFill>
              </w:rPr>
              <w:t>《危险废物贮存污染控制标准》（GB18597-2023）中相关要求执行。</w:t>
            </w:r>
          </w:p>
        </w:tc>
      </w:tr>
      <w:tr w14:paraId="398C9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30B235A1">
            <w:pPr>
              <w:adjustRightInd w:val="0"/>
              <w:snapToGrid w:val="0"/>
              <w:spacing w:line="360" w:lineRule="auto"/>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总量</w:t>
            </w:r>
          </w:p>
          <w:p w14:paraId="43AF6C65">
            <w:pPr>
              <w:adjustRightInd w:val="0"/>
              <w:snapToGrid w:val="0"/>
              <w:spacing w:line="360" w:lineRule="auto"/>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控制</w:t>
            </w:r>
          </w:p>
          <w:p w14:paraId="58512115">
            <w:pPr>
              <w:adjustRightInd w:val="0"/>
              <w:snapToGrid w:val="0"/>
              <w:spacing w:line="360" w:lineRule="auto"/>
              <w:jc w:val="center"/>
              <w:rPr>
                <w:rFonts w:hint="default" w:ascii="Times New Roman" w:hAnsi="Times New Roman" w:eastAsia="宋体" w:cs="Times New Roman"/>
                <w:color w:val="FF0000"/>
                <w:kern w:val="0"/>
                <w:sz w:val="24"/>
                <w:szCs w:val="24"/>
                <w:highlight w:val="yellow"/>
              </w:rPr>
            </w:pPr>
            <w:r>
              <w:rPr>
                <w:rFonts w:hint="default" w:ascii="Times New Roman" w:hAnsi="Times New Roman" w:eastAsia="宋体" w:cs="Times New Roman"/>
                <w:color w:val="000000" w:themeColor="text1"/>
                <w:kern w:val="0"/>
                <w:sz w:val="24"/>
                <w:szCs w:val="24"/>
                <w14:textFill>
                  <w14:solidFill>
                    <w14:schemeClr w14:val="tx1"/>
                  </w14:solidFill>
                </w14:textFill>
              </w:rPr>
              <w:t>指标</w:t>
            </w:r>
          </w:p>
        </w:tc>
        <w:tc>
          <w:tcPr>
            <w:tcW w:w="9148" w:type="dxa"/>
          </w:tcPr>
          <w:p w14:paraId="267832C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szCs w:val="24"/>
                <w14:textFill>
                  <w14:solidFill>
                    <w14:schemeClr w14:val="tx1"/>
                  </w14:solidFill>
                </w14:textFill>
              </w:rPr>
              <w:t>总量控制指标</w:t>
            </w:r>
          </w:p>
          <w:p w14:paraId="795A8D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根据宿州市生态环境局发布《建设项目主要污染物排放总量指标核定表（试行）》，本项目许可排放总量为：</w:t>
            </w:r>
            <w:r>
              <w:rPr>
                <w:rFonts w:hint="eastAsia" w:ascii="Times New Roman" w:hAnsi="Times New Roman" w:eastAsia="宋体" w:cs="Times New Roman"/>
                <w:color w:val="000000" w:themeColor="text1"/>
                <w:sz w:val="24"/>
                <w:szCs w:val="24"/>
                <w:lang w:eastAsia="zh-CN"/>
                <w14:textFill>
                  <w14:solidFill>
                    <w14:schemeClr w14:val="tx1"/>
                  </w14:solidFill>
                </w14:textFill>
              </w:rPr>
              <w:t>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w:t>
            </w:r>
            <w:r>
              <w:rPr>
                <w:rFonts w:hint="eastAsia" w:ascii="Times New Roman" w:hAnsi="Times New Roman" w:eastAsia="宋体" w:cs="Times New Roman"/>
                <w:color w:val="000000" w:themeColor="text1"/>
                <w:sz w:val="24"/>
                <w:szCs w:val="24"/>
                <w:lang w:eastAsia="zh-CN"/>
                <w14:textFill>
                  <w14:solidFill>
                    <w14:schemeClr w14:val="tx1"/>
                  </w14:solidFill>
                </w14:textFill>
              </w:rPr>
              <w:t>t/a，挥发性有机物：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0.447</w:t>
            </w:r>
            <w:r>
              <w:rPr>
                <w:rFonts w:hint="eastAsia" w:ascii="Times New Roman" w:hAnsi="Times New Roman" w:eastAsia="宋体" w:cs="Times New Roman"/>
                <w:color w:val="000000" w:themeColor="text1"/>
                <w:sz w:val="24"/>
                <w:szCs w:val="24"/>
                <w:lang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：0.012</w:t>
            </w:r>
            <w:r>
              <w:rPr>
                <w:rFonts w:hint="eastAsia" w:ascii="Times New Roman" w:hAnsi="Times New Roman" w:eastAsia="宋体" w:cs="Times New Roman"/>
                <w:color w:val="000000" w:themeColor="text1"/>
                <w:sz w:val="24"/>
                <w:szCs w:val="24"/>
                <w:lang w:eastAsia="zh-CN"/>
                <w14:textFill>
                  <w14:solidFill>
                    <w14:schemeClr w14:val="tx1"/>
                  </w14:solidFill>
                </w14:textFill>
              </w:rPr>
              <w:t>t/a</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、氮氧化物：0.112</w:t>
            </w:r>
            <w:r>
              <w:rPr>
                <w:rFonts w:hint="eastAsia" w:ascii="Times New Roman" w:hAnsi="Times New Roman" w:eastAsia="宋体" w:cs="Times New Roman"/>
                <w:color w:val="000000" w:themeColor="text1"/>
                <w:sz w:val="24"/>
                <w:szCs w:val="24"/>
                <w:lang w:eastAsia="zh-CN"/>
                <w14:textFill>
                  <w14:solidFill>
                    <w14:schemeClr w14:val="tx1"/>
                  </w14:solidFill>
                </w14:textFill>
              </w:rPr>
              <w:t>t/a。</w:t>
            </w:r>
          </w:p>
          <w:p w14:paraId="39416E56">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根据《安徽博钧机械</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设备有限公司年加工制造8000 套工程机械金属构件项目》（已获批）核算颗粒物允许排放量为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0.8518</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t/a；非甲烷总烃允许排放量为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0.4239</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t/a；SO</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允许排放量为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0.0108</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t/a；NO</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允许排放量为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0.096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t/a；COD允许排放量为2.917t/a；NH-N</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允许排放量为0.156t/a。</w:t>
            </w:r>
          </w:p>
          <w:p w14:paraId="16518AAF">
            <w:pPr>
              <w:pStyle w:val="10"/>
              <w:keepNext w:val="0"/>
              <w:keepLines w:val="0"/>
              <w:pageBreakBefore w:val="0"/>
              <w:widowControl/>
              <w:kinsoku/>
              <w:wordWrap/>
              <w:overflowPunct/>
              <w:topLinePunct w:val="0"/>
              <w:autoSpaceDE w:val="0"/>
              <w:autoSpaceDN w:val="0"/>
              <w:bidi w:val="0"/>
              <w:adjustRightInd/>
              <w:snapToGrid/>
              <w:spacing w:after="0" w:line="360" w:lineRule="auto"/>
              <w:ind w:left="0" w:leftChars="0" w:firstLine="480" w:firstLineChars="200"/>
              <w:textAlignment w:val="baseline"/>
              <w:rPr>
                <w:rFonts w:hint="eastAsia"/>
                <w:color w:val="000000" w:themeColor="text1"/>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根据计算本项目污染物排放总量为</w:t>
            </w:r>
            <w:r>
              <w:rPr>
                <w:rFonts w:hint="eastAsia" w:ascii="Times New Roman" w:hAnsi="Times New Roman" w:eastAsia="宋体" w:cs="Times New Roman"/>
                <w:color w:val="000000" w:themeColor="text1"/>
                <w:sz w:val="24"/>
                <w:lang w:eastAsia="zh-CN"/>
                <w14:textFill>
                  <w14:solidFill>
                    <w14:schemeClr w14:val="tx1"/>
                  </w14:solidFill>
                </w14:textFill>
              </w:rPr>
              <w:t>颗粒物：</w:t>
            </w:r>
            <w:r>
              <w:rPr>
                <w:rFonts w:hint="eastAsia" w:ascii="Times New Roman" w:hAnsi="Times New Roman" w:eastAsia="宋体" w:cs="Times New Roman"/>
                <w:color w:val="000000" w:themeColor="text1"/>
                <w:sz w:val="24"/>
                <w:lang w:val="en-US" w:eastAsia="zh-CN"/>
                <w14:textFill>
                  <w14:solidFill>
                    <w14:schemeClr w14:val="tx1"/>
                  </w14:solidFill>
                </w14:textFill>
              </w:rPr>
              <w:t>0.3881</w:t>
            </w:r>
            <w:r>
              <w:rPr>
                <w:rFonts w:hint="eastAsia" w:ascii="Times New Roman" w:hAnsi="Times New Roman" w:eastAsia="宋体" w:cs="Times New Roman"/>
                <w:color w:val="000000" w:themeColor="text1"/>
                <w:sz w:val="24"/>
                <w:lang w:eastAsia="zh-CN"/>
                <w14:textFill>
                  <w14:solidFill>
                    <w14:schemeClr w14:val="tx1"/>
                  </w14:solidFill>
                </w14:textFill>
              </w:rPr>
              <w:t>t/a，</w:t>
            </w:r>
            <w:r>
              <w:rPr>
                <w:rFonts w:ascii="Times New Roman" w:hAnsi="Times New Roman" w:eastAsia="宋体" w:cs="Times New Roman"/>
                <w:color w:val="000000" w:themeColor="text1"/>
                <w:sz w:val="24"/>
                <w:lang w:eastAsia="zh-CN"/>
                <w14:textFill>
                  <w14:solidFill>
                    <w14:schemeClr w14:val="tx1"/>
                  </w14:solidFill>
                </w14:textFill>
              </w:rPr>
              <w:t>挥发性有机物</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0.1352</w:t>
            </w:r>
            <w:r>
              <w:rPr>
                <w:rFonts w:ascii="Times New Roman" w:hAnsi="Times New Roman" w:eastAsia="宋体" w:cs="Times New Roman"/>
                <w:color w:val="000000" w:themeColor="text1"/>
                <w:sz w:val="24"/>
                <w:lang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：0.006</w:t>
            </w:r>
            <w:r>
              <w:rPr>
                <w:rFonts w:hint="eastAsia" w:ascii="Times New Roman" w:hAnsi="Times New Roman" w:eastAsia="宋体" w:cs="Times New Roman"/>
                <w:color w:val="000000" w:themeColor="text1"/>
                <w:sz w:val="24"/>
                <w:lang w:eastAsia="zh-CN"/>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氮氧化物：0.009</w:t>
            </w:r>
            <w:r>
              <w:rPr>
                <w:rFonts w:hint="eastAsia" w:ascii="Times New Roman" w:hAnsi="Times New Roman" w:eastAsia="宋体" w:cs="Times New Roman"/>
                <w:color w:val="000000" w:themeColor="text1"/>
                <w:sz w:val="24"/>
                <w:lang w:eastAsia="zh-CN"/>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COD：1.132</w:t>
            </w:r>
            <w:r>
              <w:rPr>
                <w:rFonts w:hint="eastAsia" w:ascii="Times New Roman" w:hAnsi="Times New Roman" w:eastAsia="宋体" w:cs="Times New Roman"/>
                <w:color w:val="000000" w:themeColor="text1"/>
                <w:sz w:val="24"/>
                <w:lang w:eastAsia="zh-CN"/>
                <w14:textFill>
                  <w14:solidFill>
                    <w14:schemeClr w14:val="tx1"/>
                  </w14:solidFill>
                </w14:textFill>
              </w:rPr>
              <w:t>t/a，</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NH-N</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vertAlign w:val="baseline"/>
                <w:lang w:val="en-US" w:eastAsia="zh-CN" w:bidi="ar-SA"/>
                <w14:textFill>
                  <w14:solidFill>
                    <w14:schemeClr w14:val="tx1"/>
                  </w14:solidFill>
                </w14:textFill>
              </w:rPr>
              <w:t>：0.117</w:t>
            </w:r>
            <w:r>
              <w:rPr>
                <w:rFonts w:hint="eastAsia" w:ascii="Times New Roman" w:hAnsi="Times New Roman" w:eastAsia="宋体" w:cs="Times New Roman"/>
                <w:color w:val="000000" w:themeColor="text1"/>
                <w:sz w:val="24"/>
                <w:lang w:eastAsia="zh-CN"/>
                <w14:textFill>
                  <w14:solidFill>
                    <w14:schemeClr w14:val="tx1"/>
                  </w14:solidFill>
                </w14:textFill>
              </w:rPr>
              <w:t>t/a。</w:t>
            </w:r>
            <w:r>
              <w:rPr>
                <w:rFonts w:ascii="Times New Roman" w:hAnsi="Times New Roman" w:eastAsia="宋体" w:cs="Times New Roman"/>
                <w:color w:val="000000" w:themeColor="text1"/>
                <w:sz w:val="24"/>
                <w:lang w:eastAsia="zh-CN"/>
                <w14:textFill>
                  <w14:solidFill>
                    <w14:schemeClr w14:val="tx1"/>
                  </w14:solidFill>
                </w14:textFill>
              </w:rPr>
              <w:t>满足总量控制的要求。</w:t>
            </w:r>
          </w:p>
          <w:p w14:paraId="779B52D5">
            <w:pPr>
              <w:spacing w:line="360" w:lineRule="auto"/>
              <w:ind w:firstLine="480" w:firstLineChars="200"/>
              <w:rPr>
                <w:rFonts w:hint="default" w:ascii="Times New Roman" w:hAnsi="Times New Roman" w:eastAsia="宋体" w:cs="Times New Roman"/>
                <w:bCs/>
                <w:color w:val="FF0000"/>
                <w:sz w:val="24"/>
                <w:szCs w:val="24"/>
              </w:rPr>
            </w:pPr>
          </w:p>
          <w:p w14:paraId="5D4E4344">
            <w:pPr>
              <w:spacing w:line="360" w:lineRule="auto"/>
              <w:rPr>
                <w:rFonts w:hint="default" w:ascii="Times New Roman" w:hAnsi="Times New Roman" w:eastAsia="宋体" w:cs="Times New Roman"/>
                <w:bCs/>
                <w:color w:val="FF0000"/>
                <w:sz w:val="24"/>
                <w:szCs w:val="24"/>
              </w:rPr>
            </w:pPr>
          </w:p>
          <w:p w14:paraId="75F3194C">
            <w:pPr>
              <w:spacing w:line="360" w:lineRule="auto"/>
              <w:ind w:firstLine="480" w:firstLineChars="200"/>
              <w:rPr>
                <w:rFonts w:hint="default" w:ascii="Times New Roman" w:hAnsi="Times New Roman" w:eastAsia="宋体" w:cs="Times New Roman"/>
                <w:bCs/>
                <w:color w:val="FF0000"/>
                <w:sz w:val="24"/>
                <w:szCs w:val="24"/>
              </w:rPr>
            </w:pPr>
          </w:p>
        </w:tc>
      </w:tr>
    </w:tbl>
    <w:p w14:paraId="2CBEDD9A">
      <w:pPr>
        <w:bidi w:val="0"/>
        <w:rPr>
          <w:rFonts w:hint="eastAsia"/>
          <w:lang w:eastAsia="zh-CN"/>
        </w:rPr>
      </w:pPr>
    </w:p>
    <w:p w14:paraId="479100FD">
      <w:pPr>
        <w:pStyle w:val="20"/>
        <w:kinsoku/>
        <w:spacing w:before="0" w:beforeAutospacing="0" w:after="312" w:afterLines="100" w:afterAutospacing="0"/>
        <w:jc w:val="center"/>
        <w:outlineLvl w:val="0"/>
        <w:rPr>
          <w:rFonts w:hint="eastAsia" w:eastAsia="宋体" w:cs="宋体"/>
          <w:sz w:val="30"/>
          <w:szCs w:val="30"/>
          <w:lang w:eastAsia="zh-CN"/>
        </w:rPr>
        <w:sectPr>
          <w:footerReference r:id="rId4"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74242356">
      <w:pPr>
        <w:pStyle w:val="20"/>
        <w:kinsoku/>
        <w:spacing w:before="0" w:beforeAutospacing="0" w:after="312" w:afterLines="100" w:afterAutospacing="0"/>
        <w:jc w:val="center"/>
        <w:outlineLvl w:val="0"/>
        <w:rPr>
          <w:rFonts w:ascii="Times New Roman" w:hAnsi="Times New Roman"/>
          <w:sz w:val="30"/>
          <w:szCs w:val="30"/>
          <w:lang w:eastAsia="zh-CN"/>
        </w:rPr>
      </w:pPr>
      <w:r>
        <w:rPr>
          <w:rFonts w:hint="eastAsia" w:eastAsia="宋体" w:cs="宋体"/>
          <w:sz w:val="30"/>
          <w:szCs w:val="30"/>
          <w:lang w:eastAsia="zh-CN"/>
        </w:rPr>
        <w:t>四、主要环境影响和保护措施</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132"/>
      </w:tblGrid>
      <w:tr w14:paraId="72AA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687" w:type="dxa"/>
            <w:tcMar>
              <w:left w:w="28" w:type="dxa"/>
              <w:right w:w="28" w:type="dxa"/>
            </w:tcMar>
            <w:vAlign w:val="center"/>
          </w:tcPr>
          <w:p w14:paraId="296C83F8">
            <w:pPr>
              <w:pStyle w:val="20"/>
              <w:kinsoku/>
              <w:spacing w:before="0" w:beforeAutospacing="0" w:after="0" w:afterAutospacing="0"/>
              <w:jc w:val="center"/>
              <w:rPr>
                <w:rFonts w:ascii="Times New Roman" w:hAnsi="Times New Roman" w:eastAsia="宋体" w:cs="Times New Roman"/>
                <w:kern w:val="2"/>
                <w:szCs w:val="24"/>
              </w:rPr>
            </w:pPr>
            <w:r>
              <w:rPr>
                <w:rFonts w:ascii="Times New Roman" w:hAnsi="Times New Roman" w:eastAsia="宋体" w:cs="Times New Roman"/>
                <w:kern w:val="2"/>
                <w:szCs w:val="24"/>
              </w:rPr>
              <w:t>施工</w:t>
            </w:r>
          </w:p>
          <w:p w14:paraId="430F7FF5">
            <w:pPr>
              <w:pStyle w:val="20"/>
              <w:kinsoku/>
              <w:spacing w:before="0" w:beforeAutospacing="0" w:after="0" w:afterAutospacing="0"/>
              <w:jc w:val="center"/>
              <w:rPr>
                <w:rFonts w:ascii="Times New Roman" w:hAnsi="Times New Roman" w:eastAsia="宋体" w:cs="Times New Roman"/>
                <w:kern w:val="2"/>
                <w:szCs w:val="24"/>
              </w:rPr>
            </w:pPr>
            <w:r>
              <w:rPr>
                <w:rFonts w:ascii="Times New Roman" w:hAnsi="Times New Roman" w:eastAsia="宋体" w:cs="Times New Roman"/>
                <w:kern w:val="2"/>
                <w:szCs w:val="24"/>
              </w:rPr>
              <w:t>期环</w:t>
            </w:r>
          </w:p>
          <w:p w14:paraId="44ACC30E">
            <w:pPr>
              <w:pStyle w:val="20"/>
              <w:kinsoku/>
              <w:spacing w:before="0" w:beforeAutospacing="0" w:after="0" w:afterAutospacing="0"/>
              <w:jc w:val="center"/>
              <w:rPr>
                <w:rFonts w:ascii="Times New Roman" w:hAnsi="Times New Roman" w:eastAsia="宋体" w:cs="Times New Roman"/>
                <w:kern w:val="2"/>
                <w:szCs w:val="24"/>
              </w:rPr>
            </w:pPr>
            <w:r>
              <w:rPr>
                <w:rFonts w:ascii="Times New Roman" w:hAnsi="Times New Roman" w:eastAsia="宋体" w:cs="Times New Roman"/>
                <w:kern w:val="2"/>
                <w:szCs w:val="24"/>
              </w:rPr>
              <w:t>境保</w:t>
            </w:r>
          </w:p>
          <w:p w14:paraId="32C3BCE3">
            <w:pPr>
              <w:pStyle w:val="20"/>
              <w:kinsoku/>
              <w:spacing w:before="0" w:beforeAutospacing="0" w:after="0" w:afterAutospacing="0"/>
              <w:jc w:val="center"/>
              <w:rPr>
                <w:rFonts w:ascii="Times New Roman" w:hAnsi="Times New Roman" w:eastAsia="宋体" w:cs="Times New Roman"/>
                <w:kern w:val="2"/>
                <w:szCs w:val="24"/>
              </w:rPr>
            </w:pPr>
            <w:r>
              <w:rPr>
                <w:rFonts w:ascii="Times New Roman" w:hAnsi="Times New Roman" w:eastAsia="宋体" w:cs="Times New Roman"/>
                <w:kern w:val="2"/>
                <w:szCs w:val="24"/>
              </w:rPr>
              <w:t>护措</w:t>
            </w:r>
          </w:p>
          <w:p w14:paraId="1A323146">
            <w:pPr>
              <w:pStyle w:val="20"/>
              <w:kinsoku/>
              <w:spacing w:before="0" w:beforeAutospacing="0" w:after="0" w:afterAutospacing="0"/>
              <w:jc w:val="center"/>
              <w:rPr>
                <w:rFonts w:ascii="Times New Roman" w:hAnsi="Times New Roman" w:eastAsia="宋体" w:cs="Times New Roman"/>
                <w:bCs/>
                <w:kern w:val="2"/>
                <w:szCs w:val="24"/>
              </w:rPr>
            </w:pPr>
            <w:r>
              <w:rPr>
                <w:rFonts w:ascii="Times New Roman" w:hAnsi="Times New Roman" w:eastAsia="宋体" w:cs="Times New Roman"/>
                <w:kern w:val="2"/>
                <w:szCs w:val="24"/>
              </w:rPr>
              <w:t>施</w:t>
            </w:r>
          </w:p>
        </w:tc>
        <w:tc>
          <w:tcPr>
            <w:tcW w:w="8364" w:type="dxa"/>
            <w:vAlign w:val="center"/>
          </w:tcPr>
          <w:p w14:paraId="1F1F0AF7">
            <w:pPr>
              <w:numPr>
                <w:ilvl w:val="0"/>
                <w:numId w:val="0"/>
              </w:numPr>
              <w:kinsoku/>
              <w:adjustRightInd/>
              <w:snapToGrid/>
              <w:spacing w:line="360" w:lineRule="auto"/>
              <w:ind w:firstLine="482" w:firstLineChars="200"/>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snapToGrid w:val="0"/>
                <w:color w:val="auto"/>
                <w:sz w:val="24"/>
                <w:szCs w:val="24"/>
                <w:lang w:val="en-US" w:eastAsia="zh-CN" w:bidi="ar-SA"/>
              </w:rPr>
              <w:t>一、</w:t>
            </w:r>
            <w:r>
              <w:rPr>
                <w:rFonts w:hint="eastAsia" w:ascii="Times New Roman" w:hAnsi="Times New Roman" w:eastAsia="宋体" w:cs="Times New Roman"/>
                <w:b/>
                <w:bCs/>
                <w:color w:val="auto"/>
                <w:sz w:val="24"/>
                <w:szCs w:val="24"/>
                <w:lang w:eastAsia="zh-CN"/>
              </w:rPr>
              <w:t>施工期废气影响分析</w:t>
            </w:r>
          </w:p>
          <w:p w14:paraId="5AAC89CD">
            <w:pPr>
              <w:numPr>
                <w:ilvl w:val="0"/>
                <w:numId w:val="0"/>
              </w:numPr>
              <w:kinsoku/>
              <w:adjustRightInd/>
              <w:snapToGrid/>
              <w:spacing w:line="360" w:lineRule="auto"/>
              <w:ind w:firstLine="480" w:firstLineChars="200"/>
              <w:rPr>
                <w:rFonts w:ascii="Times New Roman" w:hAnsi="Times New Roman" w:eastAsia="宋体" w:cs="Times New Roman"/>
                <w:bCs/>
                <w:spacing w:val="-10"/>
                <w:sz w:val="24"/>
                <w:szCs w:val="24"/>
                <w:lang w:eastAsia="zh-CN"/>
              </w:rPr>
            </w:pPr>
            <w:r>
              <w:rPr>
                <w:rFonts w:hint="eastAsia" w:ascii="Times New Roman" w:hAnsi="Times New Roman" w:eastAsia="宋体" w:cs="Times New Roman"/>
                <w:color w:val="auto"/>
                <w:sz w:val="24"/>
                <w:szCs w:val="24"/>
                <w:lang w:eastAsia="zh-CN"/>
              </w:rPr>
              <w:t>本项目为迁建项目，租赁已建厂房实施，施工期为设备的安装调试，对周边环境影响较小，在此不做详细评价。</w:t>
            </w:r>
          </w:p>
        </w:tc>
      </w:tr>
      <w:tr w14:paraId="63AD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687" w:type="dxa"/>
            <w:tcMar>
              <w:left w:w="28" w:type="dxa"/>
              <w:right w:w="28" w:type="dxa"/>
            </w:tcMar>
            <w:vAlign w:val="center"/>
          </w:tcPr>
          <w:p w14:paraId="02D46574">
            <w:pPr>
              <w:kinsoku/>
              <w:jc w:val="center"/>
              <w:rPr>
                <w:rFonts w:ascii="Times New Roman" w:hAnsi="Times New Roman" w:eastAsia="宋体" w:cs="Times New Roman"/>
                <w:bCs/>
                <w:sz w:val="24"/>
                <w:lang w:eastAsia="zh-CN"/>
              </w:rPr>
            </w:pPr>
            <w:r>
              <w:rPr>
                <w:rFonts w:ascii="Times New Roman" w:hAnsi="Times New Roman" w:eastAsia="宋体" w:cs="Times New Roman"/>
                <w:bCs/>
                <w:sz w:val="24"/>
                <w:lang w:eastAsia="zh-CN"/>
              </w:rPr>
              <w:t>运营</w:t>
            </w:r>
          </w:p>
          <w:p w14:paraId="2944C139">
            <w:pPr>
              <w:kinsoku/>
              <w:jc w:val="center"/>
              <w:rPr>
                <w:rFonts w:ascii="Times New Roman" w:hAnsi="Times New Roman" w:eastAsia="宋体" w:cs="Times New Roman"/>
                <w:bCs/>
                <w:sz w:val="24"/>
                <w:lang w:eastAsia="zh-CN"/>
              </w:rPr>
            </w:pPr>
            <w:r>
              <w:rPr>
                <w:rFonts w:ascii="Times New Roman" w:hAnsi="Times New Roman" w:eastAsia="宋体" w:cs="Times New Roman"/>
                <w:bCs/>
                <w:sz w:val="24"/>
                <w:lang w:eastAsia="zh-CN"/>
              </w:rPr>
              <w:t>期环</w:t>
            </w:r>
          </w:p>
          <w:p w14:paraId="4DB57662">
            <w:pPr>
              <w:kinsoku/>
              <w:jc w:val="center"/>
              <w:rPr>
                <w:rFonts w:ascii="Times New Roman" w:hAnsi="Times New Roman" w:eastAsia="宋体" w:cs="Times New Roman"/>
                <w:bCs/>
                <w:sz w:val="24"/>
                <w:lang w:eastAsia="zh-CN"/>
              </w:rPr>
            </w:pPr>
            <w:r>
              <w:rPr>
                <w:rFonts w:ascii="Times New Roman" w:hAnsi="Times New Roman" w:eastAsia="宋体" w:cs="Times New Roman"/>
                <w:bCs/>
                <w:sz w:val="24"/>
                <w:lang w:eastAsia="zh-CN"/>
              </w:rPr>
              <w:t>境影</w:t>
            </w:r>
          </w:p>
          <w:p w14:paraId="458B73CE">
            <w:pPr>
              <w:kinsoku/>
              <w:jc w:val="center"/>
              <w:rPr>
                <w:rFonts w:ascii="Times New Roman" w:hAnsi="Times New Roman" w:eastAsia="宋体" w:cs="Times New Roman"/>
                <w:bCs/>
                <w:sz w:val="24"/>
                <w:lang w:eastAsia="zh-CN"/>
              </w:rPr>
            </w:pPr>
            <w:r>
              <w:rPr>
                <w:rFonts w:ascii="Times New Roman" w:hAnsi="Times New Roman" w:eastAsia="宋体" w:cs="Times New Roman"/>
                <w:bCs/>
                <w:sz w:val="24"/>
                <w:lang w:eastAsia="zh-CN"/>
              </w:rPr>
              <w:t>响和</w:t>
            </w:r>
          </w:p>
          <w:p w14:paraId="11E67663">
            <w:pPr>
              <w:kinsoku/>
              <w:jc w:val="center"/>
              <w:rPr>
                <w:rFonts w:ascii="Times New Roman" w:hAnsi="Times New Roman" w:eastAsia="宋体" w:cs="Times New Roman"/>
                <w:bCs/>
                <w:sz w:val="24"/>
                <w:lang w:eastAsia="zh-CN"/>
              </w:rPr>
            </w:pPr>
            <w:r>
              <w:rPr>
                <w:rFonts w:ascii="Times New Roman" w:hAnsi="Times New Roman" w:eastAsia="宋体" w:cs="Times New Roman"/>
                <w:bCs/>
                <w:sz w:val="24"/>
                <w:lang w:eastAsia="zh-CN"/>
              </w:rPr>
              <w:t>保护</w:t>
            </w:r>
          </w:p>
          <w:p w14:paraId="5158718E">
            <w:pPr>
              <w:pStyle w:val="20"/>
              <w:kinsoku/>
              <w:spacing w:before="0" w:beforeAutospacing="0" w:after="0" w:afterAutospacing="0"/>
              <w:jc w:val="center"/>
              <w:rPr>
                <w:rFonts w:ascii="Times New Roman" w:hAnsi="Times New Roman" w:eastAsia="宋体" w:cs="Times New Roman"/>
                <w:kern w:val="2"/>
                <w:szCs w:val="24"/>
                <w:lang w:eastAsia="zh-CN"/>
              </w:rPr>
            </w:pPr>
            <w:r>
              <w:rPr>
                <w:rFonts w:ascii="Times New Roman" w:hAnsi="Times New Roman" w:eastAsia="宋体" w:cs="Times New Roman"/>
                <w:bCs/>
                <w:lang w:eastAsia="zh-CN"/>
              </w:rPr>
              <w:t>措施</w:t>
            </w:r>
          </w:p>
        </w:tc>
        <w:tc>
          <w:tcPr>
            <w:tcW w:w="8364" w:type="dxa"/>
            <w:vAlign w:val="center"/>
          </w:tcPr>
          <w:p w14:paraId="49093A43">
            <w:pPr>
              <w:kinsoku/>
              <w:adjustRightInd/>
              <w:snapToGrid/>
              <w:spacing w:line="360" w:lineRule="auto"/>
              <w:rPr>
                <w:rFonts w:ascii="Times New Roman" w:hAnsi="Times New Roman" w:eastAsia="宋体" w:cs="Times New Roman"/>
                <w:b/>
                <w:bCs/>
                <w:sz w:val="24"/>
                <w:lang w:eastAsia="zh-CN"/>
              </w:rPr>
            </w:pPr>
            <w:r>
              <w:rPr>
                <w:rFonts w:ascii="Times New Roman" w:hAnsi="Times New Roman" w:eastAsia="宋体" w:cs="Times New Roman"/>
                <w:sz w:val="24"/>
                <w:lang w:eastAsia="zh-CN"/>
              </w:rPr>
              <w:t>一、</w:t>
            </w:r>
            <w:r>
              <w:rPr>
                <w:rFonts w:ascii="Times New Roman" w:hAnsi="Times New Roman" w:eastAsia="宋体" w:cs="Times New Roman"/>
                <w:b/>
                <w:bCs/>
                <w:sz w:val="24"/>
                <w:lang w:eastAsia="zh-CN"/>
              </w:rPr>
              <w:t>大气污染</w:t>
            </w:r>
          </w:p>
          <w:p w14:paraId="020D08D7">
            <w:pPr>
              <w:kinsoku/>
              <w:adjustRightInd/>
              <w:snapToGrid/>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1、污染源强核算</w:t>
            </w:r>
          </w:p>
          <w:p w14:paraId="4918D42E">
            <w:pPr>
              <w:pStyle w:val="12"/>
              <w:numPr>
                <w:ilvl w:val="0"/>
                <w:numId w:val="0"/>
              </w:num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w:t>
            </w:r>
            <w:r>
              <w:rPr>
                <w:rFonts w:ascii="Times New Roman" w:hAnsi="Times New Roman" w:eastAsia="宋体" w:cs="Times New Roman"/>
                <w:sz w:val="24"/>
                <w:szCs w:val="24"/>
                <w:lang w:eastAsia="zh-CN"/>
              </w:rPr>
              <w:t>产品</w:t>
            </w:r>
            <w:r>
              <w:rPr>
                <w:rFonts w:ascii="Times New Roman" w:hAnsi="Times New Roman" w:eastAsia="宋体" w:cs="Times New Roman"/>
                <w:sz w:val="24"/>
                <w:lang w:eastAsia="zh-CN"/>
              </w:rPr>
              <w:t>生产过程废气主要为</w:t>
            </w:r>
            <w:r>
              <w:rPr>
                <w:rFonts w:hint="eastAsia" w:ascii="Times New Roman" w:hAnsi="Times New Roman" w:eastAsia="宋体" w:cs="Times New Roman"/>
                <w:sz w:val="24"/>
                <w:lang w:eastAsia="zh-CN"/>
              </w:rPr>
              <w:t>切割下料废气、焊接废气、抛丸废气、酸洗废气、电泳废气、电泳后烘干废气、喷塑废气、固化废气及液化石油气燃烧废气。其中切割下料、焊接、抛丸、喷塑工序</w:t>
            </w:r>
            <w:r>
              <w:rPr>
                <w:rFonts w:ascii="Times New Roman" w:hAnsi="Times New Roman" w:eastAsia="宋体" w:cs="Times New Roman"/>
                <w:sz w:val="24"/>
                <w:lang w:eastAsia="zh-CN"/>
              </w:rPr>
              <w:t>污染因子主要为颗粒物</w:t>
            </w:r>
            <w:r>
              <w:rPr>
                <w:rFonts w:hint="eastAsia" w:ascii="Times New Roman" w:hAnsi="Times New Roman" w:eastAsia="宋体" w:cs="Times New Roman"/>
                <w:sz w:val="24"/>
                <w:lang w:eastAsia="zh-CN"/>
              </w:rPr>
              <w:t>；电泳、电泳后烘干、固化工序</w:t>
            </w:r>
            <w:r>
              <w:rPr>
                <w:rFonts w:ascii="Times New Roman" w:hAnsi="Times New Roman" w:eastAsia="宋体" w:cs="Times New Roman"/>
                <w:sz w:val="24"/>
                <w:lang w:eastAsia="zh-CN"/>
              </w:rPr>
              <w:t>污染因子主要为</w:t>
            </w:r>
            <w:r>
              <w:rPr>
                <w:rFonts w:hint="eastAsia" w:ascii="Times New Roman" w:hAnsi="Times New Roman" w:eastAsia="宋体" w:cs="Times New Roman"/>
                <w:sz w:val="24"/>
                <w:lang w:eastAsia="zh-CN"/>
              </w:rPr>
              <w:t>非甲烷总烃；酸洗工序污染因子主要为硫酸雾；液化石油气燃烧废气主要为颗粒物、</w:t>
            </w:r>
            <w:r>
              <w:rPr>
                <w:rFonts w:hint="eastAsia" w:ascii="Times New Roman" w:hAnsi="Times New Roman" w:eastAsia="宋体" w:cs="Times New Roman"/>
                <w:sz w:val="24"/>
                <w:lang w:val="en-US" w:eastAsia="zh-CN"/>
              </w:rPr>
              <w:t>SO</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lang w:val="en-US" w:eastAsia="zh-CN"/>
              </w:rPr>
              <w:t>、NO</w:t>
            </w:r>
            <w:r>
              <w:rPr>
                <w:rFonts w:hint="eastAsia" w:ascii="Times New Roman" w:hAnsi="Times New Roman" w:eastAsia="宋体" w:cs="Times New Roman"/>
                <w:sz w:val="24"/>
                <w:vertAlign w:val="subscript"/>
                <w:lang w:val="en-US" w:eastAsia="zh-CN"/>
              </w:rPr>
              <w:t>X</w:t>
            </w:r>
            <w:r>
              <w:rPr>
                <w:rFonts w:hint="eastAsia" w:ascii="Times New Roman" w:hAnsi="Times New Roman" w:eastAsia="宋体" w:cs="Times New Roman"/>
                <w:sz w:val="24"/>
                <w:lang w:eastAsia="zh-CN"/>
              </w:rPr>
              <w:t>。</w:t>
            </w:r>
          </w:p>
          <w:p w14:paraId="5890CBC4">
            <w:pPr>
              <w:pStyle w:val="12"/>
              <w:numPr>
                <w:ilvl w:val="0"/>
                <w:numId w:val="0"/>
              </w:num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1、颗粒物</w:t>
            </w:r>
          </w:p>
          <w:p w14:paraId="45E613FE">
            <w:pPr>
              <w:pStyle w:val="45"/>
              <w:widowControl w:val="0"/>
              <w:kinsoku/>
              <w:autoSpaceDE/>
              <w:autoSpaceDN/>
              <w:adjustRightInd/>
              <w:snapToGrid/>
              <w:spacing w:line="360" w:lineRule="auto"/>
              <w:textAlignment w:val="auto"/>
              <w:rPr>
                <w:rFonts w:ascii="Times New Roman" w:hAnsi="Times New Roman" w:eastAsia="宋体" w:cs="Times New Roman"/>
                <w:szCs w:val="24"/>
                <w:lang w:eastAsia="zh-CN"/>
              </w:rPr>
            </w:pPr>
            <w:r>
              <w:rPr>
                <w:rFonts w:ascii="Times New Roman" w:hAnsi="Times New Roman" w:eastAsia="宋体" w:cs="Times New Roman"/>
                <w:szCs w:val="24"/>
                <w:lang w:eastAsia="zh-CN"/>
              </w:rPr>
              <w:t>（1）</w:t>
            </w:r>
            <w:r>
              <w:rPr>
                <w:rFonts w:hint="eastAsia" w:ascii="Times New Roman" w:hAnsi="Times New Roman" w:eastAsia="宋体" w:cs="Times New Roman"/>
                <w:szCs w:val="24"/>
                <w:lang w:eastAsia="zh-CN"/>
              </w:rPr>
              <w:t>切割下料废气</w:t>
            </w:r>
          </w:p>
          <w:p w14:paraId="7412AD12">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排放源统计调查产排污核算方法和系数手册》中“33-37、43机械行业系数手册”中“钢板、铝板、铝合金板、其它金属材料-等离子切割”工艺产污系数为1.1kg/t-原料。根据企业提供资料，项目通过激光切割年使用工件量为</w:t>
            </w:r>
            <w:r>
              <w:rPr>
                <w:rFonts w:hint="eastAsia" w:ascii="Times New Roman" w:hAnsi="Times New Roman" w:eastAsia="宋体" w:cs="Times New Roman"/>
                <w:lang w:val="en-US" w:eastAsia="zh-CN"/>
              </w:rPr>
              <w:t>6000</w:t>
            </w:r>
            <w:r>
              <w:rPr>
                <w:rFonts w:hint="default" w:ascii="Times New Roman" w:hAnsi="Times New Roman" w:eastAsia="宋体" w:cs="Times New Roman"/>
                <w:lang w:val="en-US" w:eastAsia="zh-CN"/>
              </w:rPr>
              <w:t>t/a，参照等离子切割产污系数则</w:t>
            </w:r>
            <w:r>
              <w:rPr>
                <w:rFonts w:hint="eastAsia" w:ascii="Times New Roman" w:hAnsi="Times New Roman" w:eastAsia="宋体" w:cs="Times New Roman"/>
                <w:lang w:val="en-US" w:eastAsia="zh-CN"/>
              </w:rPr>
              <w:t>切割工序</w:t>
            </w:r>
            <w:r>
              <w:rPr>
                <w:rFonts w:hint="default" w:ascii="Times New Roman" w:hAnsi="Times New Roman" w:eastAsia="宋体" w:cs="Times New Roman"/>
                <w:lang w:val="en-US" w:eastAsia="zh-CN"/>
              </w:rPr>
              <w:t>粉尘产生总量为</w:t>
            </w:r>
            <w:r>
              <w:rPr>
                <w:rFonts w:hint="eastAsia" w:ascii="Times New Roman" w:hAnsi="Times New Roman" w:eastAsia="宋体" w:cs="Times New Roman"/>
                <w:lang w:val="en-US" w:eastAsia="zh-CN"/>
              </w:rPr>
              <w:t>6.6</w:t>
            </w:r>
            <w:r>
              <w:rPr>
                <w:rFonts w:hint="default" w:ascii="Times New Roman" w:hAnsi="Times New Roman" w:eastAsia="宋体" w:cs="Times New Roman"/>
                <w:lang w:val="en-US" w:eastAsia="zh-CN"/>
              </w:rPr>
              <w:t>t/a。</w:t>
            </w:r>
          </w:p>
          <w:p w14:paraId="060F2A49">
            <w:pPr>
              <w:pStyle w:val="45"/>
              <w:widowControl w:val="0"/>
              <w:kinsoku/>
              <w:topLinePunct/>
              <w:autoSpaceDE/>
              <w:autoSpaceDN/>
              <w:adjustRightInd/>
              <w:snapToGrid/>
              <w:spacing w:line="360" w:lineRule="auto"/>
              <w:textAlignment w:val="auto"/>
              <w:rPr>
                <w:rFonts w:ascii="Times New Roman" w:hAnsi="Times New Roman" w:eastAsia="宋体" w:cs="Times New Roman"/>
                <w:color w:val="000000" w:themeColor="text1"/>
                <w:szCs w:val="24"/>
                <w:lang w:eastAsia="zh-CN"/>
                <w14:textFill>
                  <w14:solidFill>
                    <w14:schemeClr w14:val="tx1"/>
                  </w14:solidFill>
                </w14:textFill>
              </w:rPr>
            </w:pPr>
            <w:r>
              <w:rPr>
                <w:rFonts w:hint="default" w:ascii="Times New Roman" w:hAnsi="Times New Roman" w:eastAsia="宋体" w:cs="Times New Roman"/>
                <w:lang w:val="en-US" w:eastAsia="zh-CN"/>
              </w:rPr>
              <w:t>本项目切割</w:t>
            </w:r>
            <w:r>
              <w:rPr>
                <w:rFonts w:hint="eastAsia" w:ascii="Times New Roman" w:hAnsi="Times New Roman" w:eastAsia="宋体" w:cs="Times New Roman"/>
                <w:lang w:val="en-US" w:eastAsia="zh-CN"/>
              </w:rPr>
              <w:t>废气通过下吸方式（风机风量2000m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/h）</w:t>
            </w:r>
            <w:r>
              <w:rPr>
                <w:rFonts w:hint="default" w:ascii="Times New Roman" w:hAnsi="Times New Roman" w:eastAsia="宋体" w:cs="Times New Roman"/>
                <w:lang w:val="en-US" w:eastAsia="zh-CN"/>
              </w:rPr>
              <w:t>收集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通过布袋除尘器处理后经</w:t>
            </w:r>
            <w:r>
              <w:rPr>
                <w:rFonts w:hint="eastAsia" w:ascii="Times New Roman" w:hAnsi="Times New Roman" w:eastAsia="宋体" w:cs="Times New Roman"/>
                <w:lang w:val="en-US" w:eastAsia="zh-CN"/>
              </w:rPr>
              <w:t>15m</w:t>
            </w:r>
            <w:r>
              <w:rPr>
                <w:rFonts w:hint="default" w:ascii="Times New Roman" w:hAnsi="Times New Roman" w:eastAsia="宋体" w:cs="Times New Roman"/>
                <w:lang w:val="en-US" w:eastAsia="zh-CN"/>
              </w:rPr>
              <w:t>排气筒DA001排放，收集效率取90%，布袋除尘器处理效率为9</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%。有组织粉尘排</w:t>
            </w:r>
            <w:r>
              <w:rPr>
                <w:rFonts w:hint="default" w:ascii="Times New Roman" w:hAnsi="Times New Roman" w:eastAsia="宋体" w:cs="Times New Roman"/>
                <w:color w:val="000000" w:themeColor="text1"/>
                <w:lang w:val="en-US" w:eastAsia="zh-CN"/>
                <w14:textFill>
                  <w14:solidFill>
                    <w14:schemeClr w14:val="tx1"/>
                  </w14:solidFill>
                </w14:textFill>
              </w:rPr>
              <w:t>放量为</w:t>
            </w:r>
            <w:r>
              <w:rPr>
                <w:rFonts w:hint="eastAsia" w:ascii="Times New Roman" w:hAnsi="Times New Roman" w:eastAsia="宋体" w:cs="Times New Roman"/>
                <w:color w:val="000000" w:themeColor="text1"/>
                <w:lang w:val="en-US" w:eastAsia="zh-CN"/>
                <w14:textFill>
                  <w14:solidFill>
                    <w14:schemeClr w14:val="tx1"/>
                  </w14:solidFill>
                </w14:textFill>
              </w:rPr>
              <w:t>0.06</w:t>
            </w:r>
            <w:r>
              <w:rPr>
                <w:rFonts w:hint="default" w:ascii="Times New Roman" w:hAnsi="Times New Roman" w:eastAsia="宋体" w:cs="Times New Roman"/>
                <w:color w:val="000000" w:themeColor="text1"/>
                <w:lang w:val="en-US" w:eastAsia="zh-CN"/>
                <w14:textFill>
                  <w14:solidFill>
                    <w14:schemeClr w14:val="tx1"/>
                  </w14:solidFill>
                </w14:textFill>
              </w:rPr>
              <w:t>t/a。未收集到的粉尘以无组织的形式在车间内排放，则切割工序无组织粉尘排放量为</w:t>
            </w:r>
            <w:r>
              <w:rPr>
                <w:rFonts w:hint="eastAsia" w:ascii="Times New Roman" w:hAnsi="Times New Roman" w:eastAsia="宋体" w:cs="Times New Roman"/>
                <w:color w:val="000000" w:themeColor="text1"/>
                <w:lang w:val="en-US" w:eastAsia="zh-CN"/>
                <w14:textFill>
                  <w14:solidFill>
                    <w14:schemeClr w14:val="tx1"/>
                  </w14:solidFill>
                </w14:textFill>
              </w:rPr>
              <w:t>0.66</w:t>
            </w:r>
            <w:r>
              <w:rPr>
                <w:rFonts w:hint="default" w:ascii="Times New Roman" w:hAnsi="Times New Roman" w:eastAsia="宋体" w:cs="Times New Roman"/>
                <w:color w:val="000000" w:themeColor="text1"/>
                <w:lang w:val="en-US" w:eastAsia="zh-CN"/>
                <w14:textFill>
                  <w14:solidFill>
                    <w14:schemeClr w14:val="tx1"/>
                  </w14:solidFill>
                </w14:textFill>
              </w:rPr>
              <w:t>t/a。</w:t>
            </w:r>
          </w:p>
          <w:p w14:paraId="1AE481F1">
            <w:pPr>
              <w:pStyle w:val="45"/>
              <w:widowControl w:val="0"/>
              <w:numPr>
                <w:ilvl w:val="0"/>
                <w:numId w:val="0"/>
              </w:numPr>
              <w:kinsoku/>
              <w:topLinePunct/>
              <w:autoSpaceDE/>
              <w:autoSpaceDN/>
              <w:adjustRightInd/>
              <w:snapToGrid/>
              <w:spacing w:line="360" w:lineRule="auto"/>
              <w:ind w:firstLine="480" w:firstLineChars="200"/>
              <w:textAlignment w:val="auto"/>
              <w:rPr>
                <w:rFonts w:hint="eastAsia" w:ascii="Times New Roman" w:hAnsi="Times New Roman" w:eastAsia="宋体" w:cs="Times New Roman"/>
                <w:color w:val="000000" w:themeColor="text1"/>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szCs w:val="24"/>
                <w:lang w:eastAsia="zh-CN"/>
                <w14:textFill>
                  <w14:solidFill>
                    <w14:schemeClr w14:val="tx1"/>
                  </w14:solidFill>
                </w14:textFill>
              </w:rPr>
              <w:t>焊接废气</w:t>
            </w:r>
          </w:p>
          <w:p w14:paraId="42A34848">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该项目在焊接过程中会产生焊接烟气，主要成分为焊接烟尘。该项目焊接方式为</w:t>
            </w:r>
            <w:r>
              <w:rPr>
                <w:rFonts w:hint="eastAsia" w:ascii="Times New Roman" w:hAnsi="Times New Roman" w:eastAsia="宋体" w:cs="Times New Roman"/>
                <w:lang w:val="en-US" w:eastAsia="zh-CN"/>
              </w:rPr>
              <w:t>氩弧焊</w:t>
            </w:r>
            <w:r>
              <w:rPr>
                <w:rFonts w:hint="default" w:ascii="Times New Roman" w:hAnsi="Times New Roman" w:eastAsia="宋体" w:cs="Times New Roman"/>
                <w:lang w:val="en-US" w:eastAsia="zh-CN"/>
              </w:rPr>
              <w:t>，</w:t>
            </w:r>
            <w:r>
              <w:rPr>
                <w:rFonts w:hint="default" w:ascii="Times New Roman" w:hAnsi="Times New Roman" w:eastAsia="宋体" w:cs="Times New Roman"/>
                <w:highlight w:val="none"/>
                <w:lang w:val="en-US" w:eastAsia="zh-CN"/>
              </w:rPr>
              <w:t>年使用</w:t>
            </w:r>
            <w:r>
              <w:rPr>
                <w:rFonts w:hint="eastAsia" w:ascii="Times New Roman" w:hAnsi="Times New Roman" w:eastAsia="宋体" w:cs="Times New Roman"/>
                <w:highlight w:val="none"/>
                <w:lang w:val="en-US" w:eastAsia="zh-CN"/>
              </w:rPr>
              <w:t>无铅</w:t>
            </w:r>
            <w:r>
              <w:rPr>
                <w:rFonts w:hint="default" w:ascii="Times New Roman" w:hAnsi="Times New Roman" w:eastAsia="宋体" w:cs="Times New Roman"/>
                <w:highlight w:val="none"/>
                <w:lang w:val="en-US" w:eastAsia="zh-CN"/>
              </w:rPr>
              <w:t>焊丝</w:t>
            </w:r>
            <w:r>
              <w:rPr>
                <w:rFonts w:hint="eastAsia" w:ascii="Times New Roman" w:hAnsi="Times New Roman" w:eastAsia="宋体" w:cs="Times New Roman"/>
                <w:highlight w:val="none"/>
                <w:lang w:val="en-US" w:eastAsia="zh-CN"/>
              </w:rPr>
              <w:t>10</w:t>
            </w:r>
            <w:r>
              <w:rPr>
                <w:rFonts w:hint="default" w:ascii="Times New Roman" w:hAnsi="Times New Roman" w:eastAsia="宋体" w:cs="Times New Roman"/>
                <w:highlight w:val="none"/>
                <w:lang w:val="en-US" w:eastAsia="zh-CN"/>
              </w:rPr>
              <w:t>t/a</w:t>
            </w:r>
            <w:r>
              <w:rPr>
                <w:rFonts w:hint="default" w:ascii="Times New Roman" w:hAnsi="Times New Roman" w:eastAsia="宋体" w:cs="Times New Roman"/>
                <w:lang w:val="en-US" w:eastAsia="zh-CN"/>
              </w:rPr>
              <w:t>。根据《排放源统计调查产排污核算方法和系数手册》中“09焊接-焊接件-实心焊丝-二氧化碳保护焊/埋弧焊/氩弧焊-中颗粒物产生系数为9.19kg/t原料”。</w:t>
            </w:r>
            <w:r>
              <w:rPr>
                <w:rFonts w:hint="default" w:ascii="Times New Roman" w:hAnsi="Times New Roman" w:eastAsia="宋体" w:cs="Times New Roman"/>
                <w:sz w:val="24"/>
                <w:szCs w:val="24"/>
                <w:lang w:val="en-US" w:eastAsia="zh-CN"/>
              </w:rPr>
              <w:t>由此计算项目</w:t>
            </w:r>
            <w:r>
              <w:rPr>
                <w:rFonts w:hint="eastAsia" w:ascii="Times New Roman" w:hAnsi="Times New Roman" w:eastAsia="宋体" w:cs="Times New Roman"/>
                <w:sz w:val="24"/>
                <w:szCs w:val="24"/>
                <w:lang w:val="en-US" w:eastAsia="zh-CN"/>
              </w:rPr>
              <w:t>焊接</w:t>
            </w:r>
            <w:r>
              <w:rPr>
                <w:rFonts w:hint="default" w:ascii="Times New Roman" w:hAnsi="Times New Roman" w:eastAsia="宋体" w:cs="Times New Roman"/>
                <w:sz w:val="24"/>
                <w:szCs w:val="24"/>
                <w:lang w:val="en-US" w:eastAsia="zh-CN"/>
              </w:rPr>
              <w:t>颗粒物产生量为</w:t>
            </w:r>
            <w:r>
              <w:rPr>
                <w:rFonts w:hint="eastAsia" w:ascii="Times New Roman" w:hAnsi="Times New Roman" w:eastAsia="宋体" w:cs="Times New Roman"/>
                <w:sz w:val="24"/>
                <w:szCs w:val="24"/>
                <w:lang w:val="en-US" w:eastAsia="zh-CN"/>
              </w:rPr>
              <w:t>0.092</w:t>
            </w:r>
            <w:r>
              <w:rPr>
                <w:rFonts w:hint="default" w:ascii="Times New Roman" w:hAnsi="Times New Roman" w:eastAsia="宋体" w:cs="Times New Roman"/>
                <w:sz w:val="24"/>
                <w:szCs w:val="24"/>
                <w:lang w:val="en-US" w:eastAsia="zh-CN"/>
              </w:rPr>
              <w:t>t/a</w:t>
            </w:r>
          </w:p>
          <w:p w14:paraId="1F7F189B">
            <w:pPr>
              <w:pStyle w:val="45"/>
              <w:widowControl w:val="0"/>
              <w:kinsoku/>
              <w:topLinePunct/>
              <w:autoSpaceDE/>
              <w:autoSpaceDN/>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lang w:val="en-US" w:eastAsia="zh-CN"/>
              </w:rPr>
              <w:t>本项目</w:t>
            </w:r>
            <w:r>
              <w:rPr>
                <w:rFonts w:hint="eastAsia" w:ascii="Times New Roman" w:hAnsi="Times New Roman" w:eastAsia="宋体" w:cs="Times New Roman"/>
                <w:lang w:val="en-US" w:eastAsia="zh-CN"/>
              </w:rPr>
              <w:t>焊接废气通过</w:t>
            </w:r>
            <w:r>
              <w:rPr>
                <w:rFonts w:hint="default" w:ascii="Times New Roman" w:hAnsi="Times New Roman" w:eastAsia="宋体" w:cs="Times New Roman"/>
                <w:sz w:val="24"/>
                <w:szCs w:val="24"/>
                <w:highlight w:val="none"/>
                <w:lang w:val="en-US" w:eastAsia="zh-CN"/>
              </w:rPr>
              <w:t>集气罩收集后经布袋除尘器处理后通过</w:t>
            </w:r>
            <w:r>
              <w:rPr>
                <w:rFonts w:hint="eastAsia" w:ascii="Times New Roman" w:hAnsi="Times New Roman" w:eastAsia="宋体" w:cs="Times New Roman"/>
                <w:sz w:val="24"/>
                <w:szCs w:val="24"/>
                <w:highlight w:val="none"/>
                <w:lang w:val="en-US" w:eastAsia="zh-CN"/>
              </w:rPr>
              <w:t>15m</w:t>
            </w:r>
            <w:r>
              <w:rPr>
                <w:rFonts w:hint="default" w:ascii="Times New Roman" w:hAnsi="Times New Roman" w:eastAsia="宋体" w:cs="Times New Roman"/>
                <w:sz w:val="24"/>
                <w:szCs w:val="24"/>
                <w:highlight w:val="none"/>
                <w:lang w:val="en-US" w:eastAsia="zh-CN"/>
              </w:rPr>
              <w:t>高排气筒DA001排放。集气罩收集效率为90%，</w:t>
            </w:r>
            <w:r>
              <w:rPr>
                <w:rFonts w:hint="default" w:ascii="Times New Roman" w:hAnsi="Times New Roman" w:eastAsia="宋体" w:cs="Times New Roman"/>
                <w:sz w:val="24"/>
                <w:szCs w:val="24"/>
                <w:lang w:val="en-US" w:eastAsia="zh-CN"/>
              </w:rPr>
              <w:t>布袋除尘器处理效率9</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%。有组织粉尘排放量为</w:t>
            </w:r>
            <w:r>
              <w:rPr>
                <w:rFonts w:hint="eastAsia" w:ascii="Times New Roman" w:hAnsi="Times New Roman" w:eastAsia="宋体" w:cs="Times New Roman"/>
                <w:sz w:val="24"/>
                <w:szCs w:val="24"/>
                <w:lang w:val="en-US" w:eastAsia="zh-CN"/>
              </w:rPr>
              <w:t>0.001</w:t>
            </w:r>
            <w:r>
              <w:rPr>
                <w:rFonts w:hint="default" w:ascii="Times New Roman" w:hAnsi="Times New Roman" w:eastAsia="宋体" w:cs="Times New Roman"/>
                <w:sz w:val="24"/>
                <w:szCs w:val="24"/>
                <w:lang w:val="en-US" w:eastAsia="zh-CN"/>
              </w:rPr>
              <w:t>t/a。未收集到的粉尘以无组织的形式在车间内排放，则无组织粉尘排放量为</w:t>
            </w:r>
            <w:r>
              <w:rPr>
                <w:rFonts w:hint="eastAsia" w:ascii="Times New Roman" w:hAnsi="Times New Roman" w:eastAsia="宋体" w:cs="Times New Roman"/>
                <w:sz w:val="24"/>
                <w:szCs w:val="24"/>
                <w:lang w:val="en-US" w:eastAsia="zh-CN"/>
              </w:rPr>
              <w:t>0.001</w:t>
            </w:r>
            <w:r>
              <w:rPr>
                <w:rFonts w:hint="default" w:ascii="Times New Roman" w:hAnsi="Times New Roman" w:eastAsia="宋体" w:cs="Times New Roman"/>
                <w:sz w:val="24"/>
                <w:szCs w:val="24"/>
                <w:lang w:val="en-US" w:eastAsia="zh-CN"/>
              </w:rPr>
              <w:t>t/a。</w:t>
            </w:r>
          </w:p>
          <w:p w14:paraId="0C0B0475">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000000" w:themeColor="text1"/>
                <w:sz w:val="24"/>
                <w:szCs w:val="24"/>
                <w:lang w:eastAsia="zh-CN"/>
                <w14:textFill>
                  <w14:solidFill>
                    <w14:schemeClr w14:val="tx1"/>
                  </w14:solidFill>
                </w14:textFill>
              </w:rPr>
              <w:t>项目拟</w:t>
            </w:r>
            <w:r>
              <w:rPr>
                <w:rFonts w:hint="eastAsia" w:ascii="Times New Roman" w:hAnsi="Times New Roman" w:eastAsia="宋体" w:cs="Times New Roman"/>
                <w:color w:val="000000" w:themeColor="text1"/>
                <w:sz w:val="24"/>
                <w:szCs w:val="24"/>
                <w:lang w:eastAsia="zh-CN"/>
                <w14:textFill>
                  <w14:solidFill>
                    <w14:schemeClr w14:val="tx1"/>
                  </w14:solidFill>
                </w14:textFill>
              </w:rPr>
              <w:t>在焊接工位上方</w:t>
            </w:r>
            <w:r>
              <w:rPr>
                <w:rFonts w:ascii="Times New Roman" w:hAnsi="Times New Roman" w:eastAsia="宋体" w:cs="Times New Roman"/>
                <w:color w:val="000000" w:themeColor="text1"/>
                <w:sz w:val="24"/>
                <w:szCs w:val="24"/>
                <w:lang w:eastAsia="zh-CN"/>
                <w14:textFill>
                  <w14:solidFill>
                    <w14:schemeClr w14:val="tx1"/>
                  </w14:solidFill>
                </w14:textFill>
              </w:rPr>
              <w:t>设置集气罩，集气罩尺寸为Φ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300</w:t>
            </w:r>
            <w:r>
              <w:rPr>
                <w:rFonts w:ascii="Times New Roman" w:hAnsi="Times New Roman" w:eastAsia="宋体" w:cs="Times New Roman"/>
                <w:color w:val="000000" w:themeColor="text1"/>
                <w:sz w:val="24"/>
                <w:szCs w:val="24"/>
                <w:lang w:eastAsia="zh-CN"/>
                <w14:textFill>
                  <w14:solidFill>
                    <w14:schemeClr w14:val="tx1"/>
                  </w14:solidFill>
                </w14:textFill>
              </w:rPr>
              <w:t>mm</w:t>
            </w:r>
            <w:r>
              <w:rPr>
                <w:rFonts w:ascii="Times New Roman" w:hAnsi="Times New Roman" w:eastAsia="宋体" w:cs="Times New Roman"/>
                <w:color w:val="auto"/>
                <w:sz w:val="24"/>
                <w:szCs w:val="24"/>
                <w:lang w:eastAsia="zh-CN"/>
              </w:rPr>
              <w:t>根据《环境工程设计手册》（修订版），单个集气罩集气风量计算公式：</w:t>
            </w:r>
          </w:p>
          <w:p w14:paraId="406493A8">
            <w:pPr>
              <w:widowControl w:val="0"/>
              <w:kinsoku/>
              <w:autoSpaceDE/>
              <w:autoSpaceDN/>
              <w:adjustRightInd/>
              <w:snapToGrid/>
              <w:spacing w:line="360" w:lineRule="auto"/>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L=kPHVx</w:t>
            </w:r>
          </w:p>
          <w:p w14:paraId="3EB4DD30">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式中：L——为集气罩集气风量，单位为m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0F63125E">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K——为安全系数1.4；</w:t>
            </w:r>
          </w:p>
          <w:p w14:paraId="5D0A3350">
            <w:pPr>
              <w:widowControl w:val="0"/>
              <w:kinsoku/>
              <w:autoSpaceDE/>
              <w:autoSpaceDN/>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P——排风罩口敞开面的周长，单位为m；</w:t>
            </w:r>
          </w:p>
          <w:p w14:paraId="2AFBC859">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H——为罩口至污染源的距离，单位为m，本次取0.</w:t>
            </w:r>
            <w:r>
              <w:rPr>
                <w:rFonts w:ascii="Times New Roman" w:hAnsi="Times New Roman" w:cs="Times New Roman"/>
                <w:color w:val="auto"/>
                <w:sz w:val="24"/>
                <w:szCs w:val="24"/>
                <w:lang w:eastAsia="zh-CN"/>
              </w:rPr>
              <w:t>3</w:t>
            </w:r>
            <w:r>
              <w:rPr>
                <w:rFonts w:ascii="Times New Roman" w:hAnsi="Times New Roman" w:eastAsia="宋体" w:cs="Times New Roman"/>
                <w:color w:val="auto"/>
                <w:sz w:val="24"/>
                <w:szCs w:val="24"/>
                <w:lang w:eastAsia="zh-CN"/>
              </w:rPr>
              <w:t>m；</w:t>
            </w:r>
          </w:p>
          <w:p w14:paraId="4C40AFFA">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auto"/>
                <w:sz w:val="24"/>
                <w:szCs w:val="24"/>
                <w:lang w:eastAsia="zh-CN"/>
              </w:rPr>
              <w:t xml:space="preserve">      Vx：污染源气体流速，一般在0.5m/s~1.5m/s，按照《环境工程设计手册》中的有关公式，烟尘废气收集系统或设备的控制风速要在0.6m/s以上，本次评价取均值</w:t>
            </w:r>
            <w:r>
              <w:rPr>
                <w:rFonts w:ascii="Times New Roman" w:hAnsi="Times New Roman" w:cs="Times New Roman"/>
                <w:color w:val="auto"/>
                <w:sz w:val="24"/>
                <w:szCs w:val="24"/>
                <w:lang w:eastAsia="zh-CN"/>
              </w:rPr>
              <w:t>1.0</w:t>
            </w:r>
            <w:r>
              <w:rPr>
                <w:rFonts w:ascii="Times New Roman" w:hAnsi="Times New Roman" w:eastAsia="宋体" w:cs="Times New Roman"/>
                <w:color w:val="auto"/>
                <w:sz w:val="24"/>
                <w:szCs w:val="24"/>
                <w:lang w:eastAsia="zh-CN"/>
              </w:rPr>
              <w:t>m/s。</w:t>
            </w:r>
          </w:p>
          <w:p w14:paraId="0556005D">
            <w:pPr>
              <w:pStyle w:val="45"/>
              <w:widowControl w:val="0"/>
              <w:kinsoku/>
              <w:topLinePunct/>
              <w:autoSpaceDE/>
              <w:autoSpaceDN/>
              <w:adjustRightInd/>
              <w:snapToGrid/>
              <w:spacing w:line="360" w:lineRule="auto"/>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计算得出本项目每个焊接工位集气罩所需风量为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1424</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4个焊接工位共需风机风量4272</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/h，考虑管道损耗，则风机风量为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5000</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w:t>
            </w:r>
          </w:p>
          <w:p w14:paraId="77C00B1C">
            <w:pPr>
              <w:pStyle w:val="45"/>
              <w:widowControl w:val="0"/>
              <w:kinsoku/>
              <w:topLinePunct/>
              <w:autoSpaceDE/>
              <w:autoSpaceDN/>
              <w:adjustRightInd/>
              <w:snapToGrid/>
              <w:spacing w:line="360" w:lineRule="auto"/>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sz w:val="24"/>
                <w:lang w:eastAsia="zh-CN"/>
              </w:rPr>
              <w:t>抛丸废气</w:t>
            </w:r>
          </w:p>
          <w:p w14:paraId="76F99F37">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szCs w:val="24"/>
                <w:lang w:eastAsia="zh-CN"/>
              </w:rPr>
              <w:t>本次</w:t>
            </w:r>
            <w:r>
              <w:rPr>
                <w:rFonts w:hint="eastAsia" w:ascii="Times New Roman" w:hAnsi="Times New Roman" w:eastAsia="宋体" w:cs="Times New Roman"/>
                <w:color w:val="auto"/>
                <w:sz w:val="24"/>
                <w:szCs w:val="24"/>
                <w:lang w:val="en-US" w:eastAsia="zh-CN"/>
              </w:rPr>
              <w:t>抛丸</w:t>
            </w:r>
            <w:r>
              <w:rPr>
                <w:rFonts w:hint="default" w:ascii="Times New Roman" w:hAnsi="Times New Roman" w:eastAsia="宋体" w:cs="Times New Roman"/>
                <w:color w:val="auto"/>
                <w:sz w:val="24"/>
                <w:szCs w:val="24"/>
                <w:lang w:eastAsia="zh-CN"/>
              </w:rPr>
              <w:t>废气采用类比法，类比对象为安徽博钧机械设备有限公司</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年加工制造8000套工程机械金属构件项目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，本项目为</w:t>
            </w:r>
            <w:r>
              <w:rPr>
                <w:rFonts w:hint="eastAsia" w:ascii="Times New Roman" w:hAnsi="Times New Roman" w:eastAsia="宋体" w:cs="Times New Roman"/>
                <w:color w:val="auto"/>
                <w:sz w:val="24"/>
                <w:szCs w:val="24"/>
                <w:lang w:val="en-US" w:eastAsia="zh-CN"/>
              </w:rPr>
              <w:t>原有项目</w:t>
            </w:r>
            <w:r>
              <w:rPr>
                <w:rFonts w:hint="default" w:ascii="Times New Roman" w:hAnsi="Times New Roman" w:eastAsia="宋体" w:cs="Times New Roman"/>
                <w:color w:val="auto"/>
                <w:sz w:val="24"/>
                <w:szCs w:val="24"/>
                <w:lang w:eastAsia="zh-CN"/>
              </w:rPr>
              <w:t>迁建项目，建设前后</w:t>
            </w:r>
            <w:r>
              <w:rPr>
                <w:rFonts w:hint="eastAsia" w:ascii="Times New Roman" w:hAnsi="Times New Roman" w:eastAsia="宋体" w:cs="Times New Roman"/>
                <w:color w:val="auto"/>
                <w:sz w:val="24"/>
                <w:szCs w:val="24"/>
                <w:lang w:val="en-US" w:eastAsia="zh-CN"/>
              </w:rPr>
              <w:t>抛丸工序工况相同，且废气处理措施相同，抛丸</w:t>
            </w:r>
            <w:r>
              <w:rPr>
                <w:rFonts w:hint="default" w:ascii="Times New Roman" w:hAnsi="Times New Roman" w:eastAsia="宋体" w:cs="Times New Roman"/>
                <w:color w:val="auto"/>
                <w:sz w:val="24"/>
                <w:szCs w:val="24"/>
                <w:lang w:eastAsia="zh-CN"/>
              </w:rPr>
              <w:t>工序</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eastAsia="zh-CN"/>
              </w:rPr>
              <w:t>产污强度基本相同；区别仅为</w:t>
            </w:r>
            <w:r>
              <w:rPr>
                <w:rFonts w:hint="eastAsia" w:ascii="Times New Roman" w:hAnsi="Times New Roman" w:eastAsia="宋体" w:cs="Times New Roman"/>
                <w:color w:val="auto"/>
                <w:sz w:val="24"/>
                <w:szCs w:val="24"/>
                <w:lang w:val="en-US" w:eastAsia="zh-CN"/>
              </w:rPr>
              <w:t>项目验收为阶段性验收，产品产能为年产4000套工程机械金属结构件，本项目为年产8000套工程机械金属结构件，是阶段性验收产能的两倍</w:t>
            </w:r>
            <w:r>
              <w:rPr>
                <w:rFonts w:hint="eastAsia" w:ascii="Times New Roman" w:hAnsi="Times New Roman" w:eastAsia="宋体" w:cs="Times New Roman"/>
                <w:color w:val="auto"/>
                <w:sz w:val="24"/>
                <w:szCs w:val="24"/>
                <w:lang w:eastAsia="zh-CN"/>
              </w:rPr>
              <w:t>。综上，本项目与原有项目</w:t>
            </w:r>
            <w:r>
              <w:rPr>
                <w:rFonts w:hint="default" w:ascii="Times New Roman" w:hAnsi="Times New Roman" w:eastAsia="宋体" w:cs="Times New Roman"/>
                <w:color w:val="auto"/>
                <w:sz w:val="24"/>
                <w:szCs w:val="24"/>
                <w:lang w:eastAsia="zh-CN"/>
              </w:rPr>
              <w:t>具备类比条件，本次采用原有项目环评及验收监测数据进行类比核算，数据有效可行。</w:t>
            </w:r>
          </w:p>
          <w:p w14:paraId="4EB1226C">
            <w:pPr>
              <w:pStyle w:val="45"/>
              <w:widowControl w:val="0"/>
              <w:kinsoku/>
              <w:topLinePunct/>
              <w:autoSpaceDE/>
              <w:autoSpaceDN/>
              <w:adjustRightInd/>
              <w:snapToGrid/>
              <w:spacing w:line="360" w:lineRule="auto"/>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lang w:val="en-US" w:eastAsia="zh-CN"/>
              </w:rPr>
              <w:t>根据企业</w:t>
            </w:r>
            <w:r>
              <w:rPr>
                <w:rFonts w:hint="eastAsia" w:ascii="Times New Roman" w:hAnsi="Times New Roman" w:eastAsia="宋体" w:cs="Times New Roman"/>
                <w:lang w:val="en-US" w:eastAsia="zh-CN"/>
              </w:rPr>
              <w:t>阶段性验收废气</w:t>
            </w:r>
            <w:r>
              <w:rPr>
                <w:rFonts w:ascii="Times New Roman" w:hAnsi="Times New Roman" w:eastAsia="宋体" w:cs="Times New Roman"/>
                <w:b w:val="0"/>
                <w:bCs/>
                <w:sz w:val="24"/>
                <w:szCs w:val="24"/>
              </w:rPr>
              <w:t>有组织废气检测结果</w:t>
            </w:r>
            <w:r>
              <w:rPr>
                <w:rFonts w:hint="eastAsia" w:ascii="Times New Roman" w:hAnsi="Times New Roman" w:eastAsia="宋体" w:cs="Times New Roman"/>
                <w:b w:val="0"/>
                <w:bCs/>
                <w:sz w:val="24"/>
                <w:szCs w:val="24"/>
                <w:lang w:val="en-US" w:eastAsia="zh-CN"/>
              </w:rPr>
              <w:t>及总量分析，原项目在年产</w:t>
            </w:r>
            <w:r>
              <w:rPr>
                <w:rFonts w:hint="eastAsia" w:ascii="Times New Roman" w:hAnsi="Times New Roman" w:eastAsia="宋体" w:cs="Times New Roman"/>
                <w:color w:val="auto"/>
                <w:sz w:val="24"/>
                <w:szCs w:val="24"/>
                <w:lang w:val="en-US" w:eastAsia="zh-CN"/>
              </w:rPr>
              <w:t>4000套工程机械金属结构件工况下，抛丸工序颗粒物有组织排放量为0.1264t/a，本项目产能为年产8000套工程机械金属结构件，推算得出抛丸工序颗粒物有组织排放量为0.2528t/a。项目抛丸工序颗粒物经抛丸机内密闭收集+布袋除尘器处理后经15m高排气筒DA001外排，抛丸机风量3000</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w:t>
            </w:r>
            <w:r>
              <w:rPr>
                <w:rFonts w:hint="eastAsia" w:ascii="Times New Roman" w:hAnsi="Times New Roman" w:eastAsia="宋体" w:cs="Times New Roman"/>
                <w:color w:val="auto"/>
                <w:sz w:val="24"/>
                <w:szCs w:val="24"/>
                <w:lang w:val="en-US" w:eastAsia="zh-CN"/>
              </w:rPr>
              <w:t>收集效率取95%，处理效率取99%，则倒推出抛丸工序产尘量为26.61t/a。</w:t>
            </w:r>
          </w:p>
          <w:p w14:paraId="3E8322DD">
            <w:pPr>
              <w:pStyle w:val="45"/>
              <w:widowControl w:val="0"/>
              <w:kinsoku/>
              <w:topLinePunct/>
              <w:autoSpaceDE/>
              <w:autoSpaceDN/>
              <w:adjustRightInd/>
              <w:snapToGrid/>
              <w:spacing w:line="360" w:lineRule="auto"/>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eastAsia" w:ascii="Times New Roman" w:hAnsi="Times New Roman" w:eastAsia="宋体" w:cs="Times New Roman"/>
                <w:sz w:val="24"/>
                <w:lang w:eastAsia="zh-CN"/>
              </w:rPr>
              <w:t>喷塑废气</w:t>
            </w:r>
          </w:p>
          <w:p w14:paraId="5E197F56">
            <w:pPr>
              <w:keepNext w:val="0"/>
              <w:keepLines w:val="0"/>
              <w:pageBreakBefore w:val="0"/>
              <w:widowControl w:val="0"/>
              <w:kinsoku/>
              <w:wordWrap/>
              <w:overflowPunct/>
              <w:topLinePunct/>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4"/>
                <w:sz w:val="24"/>
                <w:szCs w:val="20"/>
                <w:lang w:val="en-US" w:eastAsia="zh-CN" w:bidi="ar-SA"/>
                <w14:textFill>
                  <w14:solidFill>
                    <w14:schemeClr w14:val="tx1"/>
                  </w14:solidFill>
                </w14:textFill>
              </w:rPr>
              <w:t>根据</w:t>
            </w:r>
            <w:r>
              <w:rPr>
                <w:rFonts w:hint="eastAsia" w:ascii="Times New Roman" w:hAnsi="Times New Roman" w:eastAsia="宋体" w:cs="Times New Roman"/>
                <w:color w:val="000000" w:themeColor="text1"/>
                <w:kern w:val="24"/>
                <w:sz w:val="24"/>
                <w:szCs w:val="20"/>
                <w:lang w:val="en-US" w:eastAsia="zh-CN" w:bidi="ar-SA"/>
                <w14:textFill>
                  <w14:solidFill>
                    <w14:schemeClr w14:val="tx1"/>
                  </w14:solidFill>
                </w14:textFill>
              </w:rPr>
              <w:t>前文物料计算</w:t>
            </w:r>
            <w:r>
              <w:rPr>
                <w:rFonts w:hint="default" w:ascii="Times New Roman" w:hAnsi="Times New Roman" w:eastAsia="宋体" w:cs="Times New Roman"/>
                <w:color w:val="000000" w:themeColor="text1"/>
                <w:kern w:val="24"/>
                <w:sz w:val="24"/>
                <w:szCs w:val="20"/>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4"/>
                <w:sz w:val="24"/>
                <w:szCs w:val="20"/>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4"/>
                <w:sz w:val="24"/>
                <w:szCs w:val="20"/>
                <w:lang w:val="en-US" w:eastAsia="zh-CN" w:bidi="ar-SA"/>
                <w14:textFill>
                  <w14:solidFill>
                    <w14:schemeClr w14:val="tx1"/>
                  </w14:solidFill>
                </w14:textFill>
              </w:rPr>
              <w:t>塑粉使用量为</w:t>
            </w:r>
            <w:r>
              <w:rPr>
                <w:rFonts w:hint="eastAsia" w:ascii="Times New Roman" w:hAnsi="Times New Roman" w:eastAsia="宋体" w:cs="Times New Roman"/>
                <w:color w:val="000000" w:themeColor="text1"/>
                <w:kern w:val="24"/>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4"/>
                <w:sz w:val="24"/>
                <w:szCs w:val="20"/>
                <w:lang w:val="en-US" w:eastAsia="zh-CN" w:bidi="ar-SA"/>
                <w14:textFill>
                  <w14:solidFill>
                    <w14:schemeClr w14:val="tx1"/>
                  </w14:solidFill>
                </w14:textFill>
              </w:rPr>
              <w:t>t/a。</w:t>
            </w:r>
            <w:r>
              <w:rPr>
                <w:rFonts w:hint="default" w:ascii="Times New Roman" w:hAnsi="Times New Roman" w:eastAsia="宋体" w:cs="Times New Roman"/>
                <w:color w:val="auto"/>
                <w:sz w:val="24"/>
                <w:szCs w:val="24"/>
                <w:lang w:bidi="ar"/>
              </w:rPr>
              <w:t>根据《</w:t>
            </w:r>
            <w:r>
              <w:rPr>
                <w:rFonts w:hint="default" w:ascii="Times New Roman" w:hAnsi="Times New Roman" w:eastAsia="宋体" w:cs="Times New Roman"/>
                <w:color w:val="auto"/>
                <w:sz w:val="24"/>
                <w:szCs w:val="24"/>
                <w:lang w:val="en-US" w:eastAsia="zh-CN" w:bidi="ar"/>
              </w:rPr>
              <w:t>污染源统计调查产排污核算方法和系数手册</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bCs/>
                <w:color w:val="auto"/>
                <w:sz w:val="24"/>
                <w:szCs w:val="24"/>
              </w:rPr>
              <w:t>机械行业系数手册</w:t>
            </w:r>
            <w:r>
              <w:rPr>
                <w:rFonts w:hint="default" w:ascii="Times New Roman" w:hAnsi="Times New Roman" w:eastAsia="宋体" w:cs="Times New Roman"/>
                <w:bCs/>
                <w:color w:val="auto"/>
                <w:sz w:val="24"/>
                <w:szCs w:val="24"/>
                <w:lang w:val="en-US" w:eastAsia="zh-CN"/>
              </w:rPr>
              <w:t>14涂装</w:t>
            </w:r>
            <w:r>
              <w:rPr>
                <w:rFonts w:hint="default" w:ascii="Times New Roman" w:hAnsi="Times New Roman" w:eastAsia="宋体" w:cs="Times New Roman"/>
                <w:bCs/>
                <w:color w:val="auto"/>
                <w:sz w:val="24"/>
                <w:szCs w:val="24"/>
              </w:rPr>
              <w:t>核算环节中</w:t>
            </w:r>
            <w:r>
              <w:rPr>
                <w:rFonts w:hint="default" w:ascii="Times New Roman" w:hAnsi="Times New Roman" w:eastAsia="宋体" w:cs="Times New Roman"/>
                <w:bCs/>
                <w:color w:val="auto"/>
                <w:sz w:val="24"/>
                <w:szCs w:val="24"/>
                <w:lang w:val="en-US" w:eastAsia="zh-CN"/>
              </w:rPr>
              <w:t>喷塑</w:t>
            </w:r>
            <w:r>
              <w:rPr>
                <w:rFonts w:hint="default" w:ascii="Times New Roman" w:hAnsi="Times New Roman" w:eastAsia="宋体" w:cs="Times New Roman"/>
                <w:bCs/>
                <w:color w:val="auto"/>
                <w:sz w:val="24"/>
                <w:szCs w:val="24"/>
              </w:rPr>
              <w:t>颗粒物</w:t>
            </w:r>
            <w:r>
              <w:rPr>
                <w:rFonts w:hint="default" w:ascii="Times New Roman" w:hAnsi="Times New Roman" w:eastAsia="宋体" w:cs="Times New Roman"/>
                <w:bCs/>
                <w:color w:val="auto"/>
                <w:sz w:val="24"/>
                <w:szCs w:val="24"/>
                <w:lang w:val="en-US" w:eastAsia="zh-CN"/>
              </w:rPr>
              <w:t>300</w:t>
            </w:r>
            <w:r>
              <w:rPr>
                <w:rFonts w:hint="default" w:ascii="Times New Roman" w:hAnsi="Times New Roman" w:eastAsia="宋体" w:cs="Times New Roman"/>
                <w:bCs/>
                <w:color w:val="auto"/>
                <w:sz w:val="24"/>
                <w:szCs w:val="24"/>
              </w:rPr>
              <w:t>千克/吨-原料</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则项目喷塑过程粉尘产生量为</w:t>
            </w:r>
            <w:r>
              <w:rPr>
                <w:rFonts w:hint="eastAsia" w:ascii="Times New Roman" w:hAnsi="Times New Roman" w:eastAsia="宋体" w:cs="Times New Roman"/>
                <w:bCs/>
                <w:color w:val="auto"/>
                <w:sz w:val="24"/>
                <w:szCs w:val="24"/>
                <w:lang w:val="en-US" w:eastAsia="zh-CN"/>
              </w:rPr>
              <w:t>1.5</w:t>
            </w:r>
            <w:r>
              <w:rPr>
                <w:rFonts w:hint="default" w:ascii="Times New Roman" w:hAnsi="Times New Roman" w:eastAsia="宋体" w:cs="Times New Roman"/>
                <w:bCs/>
                <w:color w:val="auto"/>
                <w:sz w:val="24"/>
                <w:szCs w:val="24"/>
                <w:lang w:val="en-US" w:eastAsia="zh-CN"/>
              </w:rPr>
              <w:t>t/a，项目</w:t>
            </w:r>
            <w:r>
              <w:rPr>
                <w:rFonts w:hint="eastAsia" w:ascii="Times New Roman" w:hAnsi="Times New Roman" w:eastAsia="宋体" w:cs="Times New Roman"/>
                <w:bCs/>
                <w:color w:val="auto"/>
                <w:sz w:val="24"/>
                <w:szCs w:val="24"/>
                <w:lang w:val="en-US" w:eastAsia="zh-CN"/>
              </w:rPr>
              <w:t>设置喷塑间（尺寸为</w:t>
            </w:r>
            <w:r>
              <w:rPr>
                <w:rFonts w:ascii="Times New Roman" w:hAnsi="Times New Roman" w:eastAsia="宋体" w:cs="Times New Roman"/>
                <w:color w:val="000000" w:themeColor="text1"/>
                <w:sz w:val="24"/>
                <w:szCs w:val="24"/>
                <w:lang w:eastAsia="zh-CN"/>
                <w14:textFill>
                  <w14:solidFill>
                    <w14:schemeClr w14:val="tx1"/>
                  </w14:solidFill>
                </w14:textFill>
              </w:rPr>
              <w:t>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lang w:eastAsia="zh-CN"/>
                <w14:textFill>
                  <w14:solidFill>
                    <w14:schemeClr w14:val="tx1"/>
                  </w14:solidFill>
                </w14:textFill>
              </w:rPr>
              <w:t>m×W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ascii="Times New Roman" w:hAnsi="Times New Roman" w:eastAsia="宋体" w:cs="Times New Roman"/>
                <w:color w:val="000000" w:themeColor="text1"/>
                <w:sz w:val="24"/>
                <w:szCs w:val="24"/>
                <w:lang w:eastAsia="zh-CN"/>
                <w14:textFill>
                  <w14:solidFill>
                    <w14:schemeClr w14:val="tx1"/>
                  </w14:solidFill>
                </w14:textFill>
              </w:rPr>
              <w:t>m×H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bCs/>
                <w:color w:val="auto"/>
                <w:sz w:val="24"/>
                <w:szCs w:val="24"/>
                <w:lang w:val="en-US" w:eastAsia="zh-CN"/>
              </w:rPr>
              <w:t>）并密闭收集，</w:t>
            </w:r>
            <w:r>
              <w:rPr>
                <w:rFonts w:hint="default" w:ascii="Times New Roman" w:hAnsi="Times New Roman" w:eastAsia="宋体" w:cs="Times New Roman"/>
                <w:bCs/>
                <w:color w:val="auto"/>
                <w:sz w:val="24"/>
                <w:szCs w:val="24"/>
                <w:lang w:val="en-US" w:eastAsia="zh-CN"/>
              </w:rPr>
              <w:t>粉尘经滤芯回收装置处理后经</w:t>
            </w:r>
            <w:r>
              <w:rPr>
                <w:rFonts w:hint="eastAsia" w:ascii="Times New Roman" w:hAnsi="Times New Roman" w:eastAsia="宋体" w:cs="Times New Roman"/>
                <w:bCs/>
                <w:color w:val="auto"/>
                <w:sz w:val="24"/>
                <w:szCs w:val="24"/>
                <w:lang w:val="en-US" w:eastAsia="zh-CN"/>
              </w:rPr>
              <w:t>15</w:t>
            </w:r>
            <w:r>
              <w:rPr>
                <w:rFonts w:hint="default" w:ascii="Times New Roman" w:hAnsi="Times New Roman" w:eastAsia="宋体" w:cs="Times New Roman"/>
                <w:bCs/>
                <w:color w:val="auto"/>
                <w:sz w:val="24"/>
                <w:szCs w:val="24"/>
                <w:lang w:val="en-US" w:eastAsia="zh-CN"/>
              </w:rPr>
              <w:t>m高排气筒DA0</w:t>
            </w:r>
            <w:r>
              <w:rPr>
                <w:rFonts w:hint="eastAsia" w:ascii="Times New Roman" w:hAnsi="Times New Roman" w:eastAsia="宋体" w:cs="Times New Roman"/>
                <w:bCs/>
                <w:color w:val="auto"/>
                <w:sz w:val="24"/>
                <w:szCs w:val="24"/>
                <w:lang w:val="en-US" w:eastAsia="zh-CN"/>
              </w:rPr>
              <w:t>02</w:t>
            </w:r>
            <w:r>
              <w:rPr>
                <w:rFonts w:hint="default" w:ascii="Times New Roman" w:hAnsi="Times New Roman" w:eastAsia="宋体" w:cs="Times New Roman"/>
                <w:bCs/>
                <w:color w:val="auto"/>
                <w:sz w:val="24"/>
                <w:szCs w:val="24"/>
                <w:lang w:val="en-US" w:eastAsia="zh-CN"/>
              </w:rPr>
              <w:t>排放，</w:t>
            </w:r>
            <w:r>
              <w:rPr>
                <w:rFonts w:hint="eastAsia" w:ascii="Times New Roman" w:hAnsi="Times New Roman" w:eastAsia="宋体" w:cs="Times New Roman"/>
                <w:bCs/>
                <w:color w:val="auto"/>
                <w:sz w:val="24"/>
                <w:szCs w:val="24"/>
                <w:lang w:val="en-US" w:eastAsia="zh-CN"/>
              </w:rPr>
              <w:t>收集效率95%，</w:t>
            </w:r>
            <w:r>
              <w:rPr>
                <w:rFonts w:hint="default" w:ascii="Times New Roman" w:hAnsi="Times New Roman" w:eastAsia="宋体" w:cs="Times New Roman"/>
                <w:bCs/>
                <w:color w:val="auto"/>
                <w:sz w:val="24"/>
                <w:szCs w:val="24"/>
                <w:lang w:val="en-US" w:eastAsia="zh-CN"/>
              </w:rPr>
              <w:t>处理效率95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%，则喷塑粉尘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有组织</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排放量为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0.072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，无组织排放量为0.075t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6D44F643">
            <w:pPr>
              <w:pStyle w:val="45"/>
              <w:widowControl w:val="0"/>
              <w:kinsoku/>
              <w:topLinePunct/>
              <w:autoSpaceDE/>
              <w:autoSpaceDN/>
              <w:adjustRightInd/>
              <w:snapToGrid/>
              <w:spacing w:line="360" w:lineRule="auto"/>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项目喷塑间</w:t>
            </w:r>
            <w:r>
              <w:rPr>
                <w:rFonts w:hint="eastAsia" w:ascii="Times New Roman" w:hAnsi="Times New Roman" w:eastAsia="宋体" w:cs="Times New Roman"/>
                <w:bCs/>
                <w:color w:val="auto"/>
                <w:sz w:val="24"/>
                <w:szCs w:val="24"/>
                <w:lang w:val="en-US" w:eastAsia="zh-CN"/>
              </w:rPr>
              <w:t>（尺寸为</w:t>
            </w:r>
            <w:r>
              <w:rPr>
                <w:rFonts w:ascii="Times New Roman" w:hAnsi="Times New Roman" w:eastAsia="宋体" w:cs="Times New Roman"/>
                <w:color w:val="000000" w:themeColor="text1"/>
                <w:sz w:val="24"/>
                <w:szCs w:val="24"/>
                <w:lang w:eastAsia="zh-CN"/>
                <w14:textFill>
                  <w14:solidFill>
                    <w14:schemeClr w14:val="tx1"/>
                  </w14:solidFill>
                </w14:textFill>
              </w:rPr>
              <w:t>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lang w:eastAsia="zh-CN"/>
                <w14:textFill>
                  <w14:solidFill>
                    <w14:schemeClr w14:val="tx1"/>
                  </w14:solidFill>
                </w14:textFill>
              </w:rPr>
              <w:t>m×W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ascii="Times New Roman" w:hAnsi="Times New Roman" w:eastAsia="宋体" w:cs="Times New Roman"/>
                <w:color w:val="000000" w:themeColor="text1"/>
                <w:sz w:val="24"/>
                <w:szCs w:val="24"/>
                <w:lang w:eastAsia="zh-CN"/>
                <w14:textFill>
                  <w14:solidFill>
                    <w14:schemeClr w14:val="tx1"/>
                  </w14:solidFill>
                </w14:textFill>
              </w:rPr>
              <w:t>m×H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bCs/>
                <w:color w:val="auto"/>
                <w:sz w:val="24"/>
                <w:szCs w:val="24"/>
                <w:lang w:val="en-US" w:eastAsia="zh-CN"/>
              </w:rPr>
              <w:t>），设置换风次数为20次/h，则所需风量为2400</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/h，</w:t>
            </w:r>
            <w:r>
              <w:rPr>
                <w:rFonts w:hint="eastAsia" w:ascii="Times New Roman" w:hAnsi="Times New Roman" w:eastAsia="宋体" w:cs="Times New Roman"/>
                <w:color w:val="000000" w:themeColor="text1"/>
                <w:sz w:val="24"/>
                <w:szCs w:val="24"/>
                <w:lang w:eastAsia="zh-CN"/>
                <w14:textFill>
                  <w14:solidFill>
                    <w14:schemeClr w14:val="tx1"/>
                  </w14:solidFill>
                </w14:textFill>
              </w:rPr>
              <w:t>考虑管道损耗，则风机风量为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3000</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w:t>
            </w:r>
          </w:p>
          <w:p w14:paraId="12F2DDBE">
            <w:pPr>
              <w:pStyle w:val="12"/>
              <w:numPr>
                <w:ilvl w:val="0"/>
                <w:numId w:val="0"/>
              </w:num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2、挥发性有机物</w:t>
            </w:r>
          </w:p>
          <w:p w14:paraId="0A316BD6">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（1）</w:t>
            </w:r>
            <w:r>
              <w:rPr>
                <w:rFonts w:hint="eastAsia" w:ascii="Times New Roman" w:hAnsi="Times New Roman" w:eastAsia="宋体" w:cs="Times New Roman"/>
                <w:sz w:val="24"/>
                <w:lang w:eastAsia="zh-CN"/>
              </w:rPr>
              <w:t>电泳</w:t>
            </w:r>
            <w:r>
              <w:rPr>
                <w:rFonts w:hint="eastAsia" w:ascii="Times New Roman" w:hAnsi="Times New Roman" w:eastAsia="宋体" w:cs="Times New Roman"/>
                <w:color w:val="auto"/>
                <w:sz w:val="24"/>
                <w:szCs w:val="24"/>
                <w:lang w:val="en-US" w:eastAsia="zh-CN"/>
              </w:rPr>
              <w:t>废气</w:t>
            </w:r>
          </w:p>
          <w:p w14:paraId="495F031A">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szCs w:val="24"/>
                <w:lang w:eastAsia="zh-CN"/>
              </w:rPr>
              <w:t>本次</w:t>
            </w:r>
            <w:r>
              <w:rPr>
                <w:rFonts w:hint="eastAsia" w:ascii="Times New Roman" w:hAnsi="Times New Roman" w:eastAsia="宋体" w:cs="Times New Roman"/>
                <w:color w:val="auto"/>
                <w:sz w:val="24"/>
                <w:szCs w:val="24"/>
                <w:lang w:val="en-US" w:eastAsia="zh-CN"/>
              </w:rPr>
              <w:t>电泳</w:t>
            </w:r>
            <w:r>
              <w:rPr>
                <w:rFonts w:hint="default" w:ascii="Times New Roman" w:hAnsi="Times New Roman" w:eastAsia="宋体" w:cs="Times New Roman"/>
                <w:color w:val="auto"/>
                <w:sz w:val="24"/>
                <w:szCs w:val="24"/>
                <w:lang w:eastAsia="zh-CN"/>
              </w:rPr>
              <w:t>废气采用类比法，类比对象为安徽博钧机械设备有限公司</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年加工制造8000套工程机械金属构件项目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，本项目为</w:t>
            </w:r>
            <w:r>
              <w:rPr>
                <w:rFonts w:hint="eastAsia" w:ascii="Times New Roman" w:hAnsi="Times New Roman" w:eastAsia="宋体" w:cs="Times New Roman"/>
                <w:color w:val="auto"/>
                <w:sz w:val="24"/>
                <w:szCs w:val="24"/>
                <w:lang w:val="en-US" w:eastAsia="zh-CN"/>
              </w:rPr>
              <w:t>原有项目</w:t>
            </w:r>
            <w:r>
              <w:rPr>
                <w:rFonts w:hint="default" w:ascii="Times New Roman" w:hAnsi="Times New Roman" w:eastAsia="宋体" w:cs="Times New Roman"/>
                <w:color w:val="auto"/>
                <w:sz w:val="24"/>
                <w:szCs w:val="24"/>
                <w:lang w:eastAsia="zh-CN"/>
              </w:rPr>
              <w:t>迁建项目，建设前后</w:t>
            </w:r>
            <w:r>
              <w:rPr>
                <w:rFonts w:hint="eastAsia" w:ascii="Times New Roman" w:hAnsi="Times New Roman" w:eastAsia="宋体" w:cs="Times New Roman"/>
                <w:color w:val="auto"/>
                <w:sz w:val="24"/>
                <w:szCs w:val="24"/>
                <w:lang w:val="en-US" w:eastAsia="zh-CN"/>
              </w:rPr>
              <w:t>电泳工序工况相同，且废气处理措施相同，电泳</w:t>
            </w:r>
            <w:r>
              <w:rPr>
                <w:rFonts w:hint="default" w:ascii="Times New Roman" w:hAnsi="Times New Roman" w:eastAsia="宋体" w:cs="Times New Roman"/>
                <w:color w:val="auto"/>
                <w:sz w:val="24"/>
                <w:szCs w:val="24"/>
                <w:lang w:eastAsia="zh-CN"/>
              </w:rPr>
              <w:t>工序</w:t>
            </w:r>
            <w:r>
              <w:rPr>
                <w:rFonts w:hint="eastAsia"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lang w:eastAsia="zh-CN"/>
              </w:rPr>
              <w:t>产污强度基本相同；区别仅为</w:t>
            </w:r>
            <w:r>
              <w:rPr>
                <w:rFonts w:hint="eastAsia" w:ascii="Times New Roman" w:hAnsi="Times New Roman" w:eastAsia="宋体" w:cs="Times New Roman"/>
                <w:color w:val="auto"/>
                <w:sz w:val="24"/>
                <w:szCs w:val="24"/>
                <w:lang w:val="en-US" w:eastAsia="zh-CN"/>
              </w:rPr>
              <w:t>项目验收为阶段性验收，产品产能为年产4000套工程机械金属结构件，本项目为年产8000套工程机械金属结构件，是阶段性验收产能的两倍</w:t>
            </w:r>
            <w:r>
              <w:rPr>
                <w:rFonts w:hint="eastAsia" w:ascii="Times New Roman" w:hAnsi="Times New Roman" w:eastAsia="宋体" w:cs="Times New Roman"/>
                <w:color w:val="auto"/>
                <w:sz w:val="24"/>
                <w:szCs w:val="24"/>
                <w:lang w:eastAsia="zh-CN"/>
              </w:rPr>
              <w:t>。综上，本项目与原有项目</w:t>
            </w:r>
            <w:r>
              <w:rPr>
                <w:rFonts w:hint="default" w:ascii="Times New Roman" w:hAnsi="Times New Roman" w:eastAsia="宋体" w:cs="Times New Roman"/>
                <w:color w:val="auto"/>
                <w:sz w:val="24"/>
                <w:szCs w:val="24"/>
                <w:lang w:eastAsia="zh-CN"/>
              </w:rPr>
              <w:t>具备类比条件，本次采用原有项目环评及验收监测数据进行类比核算，数据有效可行。</w:t>
            </w:r>
          </w:p>
          <w:p w14:paraId="117F3304">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color w:val="auto"/>
                <w:kern w:val="2"/>
                <w:sz w:val="24"/>
                <w:szCs w:val="24"/>
                <w:lang w:val="en-US" w:eastAsia="zh-CN" w:bidi="ar-SA"/>
              </w:rPr>
              <w:t>根据企业</w:t>
            </w:r>
            <w:r>
              <w:rPr>
                <w:rFonts w:hint="eastAsia" w:ascii="Times New Roman" w:hAnsi="Times New Roman" w:eastAsia="宋体" w:cs="Times New Roman"/>
                <w:color w:val="auto"/>
                <w:kern w:val="2"/>
                <w:sz w:val="24"/>
                <w:szCs w:val="24"/>
                <w:lang w:val="en-US" w:eastAsia="zh-CN" w:bidi="ar-SA"/>
              </w:rPr>
              <w:t>阶段性验收废气</w:t>
            </w:r>
            <w:r>
              <w:rPr>
                <w:rFonts w:hint="default" w:ascii="Times New Roman" w:hAnsi="Times New Roman" w:eastAsia="宋体" w:cs="Times New Roman"/>
                <w:color w:val="auto"/>
                <w:kern w:val="2"/>
                <w:sz w:val="24"/>
                <w:szCs w:val="24"/>
                <w:lang w:val="en-US" w:eastAsia="zh-CN" w:bidi="ar-SA"/>
              </w:rPr>
              <w:t>有组织废气检测结果</w:t>
            </w:r>
            <w:r>
              <w:rPr>
                <w:rFonts w:hint="eastAsia" w:ascii="Times New Roman" w:hAnsi="Times New Roman" w:eastAsia="宋体" w:cs="Times New Roman"/>
                <w:color w:val="auto"/>
                <w:kern w:val="2"/>
                <w:sz w:val="24"/>
                <w:szCs w:val="24"/>
                <w:lang w:val="en-US" w:eastAsia="zh-CN" w:bidi="ar-SA"/>
              </w:rPr>
              <w:t>及总量分</w:t>
            </w:r>
            <w:r>
              <w:rPr>
                <w:rFonts w:hint="eastAsia" w:ascii="Times New Roman" w:hAnsi="Times New Roman" w:eastAsia="宋体" w:cs="Times New Roman"/>
                <w:b w:val="0"/>
                <w:bCs/>
                <w:sz w:val="24"/>
                <w:szCs w:val="24"/>
                <w:lang w:val="en-US" w:eastAsia="zh-CN"/>
              </w:rPr>
              <w:t>析，原项目在年产</w:t>
            </w:r>
            <w:r>
              <w:rPr>
                <w:rFonts w:hint="eastAsia" w:ascii="Times New Roman" w:hAnsi="Times New Roman" w:eastAsia="宋体" w:cs="Times New Roman"/>
                <w:color w:val="auto"/>
                <w:sz w:val="24"/>
                <w:szCs w:val="24"/>
                <w:lang w:val="en-US" w:eastAsia="zh-CN"/>
              </w:rPr>
              <w:t>4000套工程机械金属结构件工况下，电泳（含烘干）工序非甲烷总烃有组织排放量为0.0387t/a，本项目产能为年产8000套工程机械金属结构件，推算得出抛丸工序颗粒物有组织排放量为0.0774t/a。项目电泳工序非甲烷总烃经集气罩收集+干式过滤+二级活性炭处理后经15m高排气筒DA003外排，收集效率取90%，处理效率取90%，则倒推出电泳工序非甲烷总烃产生量为0.86t/a。</w:t>
            </w:r>
          </w:p>
          <w:p w14:paraId="6BAF2841">
            <w:pPr>
              <w:spacing w:line="360" w:lineRule="auto"/>
              <w:ind w:firstLine="480" w:firstLineChars="200"/>
              <w:jc w:val="left"/>
              <w:rPr>
                <w:rFonts w:ascii="Times New Roman" w:hAnsi="Times New Roman" w:cs="Times New Roman" w:eastAsiaTheme="minorEastAsia"/>
                <w:color w:val="000000" w:themeColor="text1"/>
                <w:kern w:val="0"/>
                <w:sz w:val="24"/>
                <w:szCs w:val="22"/>
                <w14:textFill>
                  <w14:solidFill>
                    <w14:schemeClr w14:val="tx1"/>
                  </w14:solidFill>
                </w14:textFill>
              </w:rPr>
            </w:pPr>
            <w:r>
              <w:rPr>
                <w:rFonts w:hint="eastAsia" w:ascii="宋体" w:hAnsi="宋体" w:eastAsia="宋体"/>
                <w:color w:val="000000" w:themeColor="text1"/>
                <w:kern w:val="0"/>
                <w:sz w:val="24"/>
                <w:szCs w:val="22"/>
                <w14:textFill>
                  <w14:solidFill>
                    <w14:schemeClr w14:val="tx1"/>
                  </w14:solidFill>
                </w14:textFill>
              </w:rPr>
              <w:t>风量核算</w:t>
            </w:r>
          </w:p>
          <w:p w14:paraId="39A8291E">
            <w:pPr>
              <w:autoSpaceDE w:val="0"/>
              <w:autoSpaceDN w:val="0"/>
              <w:adjustRightIn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参照《环境工程设计手册》，项目矩形集气罩</w:t>
            </w:r>
            <w:r>
              <w:rPr>
                <w:rFonts w:hint="eastAsia" w:ascii="Times New Roman" w:hAnsi="Times New Roman" w:eastAsia="宋体" w:cs="Times New Roman"/>
                <w:color w:val="000000" w:themeColor="text1"/>
                <w:kern w:val="0"/>
                <w:sz w:val="24"/>
                <w14:textFill>
                  <w14:solidFill>
                    <w14:schemeClr w14:val="tx1"/>
                  </w14:solidFill>
                </w14:textFill>
              </w:rPr>
              <w:t>无法兰边排</w:t>
            </w:r>
            <w:r>
              <w:rPr>
                <w:rFonts w:ascii="Times New Roman" w:hAnsi="Times New Roman" w:eastAsia="宋体" w:cs="Times New Roman"/>
                <w:color w:val="000000" w:themeColor="text1"/>
                <w:kern w:val="0"/>
                <w:sz w:val="24"/>
                <w14:textFill>
                  <w14:solidFill>
                    <w14:schemeClr w14:val="tx1"/>
                  </w14:solidFill>
                </w14:textFill>
              </w:rPr>
              <w:t>风量按如下公式进行计算：</w:t>
            </w:r>
          </w:p>
          <w:p w14:paraId="033E46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snapToGrid w:val="0"/>
                <w:color w:val="auto"/>
                <w:kern w:val="0"/>
                <w:sz w:val="24"/>
                <w:szCs w:val="24"/>
                <w:lang w:eastAsia="zh-CN"/>
              </w:rPr>
            </w:pPr>
            <w:r>
              <w:rPr>
                <w:rFonts w:hint="eastAsia" w:ascii="Times New Roman" w:hAnsi="Times New Roman" w:eastAsia="宋体" w:cs="Times New Roman"/>
                <w:snapToGrid w:val="0"/>
                <w:color w:val="auto"/>
                <w:kern w:val="0"/>
                <w:sz w:val="24"/>
                <w:szCs w:val="24"/>
                <w:lang w:eastAsia="zh-CN"/>
              </w:rPr>
              <w:t>L=（10x</w:t>
            </w:r>
            <w:r>
              <w:rPr>
                <w:rFonts w:hint="eastAsia" w:ascii="Times New Roman" w:hAnsi="Times New Roman" w:eastAsia="宋体" w:cs="Times New Roman"/>
                <w:snapToGrid w:val="0"/>
                <w:color w:val="auto"/>
                <w:kern w:val="0"/>
                <w:sz w:val="24"/>
                <w:szCs w:val="24"/>
                <w:vertAlign w:val="superscript"/>
                <w:lang w:eastAsia="zh-CN"/>
              </w:rPr>
              <w:t>2</w:t>
            </w:r>
            <w:r>
              <w:rPr>
                <w:rFonts w:hint="eastAsia" w:ascii="Times New Roman" w:hAnsi="Times New Roman" w:eastAsia="宋体" w:cs="Times New Roman"/>
                <w:snapToGrid w:val="0"/>
                <w:color w:val="auto"/>
                <w:kern w:val="0"/>
                <w:sz w:val="24"/>
                <w:szCs w:val="24"/>
                <w:lang w:eastAsia="zh-CN"/>
              </w:rPr>
              <w:t>+F）Vx（x≤1.5d）</w:t>
            </w:r>
          </w:p>
          <w:p w14:paraId="07153EDA">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w:t>
            </w:r>
            <w:r>
              <w:rPr>
                <w:rFonts w:hint="eastAsia" w:ascii="Times New Roman" w:hAnsi="Times New Roman" w:eastAsia="宋体" w:cs="Times New Roman"/>
                <w:color w:val="auto"/>
                <w:sz w:val="24"/>
                <w:szCs w:val="24"/>
                <w:lang w:eastAsia="zh-CN"/>
              </w:rPr>
              <w:t>L</w:t>
            </w:r>
            <w:r>
              <w:rPr>
                <w:rFonts w:ascii="Times New Roman" w:hAnsi="Times New Roman" w:eastAsia="宋体" w:cs="Times New Roman"/>
                <w:color w:val="auto"/>
                <w:sz w:val="24"/>
                <w:szCs w:val="24"/>
                <w:lang w:eastAsia="zh-CN"/>
              </w:rPr>
              <w:t>——风量m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/s；</w:t>
            </w:r>
          </w:p>
          <w:p w14:paraId="5518E306">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x</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控制点至吸气口的距离（项目取0.5m）</w:t>
            </w:r>
            <w:r>
              <w:rPr>
                <w:rFonts w:ascii="Times New Roman" w:hAnsi="Times New Roman" w:eastAsia="宋体" w:cs="Times New Roman"/>
                <w:color w:val="auto"/>
                <w:sz w:val="24"/>
                <w:szCs w:val="24"/>
                <w:lang w:eastAsia="zh-CN"/>
              </w:rPr>
              <w:t>；</w:t>
            </w:r>
          </w:p>
          <w:p w14:paraId="36CA45FF">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F</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吸气口的面积，</w:t>
            </w:r>
            <w:r>
              <w:rPr>
                <w:rFonts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ascii="Times New Roman" w:hAnsi="Times New Roman" w:eastAsia="宋体" w:cs="Times New Roman"/>
                <w:color w:val="auto"/>
                <w:sz w:val="24"/>
                <w:szCs w:val="24"/>
                <w:lang w:eastAsia="zh-CN"/>
              </w:rPr>
              <w:t>；</w:t>
            </w:r>
          </w:p>
          <w:p w14:paraId="08EC169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Vx——控制</w:t>
            </w:r>
            <w:r>
              <w:rPr>
                <w:rFonts w:hint="eastAsia" w:ascii="Times New Roman" w:hAnsi="Times New Roman" w:eastAsia="宋体" w:cs="Times New Roman"/>
                <w:color w:val="auto"/>
                <w:sz w:val="24"/>
                <w:szCs w:val="24"/>
                <w:lang w:eastAsia="zh-CN"/>
              </w:rPr>
              <w:t>点的吸入</w:t>
            </w:r>
            <w:r>
              <w:rPr>
                <w:rFonts w:ascii="Times New Roman" w:hAnsi="Times New Roman" w:eastAsia="宋体" w:cs="Times New Roman"/>
                <w:color w:val="auto"/>
                <w:sz w:val="24"/>
                <w:szCs w:val="24"/>
                <w:lang w:eastAsia="zh-CN"/>
              </w:rPr>
              <w:t>速度m/s（本项目取0.</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m/s）</w:t>
            </w:r>
            <w:r>
              <w:rPr>
                <w:rFonts w:hint="eastAsia" w:ascii="Times New Roman" w:hAnsi="Times New Roman" w:eastAsia="宋体" w:cs="Times New Roman"/>
                <w:color w:val="auto"/>
                <w:sz w:val="24"/>
                <w:szCs w:val="24"/>
                <w:lang w:eastAsia="zh-CN"/>
              </w:rPr>
              <w:t>；</w:t>
            </w:r>
          </w:p>
          <w:p w14:paraId="642C49B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d</w:t>
            </w:r>
            <w:r>
              <w:rPr>
                <w:rFonts w:ascii="Times New Roman" w:hAnsi="Times New Roman" w:eastAsia="宋体" w:cs="Times New Roman"/>
                <w:color w:val="auto"/>
                <w:sz w:val="24"/>
                <w:szCs w:val="24"/>
                <w:lang w:eastAsia="zh-CN"/>
              </w:rPr>
              <w:t>——吸气口直径或当量直径，m。</w:t>
            </w:r>
          </w:p>
          <w:p w14:paraId="1E2D9A3C">
            <w:pPr>
              <w:kinsoku/>
              <w:autoSpaceDE/>
              <w:autoSpaceDN/>
              <w:adjustRightInd/>
              <w:snapToGrid/>
              <w:spacing w:line="360" w:lineRule="auto"/>
              <w:ind w:firstLine="480" w:firstLineChars="200"/>
              <w:textAlignment w:val="auto"/>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项目设置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14:textFill>
                  <w14:solidFill>
                    <w14:schemeClr w14:val="tx1"/>
                  </w14:solidFill>
                </w14:textFill>
              </w:rPr>
              <w:t>个</w:t>
            </w:r>
            <w:r>
              <w:rPr>
                <w:rFonts w:hint="eastAsia" w:ascii="Times New Roman" w:hAnsi="Times New Roman" w:eastAsia="宋体" w:cs="Times New Roman"/>
                <w:bCs/>
                <w:color w:val="000000" w:themeColor="text1"/>
                <w:sz w:val="24"/>
                <w:szCs w:val="24"/>
                <w:lang w:eastAsia="zh-CN"/>
                <w14:textFill>
                  <w14:solidFill>
                    <w14:schemeClr w14:val="tx1"/>
                  </w14:solidFill>
                </w14:textFill>
              </w:rPr>
              <w:t>电泳槽</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eastAsia="zh-CN"/>
                <w14:textFill>
                  <w14:solidFill>
                    <w14:schemeClr w14:val="tx1"/>
                  </w14:solidFill>
                </w14:textFill>
              </w:rPr>
              <w:t>电泳</w:t>
            </w:r>
            <w:r>
              <w:rPr>
                <w:rFonts w:hint="eastAsia" w:ascii="Times New Roman" w:hAnsi="Times New Roman" w:eastAsia="宋体" w:cs="Times New Roman"/>
                <w:bCs/>
                <w:color w:val="000000" w:themeColor="text1"/>
                <w:sz w:val="24"/>
                <w:szCs w:val="24"/>
                <w14:textFill>
                  <w14:solidFill>
                    <w14:schemeClr w14:val="tx1"/>
                  </w14:solidFill>
                </w14:textFill>
              </w:rPr>
              <w:t>槽侧面（两侧）设置</w:t>
            </w:r>
            <w:r>
              <w:rPr>
                <w:rFonts w:ascii="Times New Roman" w:hAnsi="Times New Roman" w:eastAsia="宋体" w:cs="Times New Roman"/>
                <w:bCs/>
                <w:color w:val="000000" w:themeColor="text1"/>
                <w:sz w:val="24"/>
                <w:szCs w:val="24"/>
                <w14:textFill>
                  <w14:solidFill>
                    <w14:schemeClr w14:val="tx1"/>
                  </w14:solidFill>
                </w14:textFill>
              </w:rPr>
              <w:t>集气罩（尺寸为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w:t>
            </w:r>
            <w:r>
              <w:rPr>
                <w:rFonts w:ascii="Times New Roman" w:hAnsi="Times New Roman" w:eastAsia="宋体" w:cs="Times New Roman"/>
                <w:bCs/>
                <w:color w:val="000000" w:themeColor="text1"/>
                <w:sz w:val="24"/>
                <w:szCs w:val="24"/>
                <w14:textFill>
                  <w14:solidFill>
                    <w14:schemeClr w14:val="tx1"/>
                  </w14:solidFill>
                </w14:textFill>
              </w:rPr>
              <w:t>m×</w:t>
            </w:r>
            <w:r>
              <w:rPr>
                <w:rFonts w:hint="eastAsia" w:ascii="Times New Roman" w:hAnsi="Times New Roman" w:eastAsia="宋体" w:cs="Times New Roman"/>
                <w:bCs/>
                <w:color w:val="000000" w:themeColor="text1"/>
                <w:sz w:val="24"/>
                <w:szCs w:val="24"/>
                <w14:textFill>
                  <w14:solidFill>
                    <w14:schemeClr w14:val="tx1"/>
                  </w14:solidFill>
                </w14:textFill>
              </w:rPr>
              <w:t>0.5</w:t>
            </w:r>
            <w:r>
              <w:rPr>
                <w:rFonts w:ascii="Times New Roman" w:hAnsi="Times New Roman" w:eastAsia="宋体" w:cs="Times New Roman"/>
                <w:bCs/>
                <w:color w:val="000000" w:themeColor="text1"/>
                <w:sz w:val="24"/>
                <w:szCs w:val="24"/>
                <w14:textFill>
                  <w14:solidFill>
                    <w14:schemeClr w14:val="tx1"/>
                  </w14:solidFill>
                </w14:textFill>
              </w:rPr>
              <w:t>m）。计算得风量为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9000</w:t>
            </w:r>
            <w:r>
              <w:rPr>
                <w:rFonts w:ascii="Times New Roman" w:hAnsi="Times New Roman" w:eastAsia="宋体" w:cs="Times New Roman"/>
                <w:bCs/>
                <w:color w:val="000000" w:themeColor="text1"/>
                <w:sz w:val="24"/>
                <w:szCs w:val="24"/>
                <w14:textFill>
                  <w14:solidFill>
                    <w14:schemeClr w14:val="tx1"/>
                  </w14:solidFill>
                </w14:textFill>
              </w:rPr>
              <w:t>m</w:t>
            </w:r>
            <w:r>
              <w:rPr>
                <w:rFonts w:ascii="Times New Roman" w:hAnsi="Times New Roman" w:eastAsia="宋体" w:cs="Times New Roman"/>
                <w:bCs/>
                <w:color w:val="000000" w:themeColor="text1"/>
                <w:sz w:val="24"/>
                <w:szCs w:val="24"/>
                <w:vertAlign w:val="superscript"/>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/h。</w:t>
            </w:r>
            <w:r>
              <w:rPr>
                <w:rFonts w:hint="eastAsia" w:ascii="Times New Roman" w:hAnsi="Times New Roman" w:eastAsia="宋体" w:cs="Times New Roman"/>
                <w:color w:val="000000" w:themeColor="text1"/>
                <w:sz w:val="24"/>
                <w:szCs w:val="24"/>
                <w:lang w:eastAsia="zh-CN"/>
                <w14:textFill>
                  <w14:solidFill>
                    <w14:schemeClr w14:val="tx1"/>
                  </w14:solidFill>
                </w14:textFill>
              </w:rPr>
              <w:t>考虑管道损耗，风机风量设定为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10000</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w:t>
            </w:r>
          </w:p>
          <w:p w14:paraId="66749808">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项目设置一个电泳烘干房（</w:t>
            </w:r>
            <w:r>
              <w:rPr>
                <w:rFonts w:ascii="Times New Roman" w:hAnsi="Times New Roman" w:eastAsia="宋体" w:cs="Times New Roman"/>
                <w:color w:val="000000" w:themeColor="text1"/>
                <w:sz w:val="24"/>
                <w:szCs w:val="24"/>
                <w:lang w:eastAsia="zh-CN"/>
                <w14:textFill>
                  <w14:solidFill>
                    <w14:schemeClr w14:val="tx1"/>
                  </w14:solidFill>
                </w14:textFill>
              </w:rPr>
              <w:t>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ascii="Times New Roman" w:hAnsi="Times New Roman" w:eastAsia="宋体" w:cs="Times New Roman"/>
                <w:color w:val="000000" w:themeColor="text1"/>
                <w:sz w:val="24"/>
                <w:szCs w:val="24"/>
                <w:lang w:eastAsia="zh-CN"/>
                <w14:textFill>
                  <w14:solidFill>
                    <w14:schemeClr w14:val="tx1"/>
                  </w14:solidFill>
                </w14:textFill>
              </w:rPr>
              <w:t>m×W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w:t>
            </w:r>
            <w:r>
              <w:rPr>
                <w:rFonts w:ascii="Times New Roman" w:hAnsi="Times New Roman" w:eastAsia="宋体" w:cs="Times New Roman"/>
                <w:color w:val="000000" w:themeColor="text1"/>
                <w:sz w:val="24"/>
                <w:szCs w:val="24"/>
                <w:lang w:eastAsia="zh-CN"/>
                <w14:textFill>
                  <w14:solidFill>
                    <w14:schemeClr w14:val="tx1"/>
                  </w14:solidFill>
                </w14:textFill>
              </w:rPr>
              <w:t>m×H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项目拟</w:t>
            </w:r>
            <w:r>
              <w:rPr>
                <w:rFonts w:hint="eastAsia" w:ascii="Times New Roman" w:hAnsi="Times New Roman" w:eastAsia="宋体" w:cs="Times New Roman"/>
                <w:color w:val="000000" w:themeColor="text1"/>
                <w:sz w:val="24"/>
                <w:szCs w:val="24"/>
                <w:lang w:eastAsia="zh-CN"/>
                <w14:textFill>
                  <w14:solidFill>
                    <w14:schemeClr w14:val="tx1"/>
                  </w14:solidFill>
                </w14:textFill>
              </w:rPr>
              <w:t>在烘干房出口上方</w:t>
            </w:r>
            <w:r>
              <w:rPr>
                <w:rFonts w:ascii="Times New Roman" w:hAnsi="Times New Roman" w:eastAsia="宋体" w:cs="Times New Roman"/>
                <w:color w:val="000000" w:themeColor="text1"/>
                <w:sz w:val="24"/>
                <w:szCs w:val="24"/>
                <w:lang w:eastAsia="zh-CN"/>
                <w14:textFill>
                  <w14:solidFill>
                    <w14:schemeClr w14:val="tx1"/>
                  </w14:solidFill>
                </w14:textFill>
              </w:rPr>
              <w:t>设置集气罩，集气罩尺寸为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0.4m</w:t>
            </w:r>
            <w:r>
              <w:rPr>
                <w:rFonts w:ascii="Times New Roman" w:hAnsi="Times New Roman" w:eastAsia="宋体" w:cs="Times New Roman"/>
                <w:color w:val="auto"/>
                <w:sz w:val="24"/>
                <w:szCs w:val="24"/>
                <w:lang w:eastAsia="zh-CN"/>
              </w:rPr>
              <w:t>根据《环境工程设计手册》（修订版），单个集气罩集气风量计算公式：</w:t>
            </w:r>
          </w:p>
          <w:p w14:paraId="5A123C4C">
            <w:pPr>
              <w:widowControl w:val="0"/>
              <w:kinsoku/>
              <w:autoSpaceDE/>
              <w:autoSpaceDN/>
              <w:adjustRightInd/>
              <w:snapToGrid/>
              <w:spacing w:line="360" w:lineRule="auto"/>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L=kPHVx</w:t>
            </w:r>
          </w:p>
          <w:p w14:paraId="5F4A36ED">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式中：L——为集气罩集气风量，单位为m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0237E9C8">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K——为安全系数1.4；</w:t>
            </w:r>
          </w:p>
          <w:p w14:paraId="4BC8788A">
            <w:pPr>
              <w:widowControl w:val="0"/>
              <w:kinsoku/>
              <w:autoSpaceDE/>
              <w:autoSpaceDN/>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P——排风罩口敞开面的周长，单位为m；</w:t>
            </w:r>
          </w:p>
          <w:p w14:paraId="6037D08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H——为罩口至污染源的距离，单位为m，本次取0.</w:t>
            </w:r>
            <w:r>
              <w:rPr>
                <w:rFonts w:ascii="Times New Roman" w:hAnsi="Times New Roman" w:cs="Times New Roman"/>
                <w:color w:val="auto"/>
                <w:sz w:val="24"/>
                <w:szCs w:val="24"/>
                <w:lang w:eastAsia="zh-CN"/>
              </w:rPr>
              <w:t>3</w:t>
            </w:r>
            <w:r>
              <w:rPr>
                <w:rFonts w:ascii="Times New Roman" w:hAnsi="Times New Roman" w:eastAsia="宋体" w:cs="Times New Roman"/>
                <w:color w:val="auto"/>
                <w:sz w:val="24"/>
                <w:szCs w:val="24"/>
                <w:lang w:eastAsia="zh-CN"/>
              </w:rPr>
              <w:t>m；</w:t>
            </w:r>
          </w:p>
          <w:p w14:paraId="7FE4F284">
            <w:pPr>
              <w:pStyle w:val="10"/>
              <w:keepNext w:val="0"/>
              <w:keepLines w:val="0"/>
              <w:pageBreakBefore w:val="0"/>
              <w:widowControl w:val="0"/>
              <w:kinsoku/>
              <w:wordWrap/>
              <w:overflowPunct/>
              <w:topLinePunct w:val="0"/>
              <w:autoSpaceDE/>
              <w:autoSpaceDN/>
              <w:bidi w:val="0"/>
              <w:adjustRightInd/>
              <w:snapToGrid/>
              <w:spacing w:after="0"/>
              <w:ind w:left="0" w:leftChars="0"/>
              <w:textAlignment w:val="auto"/>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ascii="Times New Roman" w:hAnsi="Times New Roman" w:eastAsia="宋体" w:cs="Times New Roman"/>
                <w:color w:val="auto"/>
                <w:sz w:val="24"/>
                <w:szCs w:val="24"/>
                <w:lang w:eastAsia="zh-CN"/>
              </w:rPr>
              <w:t xml:space="preserve">      Vx：污染源气体流速，一般在0.5m/s~1.5m/s，按照《环境工程设计手册》中的有关公式，烟尘废气收集系统或设备的控制风速要在0.6m/s以</w:t>
            </w:r>
            <w: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t>上，本次评价取均值1.0m/s。</w:t>
            </w:r>
          </w:p>
          <w:p w14:paraId="1E45CB95">
            <w:pPr>
              <w:kinsoku/>
              <w:autoSpaceDE/>
              <w:autoSpaceDN/>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计算得出本项目</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电泳烘干房出口</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集气罩所需风量为</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8769</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/h，考虑管道损耗，则风机风量为</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10000</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/h。</w:t>
            </w:r>
          </w:p>
          <w:p w14:paraId="6FF883EC">
            <w:pPr>
              <w:widowControl w:val="0"/>
              <w:numPr>
                <w:ilvl w:val="0"/>
                <w:numId w:val="4"/>
              </w:numPr>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lang w:eastAsia="zh-CN"/>
              </w:rPr>
              <w:t>固化</w:t>
            </w:r>
            <w:r>
              <w:rPr>
                <w:rFonts w:hint="eastAsia" w:ascii="Times New Roman" w:hAnsi="Times New Roman" w:eastAsia="宋体" w:cs="Times New Roman"/>
                <w:color w:val="auto"/>
                <w:sz w:val="24"/>
                <w:szCs w:val="24"/>
                <w:lang w:val="en-US" w:eastAsia="zh-CN"/>
              </w:rPr>
              <w:t>废气</w:t>
            </w:r>
          </w:p>
          <w:p w14:paraId="185D0B4D">
            <w:pPr>
              <w:pStyle w:val="33"/>
              <w:keepNext w:val="0"/>
              <w:keepLines w:val="0"/>
              <w:pageBreakBefore w:val="0"/>
              <w:widowControl w:val="0"/>
              <w:numPr>
                <w:ilvl w:val="1"/>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w:t>
            </w:r>
            <w:r>
              <w:rPr>
                <w:rFonts w:hint="eastAsia" w:ascii="Times New Roman" w:hAnsi="Times New Roman" w:eastAsia="宋体" w:cs="Times New Roman"/>
                <w:color w:val="auto"/>
                <w:sz w:val="24"/>
                <w:szCs w:val="24"/>
                <w:lang w:eastAsia="zh-CN"/>
              </w:rPr>
              <w:t>固化</w:t>
            </w:r>
            <w:r>
              <w:rPr>
                <w:rFonts w:hint="default" w:ascii="Times New Roman" w:hAnsi="Times New Roman" w:eastAsia="宋体" w:cs="Times New Roman"/>
                <w:color w:val="auto"/>
                <w:sz w:val="24"/>
                <w:szCs w:val="24"/>
                <w:lang w:eastAsia="zh-CN"/>
              </w:rPr>
              <w:t>废气采用类比法，类比对象为安徽博钧机械设备有限公司</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年加工制造8000套工程机械金属构件项目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，本项目为</w:t>
            </w:r>
            <w:r>
              <w:rPr>
                <w:rFonts w:hint="eastAsia" w:ascii="Times New Roman" w:hAnsi="Times New Roman" w:cs="Times New Roman"/>
                <w:color w:val="auto"/>
                <w:sz w:val="24"/>
                <w:szCs w:val="24"/>
                <w:lang w:val="en-US" w:eastAsia="zh-CN"/>
              </w:rPr>
              <w:t>原有项目</w:t>
            </w:r>
            <w:r>
              <w:rPr>
                <w:rFonts w:hint="default" w:ascii="Times New Roman" w:hAnsi="Times New Roman" w:eastAsia="宋体" w:cs="Times New Roman"/>
                <w:color w:val="auto"/>
                <w:sz w:val="24"/>
                <w:szCs w:val="24"/>
                <w:lang w:eastAsia="zh-CN"/>
              </w:rPr>
              <w:t>迁建项目，建设前后生产产能、产品方案、喷塑工艺、固化温度时间、塑粉原辅材料种类及配方一致，固化工序VOCs产污强度基本相同；</w:t>
            </w:r>
            <w:r>
              <w:rPr>
                <w:rFonts w:hint="eastAsia" w:ascii="Times New Roman" w:hAnsi="Times New Roman" w:eastAsia="宋体" w:cs="Times New Roman"/>
                <w:color w:val="auto"/>
                <w:sz w:val="24"/>
                <w:szCs w:val="24"/>
                <w:lang w:eastAsia="zh-CN"/>
              </w:rPr>
              <w:t>治理设施均为二级活性炭吸附</w:t>
            </w:r>
            <w:r>
              <w:rPr>
                <w:rFonts w:hint="default" w:ascii="Times New Roman" w:hAnsi="Times New Roman" w:eastAsia="宋体" w:cs="Times New Roman"/>
                <w:color w:val="auto"/>
                <w:sz w:val="24"/>
                <w:szCs w:val="24"/>
                <w:lang w:eastAsia="zh-CN"/>
              </w:rPr>
              <w:t>VOCs</w:t>
            </w:r>
            <w:r>
              <w:rPr>
                <w:rFonts w:hint="eastAsia" w:ascii="Times New Roman" w:hAnsi="Times New Roman" w:eastAsia="宋体" w:cs="Times New Roman"/>
                <w:color w:val="auto"/>
                <w:sz w:val="24"/>
                <w:szCs w:val="24"/>
                <w:lang w:eastAsia="zh-CN"/>
              </w:rPr>
              <w:t>治理效果基本一致；</w:t>
            </w:r>
            <w:r>
              <w:rPr>
                <w:rFonts w:hint="default" w:ascii="Times New Roman" w:hAnsi="Times New Roman" w:eastAsia="宋体" w:cs="Times New Roman"/>
                <w:color w:val="auto"/>
                <w:sz w:val="24"/>
                <w:szCs w:val="24"/>
                <w:lang w:eastAsia="zh-CN"/>
              </w:rPr>
              <w:t>区别仅为固化设施形式</w:t>
            </w:r>
            <w:r>
              <w:rPr>
                <w:rFonts w:hint="eastAsia" w:ascii="Times New Roman" w:hAnsi="Times New Roman" w:eastAsia="宋体" w:cs="Times New Roman"/>
                <w:color w:val="auto"/>
                <w:sz w:val="24"/>
                <w:szCs w:val="24"/>
                <w:lang w:eastAsia="zh-CN"/>
              </w:rPr>
              <w:t>改变</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原有项目采用烘干轨道，</w:t>
            </w:r>
            <w:r>
              <w:rPr>
                <w:rFonts w:hint="default" w:ascii="Times New Roman" w:hAnsi="Times New Roman" w:eastAsia="宋体" w:cs="Times New Roman"/>
                <w:color w:val="auto"/>
                <w:sz w:val="24"/>
                <w:szCs w:val="24"/>
                <w:lang w:eastAsia="zh-CN"/>
              </w:rPr>
              <w:t>现有项目采用独立密闭</w:t>
            </w:r>
            <w:r>
              <w:rPr>
                <w:rFonts w:hint="eastAsia" w:ascii="Times New Roman" w:hAnsi="Times New Roman" w:cs="Times New Roman"/>
                <w:color w:val="auto"/>
                <w:sz w:val="24"/>
                <w:szCs w:val="24"/>
                <w:lang w:val="en-US" w:eastAsia="zh-CN"/>
              </w:rPr>
              <w:t>固化室</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000000" w:themeColor="text1"/>
                <w:sz w:val="24"/>
                <w:szCs w:val="24"/>
                <w:lang w:eastAsia="zh-CN"/>
                <w14:textFill>
                  <w14:solidFill>
                    <w14:schemeClr w14:val="tx1"/>
                  </w14:solidFill>
                </w14:textFill>
              </w:rPr>
              <w:t>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ascii="Times New Roman" w:hAnsi="Times New Roman" w:eastAsia="宋体" w:cs="Times New Roman"/>
                <w:color w:val="000000" w:themeColor="text1"/>
                <w:sz w:val="24"/>
                <w:szCs w:val="24"/>
                <w:lang w:eastAsia="zh-CN"/>
                <w14:textFill>
                  <w14:solidFill>
                    <w14:schemeClr w14:val="tx1"/>
                  </w14:solidFill>
                </w14:textFill>
              </w:rPr>
              <w:t>m×W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lang w:eastAsia="zh-CN"/>
                <w14:textFill>
                  <w14:solidFill>
                    <w14:schemeClr w14:val="tx1"/>
                  </w14:solidFill>
                </w14:textFill>
              </w:rPr>
              <w:t>m×H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但考虑到密闭收集烘干废气会导致热量流失，本项目拟在</w:t>
            </w:r>
            <w:r>
              <w:rPr>
                <w:rFonts w:hint="eastAsia" w:ascii="Times New Roman" w:hAnsi="Times New Roman" w:cs="Times New Roman"/>
                <w:color w:val="auto"/>
                <w:sz w:val="24"/>
                <w:szCs w:val="24"/>
                <w:lang w:val="en-US" w:eastAsia="zh-CN"/>
              </w:rPr>
              <w:t>固化室</w:t>
            </w:r>
            <w:r>
              <w:rPr>
                <w:rFonts w:hint="eastAsia" w:ascii="Times New Roman" w:hAnsi="Times New Roman" w:eastAsia="宋体" w:cs="Times New Roman"/>
                <w:color w:val="auto"/>
                <w:sz w:val="24"/>
                <w:szCs w:val="24"/>
                <w:lang w:eastAsia="zh-CN"/>
              </w:rPr>
              <w:t>出口处设置集气罩收集废气，收集效率与原项目一致。综上，本项目与原有项目</w:t>
            </w:r>
            <w:r>
              <w:rPr>
                <w:rFonts w:hint="default" w:ascii="Times New Roman" w:hAnsi="Times New Roman" w:eastAsia="宋体" w:cs="Times New Roman"/>
                <w:color w:val="auto"/>
                <w:sz w:val="24"/>
                <w:szCs w:val="24"/>
                <w:lang w:eastAsia="zh-CN"/>
              </w:rPr>
              <w:t>具备类比条件，本次采用原有项目环评及验收监测数据进行类比核算，数据有效可行。</w:t>
            </w:r>
          </w:p>
          <w:p w14:paraId="5D9352C2">
            <w:pPr>
              <w:kinsoku/>
              <w:autoSpaceDE/>
              <w:autoSpaceDN/>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根据《安徽博钧机械设备有限公司年加工制造8000套工程机械金属构件项目（阶段性）竣工环境保护验收监测报告</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》中DA00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固化废气出口监测数据，非甲烷总烃最高排放速率为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0.043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本项目固化年工作时间取1200h，则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排放量约为0.052t/a</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固化废气收集后与电泳废气一同经15m高排气筒DA003排放。</w:t>
            </w:r>
          </w:p>
          <w:p w14:paraId="2D846D5E">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000000" w:themeColor="text1"/>
                <w:sz w:val="24"/>
                <w:szCs w:val="24"/>
                <w:lang w:eastAsia="zh-CN"/>
                <w14:textFill>
                  <w14:solidFill>
                    <w14:schemeClr w14:val="tx1"/>
                  </w14:solidFill>
                </w14:textFill>
              </w:rPr>
              <w:t>项目拟</w:t>
            </w:r>
            <w:r>
              <w:rPr>
                <w:rFonts w:hint="eastAsia" w:ascii="Times New Roman" w:hAnsi="Times New Roman" w:eastAsia="宋体" w:cs="Times New Roman"/>
                <w:color w:val="000000" w:themeColor="text1"/>
                <w:sz w:val="24"/>
                <w:szCs w:val="24"/>
                <w:lang w:eastAsia="zh-CN"/>
                <w14:textFill>
                  <w14:solidFill>
                    <w14:schemeClr w14:val="tx1"/>
                  </w14:solidFill>
                </w14:textFill>
              </w:rPr>
              <w:t>在固化室出口上方</w:t>
            </w:r>
            <w:r>
              <w:rPr>
                <w:rFonts w:ascii="Times New Roman" w:hAnsi="Times New Roman" w:eastAsia="宋体" w:cs="Times New Roman"/>
                <w:color w:val="000000" w:themeColor="text1"/>
                <w:sz w:val="24"/>
                <w:szCs w:val="24"/>
                <w:lang w:eastAsia="zh-CN"/>
                <w14:textFill>
                  <w14:solidFill>
                    <w14:schemeClr w14:val="tx1"/>
                  </w14:solidFill>
                </w14:textFill>
              </w:rPr>
              <w:t>设置集气罩，集气罩尺寸为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0.4m</w:t>
            </w:r>
            <w:r>
              <w:rPr>
                <w:rFonts w:ascii="Times New Roman" w:hAnsi="Times New Roman" w:eastAsia="宋体" w:cs="Times New Roman"/>
                <w:color w:val="auto"/>
                <w:sz w:val="24"/>
                <w:szCs w:val="24"/>
                <w:lang w:eastAsia="zh-CN"/>
              </w:rPr>
              <w:t>根据《环境工程设计手册》（修订版），单个集气罩集气风量计算公式：</w:t>
            </w:r>
          </w:p>
          <w:p w14:paraId="2A3BF8DC">
            <w:pPr>
              <w:widowControl w:val="0"/>
              <w:kinsoku/>
              <w:autoSpaceDE/>
              <w:autoSpaceDN/>
              <w:adjustRightInd/>
              <w:snapToGrid/>
              <w:spacing w:line="360" w:lineRule="auto"/>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L=kPHVx</w:t>
            </w:r>
          </w:p>
          <w:p w14:paraId="05211592">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式中：L——为集气罩集气风量，单位为m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121E0D3F">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K——为安全系数1.4；</w:t>
            </w:r>
          </w:p>
          <w:p w14:paraId="1370B655">
            <w:pPr>
              <w:widowControl w:val="0"/>
              <w:kinsoku/>
              <w:autoSpaceDE/>
              <w:autoSpaceDN/>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P——排风罩口敞开面的周长，单位为m；</w:t>
            </w:r>
          </w:p>
          <w:p w14:paraId="56DA4986">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H——为罩口至污染源的距离，单位为m，本次取0.</w:t>
            </w:r>
            <w:r>
              <w:rPr>
                <w:rFonts w:ascii="Times New Roman" w:hAnsi="Times New Roman" w:cs="Times New Roman"/>
                <w:color w:val="auto"/>
                <w:sz w:val="24"/>
                <w:szCs w:val="24"/>
                <w:lang w:eastAsia="zh-CN"/>
              </w:rPr>
              <w:t>3</w:t>
            </w:r>
            <w:r>
              <w:rPr>
                <w:rFonts w:ascii="Times New Roman" w:hAnsi="Times New Roman" w:eastAsia="宋体" w:cs="Times New Roman"/>
                <w:color w:val="auto"/>
                <w:sz w:val="24"/>
                <w:szCs w:val="24"/>
                <w:lang w:eastAsia="zh-CN"/>
              </w:rPr>
              <w:t>m；</w:t>
            </w:r>
          </w:p>
          <w:p w14:paraId="6AF97B09">
            <w:pPr>
              <w:pStyle w:val="10"/>
              <w:keepNext w:val="0"/>
              <w:keepLines w:val="0"/>
              <w:pageBreakBefore w:val="0"/>
              <w:widowControl w:val="0"/>
              <w:kinsoku/>
              <w:wordWrap/>
              <w:overflowPunct/>
              <w:topLinePunct w:val="0"/>
              <w:autoSpaceDE/>
              <w:autoSpaceDN/>
              <w:bidi w:val="0"/>
              <w:adjustRightInd/>
              <w:snapToGrid/>
              <w:spacing w:after="0"/>
              <w:ind w:left="0" w:leftChars="0"/>
              <w:textAlignment w:val="auto"/>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ascii="Times New Roman" w:hAnsi="Times New Roman" w:eastAsia="宋体" w:cs="Times New Roman"/>
                <w:color w:val="auto"/>
                <w:sz w:val="24"/>
                <w:szCs w:val="24"/>
                <w:lang w:eastAsia="zh-CN"/>
              </w:rPr>
              <w:t xml:space="preserve">      Vx：污染源气体流速，一般在0.5m/s~1.5m/s，按照《环境工程设计手册》中的有关公式，烟尘废气收集系统或设备的控制风速要在0.6m/s以</w:t>
            </w:r>
            <w: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t>上，本次评价取均值1.0m/s。</w:t>
            </w:r>
          </w:p>
          <w:p w14:paraId="41EEE926">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计算得出本项目</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固化固化室出口</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集气罩所需风量为</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13305</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/h，考虑管道损耗，则风机风量为</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15000</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/h。</w:t>
            </w:r>
          </w:p>
          <w:p w14:paraId="71EF35AB">
            <w:pPr>
              <w:pStyle w:val="45"/>
              <w:widowControl w:val="0"/>
              <w:kinsoku/>
              <w:autoSpaceDE/>
              <w:autoSpaceDN/>
              <w:adjustRightInd/>
              <w:snapToGrid/>
              <w:spacing w:line="360" w:lineRule="auto"/>
              <w:textAlignment w:val="auto"/>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t>）危废间废气</w:t>
            </w:r>
          </w:p>
          <w:p w14:paraId="00EAE573">
            <w:pPr>
              <w:pStyle w:val="45"/>
              <w:widowControl w:val="0"/>
              <w:kinsoku/>
              <w:autoSpaceDE/>
              <w:autoSpaceDN/>
              <w:adjustRightInd/>
              <w:snapToGrid/>
              <w:spacing w:line="360" w:lineRule="auto"/>
              <w:textAlignment w:val="auto"/>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项目设置一处危险废物暂存间，危废暂存过程中会产生一定量的有机废气，本次评价结合《挥发性有机物无组织排放控制标准》等要求，对上述过程产生的有机废气进行密闭收集处理，负压收集的废气与</w:t>
            </w:r>
            <w:r>
              <w:rPr>
                <w:rFonts w:hint="eastAsia" w:ascii="Times New Roman" w:hAnsi="Times New Roman" w:eastAsia="宋体" w:cs="Times New Roman"/>
                <w:color w:val="000000" w:themeColor="text1"/>
                <w:lang w:val="en-US" w:eastAsia="zh-CN"/>
                <w14:textFill>
                  <w14:solidFill>
                    <w14:schemeClr w14:val="tx1"/>
                  </w14:solidFill>
                </w14:textFill>
              </w:rPr>
              <w:t>电泳及固化</w:t>
            </w:r>
            <w:r>
              <w:rPr>
                <w:rFonts w:ascii="Times New Roman" w:hAnsi="Times New Roman" w:eastAsia="宋体" w:cs="Times New Roman"/>
                <w:color w:val="000000" w:themeColor="text1"/>
                <w:lang w:eastAsia="zh-CN"/>
                <w14:textFill>
                  <w14:solidFill>
                    <w14:schemeClr w14:val="tx1"/>
                  </w14:solidFill>
                </w14:textFill>
              </w:rPr>
              <w:t>废气合并经</w:t>
            </w:r>
            <w:r>
              <w:rPr>
                <w:rFonts w:hint="eastAsia" w:ascii="Times New Roman" w:hAnsi="Times New Roman" w:eastAsia="宋体" w:cs="Times New Roman"/>
                <w:color w:val="000000" w:themeColor="text1"/>
                <w:lang w:eastAsia="zh-CN"/>
                <w14:textFill>
                  <w14:solidFill>
                    <w14:schemeClr w14:val="tx1"/>
                  </w14:solidFill>
                </w14:textFill>
              </w:rPr>
              <w:t>二级</w:t>
            </w:r>
            <w:r>
              <w:rPr>
                <w:rFonts w:ascii="Times New Roman" w:hAnsi="Times New Roman" w:eastAsia="宋体" w:cs="Times New Roman"/>
                <w:color w:val="000000" w:themeColor="text1"/>
                <w:szCs w:val="24"/>
                <w:lang w:eastAsia="zh-CN"/>
                <w14:textFill>
                  <w14:solidFill>
                    <w14:schemeClr w14:val="tx1"/>
                  </w14:solidFill>
                </w14:textFill>
              </w:rPr>
              <w:t>活性炭吸附装置处理后</w:t>
            </w:r>
            <w:r>
              <w:rPr>
                <w:rFonts w:ascii="Times New Roman" w:hAnsi="Times New Roman" w:eastAsia="宋体" w:cs="Times New Roman"/>
                <w:color w:val="000000" w:themeColor="text1"/>
                <w:lang w:eastAsia="zh-CN"/>
                <w14:textFill>
                  <w14:solidFill>
                    <w14:schemeClr w14:val="tx1"/>
                  </w14:solidFill>
                </w14:textFill>
              </w:rPr>
              <w:t>经1</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ascii="Times New Roman" w:hAnsi="Times New Roman" w:eastAsia="宋体" w:cs="Times New Roman"/>
                <w:color w:val="000000" w:themeColor="text1"/>
                <w:lang w:eastAsia="zh-CN"/>
                <w14:textFill>
                  <w14:solidFill>
                    <w14:schemeClr w14:val="tx1"/>
                  </w14:solidFill>
                </w14:textFill>
              </w:rPr>
              <w:t>m高排气筒排放（DA00</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lang w:eastAsia="zh-CN"/>
                <w14:textFill>
                  <w14:solidFill>
                    <w14:schemeClr w14:val="tx1"/>
                  </w14:solidFill>
                </w14:textFill>
              </w:rPr>
              <w:t>）。</w:t>
            </w:r>
          </w:p>
          <w:p w14:paraId="15C92801">
            <w:pPr>
              <w:pStyle w:val="45"/>
              <w:widowControl w:val="0"/>
              <w:numPr>
                <w:ilvl w:val="0"/>
                <w:numId w:val="5"/>
              </w:numPr>
              <w:kinsoku/>
              <w:autoSpaceDE/>
              <w:autoSpaceDN/>
              <w:adjustRightInd/>
              <w:snapToGrid/>
              <w:spacing w:line="360" w:lineRule="auto"/>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硫酸雾</w:t>
            </w:r>
          </w:p>
          <w:p w14:paraId="7DCA65F4">
            <w:pPr>
              <w:pStyle w:val="45"/>
              <w:widowControl w:val="0"/>
              <w:kinsoku/>
              <w:autoSpaceDE/>
              <w:autoSpaceDN/>
              <w:adjustRightInd/>
              <w:snapToGrid/>
              <w:spacing w:line="360" w:lineRule="auto"/>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项目</w:t>
            </w:r>
            <w:r>
              <w:rPr>
                <w:rFonts w:hint="eastAsia" w:ascii="Times New Roman" w:hAnsi="Times New Roman" w:eastAsia="宋体" w:cs="Times New Roman"/>
                <w:color w:val="000000" w:themeColor="text1"/>
                <w:lang w:eastAsia="zh-CN"/>
                <w14:textFill>
                  <w14:solidFill>
                    <w14:schemeClr w14:val="tx1"/>
                  </w14:solidFill>
                </w14:textFill>
              </w:rPr>
              <w:t>酸洗过程产的废气</w:t>
            </w:r>
            <w:r>
              <w:rPr>
                <w:rFonts w:ascii="Times New Roman" w:hAnsi="Times New Roman" w:eastAsia="宋体" w:cs="Times New Roman"/>
                <w:color w:val="000000" w:themeColor="text1"/>
                <w:lang w:eastAsia="zh-CN"/>
                <w14:textFill>
                  <w14:solidFill>
                    <w14:schemeClr w14:val="tx1"/>
                  </w14:solidFill>
                </w14:textFill>
              </w:rPr>
              <w:t>为</w:t>
            </w:r>
            <w:r>
              <w:rPr>
                <w:rFonts w:hint="eastAsia" w:ascii="Times New Roman" w:hAnsi="Times New Roman" w:eastAsia="宋体" w:cs="Times New Roman"/>
                <w:color w:val="000000" w:themeColor="text1"/>
                <w:lang w:eastAsia="zh-CN"/>
                <w14:textFill>
                  <w14:solidFill>
                    <w14:schemeClr w14:val="tx1"/>
                  </w14:solidFill>
                </w14:textFill>
              </w:rPr>
              <w:t>硫酸雾</w:t>
            </w:r>
            <w:r>
              <w:rPr>
                <w:rFonts w:ascii="Times New Roman" w:hAnsi="Times New Roman" w:eastAsia="宋体" w:cs="Times New Roman"/>
                <w:color w:val="000000" w:themeColor="text1"/>
                <w:lang w:eastAsia="zh-CN"/>
                <w14:textFill>
                  <w14:solidFill>
                    <w14:schemeClr w14:val="tx1"/>
                  </w14:solidFill>
                </w14:textFill>
              </w:rPr>
              <w:t>气体</w:t>
            </w:r>
            <w:r>
              <w:rPr>
                <w:rFonts w:hint="eastAsia" w:ascii="Times New Roman" w:hAnsi="Times New Roman" w:eastAsia="宋体" w:cs="Times New Roman"/>
                <w:color w:val="000000" w:themeColor="text1"/>
                <w:lang w:eastAsia="zh-CN"/>
                <w14:textFill>
                  <w14:solidFill>
                    <w14:schemeClr w14:val="tx1"/>
                  </w14:solidFill>
                </w14:textFill>
              </w:rPr>
              <w:t>，参照《</w:t>
            </w:r>
            <w:r>
              <w:rPr>
                <w:rFonts w:ascii="Times New Roman" w:hAnsi="Times New Roman" w:eastAsia="宋体" w:cs="Times New Roman"/>
                <w:color w:val="000000" w:themeColor="text1"/>
                <w:lang w:eastAsia="zh-CN"/>
                <w14:textFill>
                  <w14:solidFill>
                    <w14:schemeClr w14:val="tx1"/>
                  </w14:solidFill>
                </w14:textFill>
              </w:rPr>
              <w:t>污染源源强核算技术指南电镀</w:t>
            </w:r>
            <w:r>
              <w:rPr>
                <w:rFonts w:hint="eastAsia" w:ascii="Times New Roman" w:hAnsi="Times New Roman"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lang w:eastAsia="zh-CN"/>
                <w14:textFill>
                  <w14:solidFill>
                    <w14:schemeClr w14:val="tx1"/>
                  </w14:solidFill>
                </w14:textFill>
              </w:rPr>
              <w:t>HJ 984-2018</w:t>
            </w:r>
            <w:r>
              <w:rPr>
                <w:rFonts w:hint="eastAsia" w:ascii="Times New Roman" w:hAnsi="Times New Roman"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lang w:eastAsia="zh-CN"/>
                <w14:textFill>
                  <w14:solidFill>
                    <w14:schemeClr w14:val="tx1"/>
                  </w14:solidFill>
                </w14:textFill>
              </w:rPr>
              <w:t>表B.1 单位镀槽液面面积单位时间废气污染物产污系数</w:t>
            </w:r>
            <w:r>
              <w:rPr>
                <w:rFonts w:hint="eastAsia" w:ascii="Times New Roman" w:hAnsi="Times New Roman" w:eastAsia="宋体" w:cs="Times New Roman"/>
                <w:color w:val="000000" w:themeColor="text1"/>
                <w:lang w:eastAsia="zh-CN"/>
                <w14:textFill>
                  <w14:solidFill>
                    <w14:schemeClr w14:val="tx1"/>
                  </w14:solidFill>
                </w14:textFill>
              </w:rPr>
              <w:t>，硫酸雾的产污系数为25.2g/m</w:t>
            </w:r>
            <w:r>
              <w:rPr>
                <w:rFonts w:hint="eastAsia" w:ascii="Times New Roman" w:hAnsi="Times New Roman" w:eastAsia="宋体" w:cs="Times New Roman"/>
                <w:color w:val="000000" w:themeColor="text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lang w:eastAsia="zh-CN"/>
                <w14:textFill>
                  <w14:solidFill>
                    <w14:schemeClr w14:val="tx1"/>
                  </w14:solidFill>
                </w14:textFill>
              </w:rPr>
              <w:t>*h，本项目共设置四个酸洗槽，液面面积分别为</w:t>
            </w:r>
            <w:r>
              <w:rPr>
                <w:rFonts w:hint="eastAsia" w:ascii="Times New Roman" w:hAnsi="Times New Roman" w:eastAsia="宋体" w:cs="Times New Roman"/>
                <w:color w:val="000000" w:themeColor="text1"/>
                <w:lang w:val="en-US" w:eastAsia="zh-CN"/>
                <w14:textFill>
                  <w14:solidFill>
                    <w14:schemeClr w14:val="tx1"/>
                  </w14:solidFill>
                </w14:textFill>
              </w:rPr>
              <w:t>13.75</w:t>
            </w:r>
            <w:r>
              <w:rPr>
                <w:rFonts w:hint="eastAsia" w:ascii="Times New Roman" w:hAnsi="Times New Roman" w:eastAsia="宋体" w:cs="Times New Roman"/>
                <w:color w:val="000000" w:themeColor="text1"/>
                <w:lang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10.5</w:t>
            </w:r>
            <w:r>
              <w:rPr>
                <w:rFonts w:hint="eastAsia" w:ascii="Times New Roman" w:hAnsi="Times New Roman" w:eastAsia="宋体" w:cs="Times New Roman"/>
                <w:color w:val="000000" w:themeColor="text1"/>
                <w:lang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vertAlign w:val="baseline"/>
                <w:lang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10.5</w:t>
            </w:r>
            <w:r>
              <w:rPr>
                <w:rFonts w:hint="eastAsia" w:ascii="Times New Roman" w:hAnsi="Times New Roman" w:eastAsia="宋体" w:cs="Times New Roman"/>
                <w:color w:val="000000" w:themeColor="text1"/>
                <w:lang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vertAlign w:val="baseline"/>
                <w:lang w:eastAsia="zh-CN"/>
                <w14:textFill>
                  <w14:solidFill>
                    <w14:schemeClr w14:val="tx1"/>
                  </w14:solidFill>
                </w14:textFill>
              </w:rPr>
              <w:t>和</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5.25</w:t>
            </w:r>
            <w:r>
              <w:rPr>
                <w:rFonts w:hint="eastAsia" w:ascii="Times New Roman" w:hAnsi="Times New Roman" w:eastAsia="宋体" w:cs="Times New Roman"/>
                <w:color w:val="000000" w:themeColor="text1"/>
                <w:lang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lang w:eastAsia="zh-CN"/>
                <w14:textFill>
                  <w14:solidFill>
                    <w14:schemeClr w14:val="tx1"/>
                  </w14:solidFill>
                </w14:textFill>
              </w:rPr>
              <w:t>，年工作时间为</w:t>
            </w:r>
            <w:r>
              <w:rPr>
                <w:rFonts w:hint="eastAsia" w:ascii="Times New Roman" w:hAnsi="Times New Roman" w:eastAsia="宋体" w:cs="Times New Roman"/>
                <w:color w:val="000000" w:themeColor="text1"/>
                <w:lang w:val="en-US" w:eastAsia="zh-CN"/>
                <w14:textFill>
                  <w14:solidFill>
                    <w14:schemeClr w14:val="tx1"/>
                  </w14:solidFill>
                </w14:textFill>
              </w:rPr>
              <w:t>24</w:t>
            </w:r>
            <w:r>
              <w:rPr>
                <w:rFonts w:hint="eastAsia" w:ascii="Times New Roman" w:hAnsi="Times New Roman" w:eastAsia="宋体" w:cs="Times New Roman"/>
                <w:color w:val="000000" w:themeColor="text1"/>
                <w:lang w:eastAsia="zh-CN"/>
                <w14:textFill>
                  <w14:solidFill>
                    <w14:schemeClr w14:val="tx1"/>
                  </w14:solidFill>
                </w14:textFill>
              </w:rPr>
              <w:t>00h（按同时运行计），则项目硫酸的产生速率为</w:t>
            </w:r>
            <w:r>
              <w:rPr>
                <w:rFonts w:hint="eastAsia" w:ascii="Times New Roman" w:hAnsi="Times New Roman" w:eastAsia="宋体" w:cs="Times New Roman"/>
                <w:color w:val="000000" w:themeColor="text1"/>
                <w:lang w:val="en-US" w:eastAsia="zh-CN"/>
                <w14:textFill>
                  <w14:solidFill>
                    <w14:schemeClr w14:val="tx1"/>
                  </w14:solidFill>
                </w14:textFill>
              </w:rPr>
              <w:t>1.008</w:t>
            </w:r>
            <w:r>
              <w:rPr>
                <w:rFonts w:hint="eastAsia" w:ascii="Times New Roman" w:hAnsi="Times New Roman" w:eastAsia="宋体" w:cs="Times New Roman"/>
                <w:color w:val="000000" w:themeColor="text1"/>
                <w:lang w:eastAsia="zh-CN"/>
                <w14:textFill>
                  <w14:solidFill>
                    <w14:schemeClr w14:val="tx1"/>
                  </w14:solidFill>
                </w14:textFill>
              </w:rPr>
              <w:t>kg/h，产生量为</w:t>
            </w:r>
            <w:r>
              <w:rPr>
                <w:rFonts w:hint="eastAsia" w:ascii="Times New Roman" w:hAnsi="Times New Roman" w:eastAsia="宋体" w:cs="Times New Roman"/>
                <w:color w:val="000000" w:themeColor="text1"/>
                <w:lang w:val="en-US" w:eastAsia="zh-CN"/>
                <w14:textFill>
                  <w14:solidFill>
                    <w14:schemeClr w14:val="tx1"/>
                  </w14:solidFill>
                </w14:textFill>
              </w:rPr>
              <w:t>2.419</w:t>
            </w:r>
            <w:r>
              <w:rPr>
                <w:rFonts w:hint="eastAsia" w:ascii="Times New Roman" w:hAnsi="Times New Roman" w:eastAsia="宋体" w:cs="Times New Roman"/>
                <w:color w:val="000000" w:themeColor="text1"/>
                <w:lang w:eastAsia="zh-CN"/>
                <w14:textFill>
                  <w14:solidFill>
                    <w14:schemeClr w14:val="tx1"/>
                  </w14:solidFill>
                </w14:textFill>
              </w:rPr>
              <w:t>t/a。</w:t>
            </w:r>
          </w:p>
          <w:p w14:paraId="19709C6E">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eastAsia="zh-CN"/>
              </w:rPr>
              <w:t>酸洗</w:t>
            </w:r>
            <w:r>
              <w:rPr>
                <w:rFonts w:hint="default" w:ascii="Times New Roman" w:hAnsi="Times New Roman" w:eastAsia="宋体" w:cs="Times New Roman"/>
                <w:sz w:val="24"/>
              </w:rPr>
              <w:t>槽设置侧吸</w:t>
            </w:r>
            <w:r>
              <w:rPr>
                <w:rFonts w:hint="eastAsia" w:ascii="Times New Roman" w:hAnsi="Times New Roman" w:eastAsia="宋体" w:cs="Times New Roman"/>
                <w:sz w:val="24"/>
                <w:lang w:eastAsia="zh-CN"/>
              </w:rPr>
              <w:t>集气罩</w:t>
            </w:r>
            <w:r>
              <w:rPr>
                <w:rFonts w:hint="default" w:ascii="Times New Roman" w:hAnsi="Times New Roman" w:eastAsia="宋体" w:cs="Times New Roman"/>
                <w:sz w:val="24"/>
              </w:rPr>
              <w:t>收集，</w:t>
            </w:r>
            <w:r>
              <w:rPr>
                <w:rFonts w:hint="eastAsia" w:ascii="Times New Roman" w:hAnsi="Times New Roman" w:eastAsia="宋体" w:cs="Times New Roman"/>
                <w:sz w:val="24"/>
                <w:lang w:eastAsia="zh-CN"/>
              </w:rPr>
              <w:t>废气收集后经碱液喷淋装置</w:t>
            </w:r>
            <w:r>
              <w:rPr>
                <w:rFonts w:hint="default" w:ascii="Times New Roman" w:hAnsi="Times New Roman" w:eastAsia="宋体" w:cs="Times New Roman"/>
                <w:sz w:val="24"/>
                <w:lang w:eastAsia="zh-CN"/>
              </w:rPr>
              <w:t>处</w:t>
            </w:r>
            <w:r>
              <w:rPr>
                <w:rFonts w:hint="default" w:ascii="Times New Roman" w:hAnsi="Times New Roman" w:eastAsia="宋体" w:cs="Times New Roman"/>
                <w:sz w:val="24"/>
              </w:rPr>
              <w:t>理后经1根15m高DA00</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排气筒排放；</w:t>
            </w:r>
            <w:r>
              <w:rPr>
                <w:rFonts w:hint="eastAsia" w:ascii="Times New Roman" w:hAnsi="Times New Roman" w:eastAsia="宋体" w:cs="Times New Roman"/>
                <w:sz w:val="24"/>
                <w:lang w:eastAsia="zh-CN"/>
              </w:rPr>
              <w:t>酸洗</w:t>
            </w:r>
            <w:r>
              <w:rPr>
                <w:rFonts w:hint="default" w:ascii="Times New Roman" w:hAnsi="Times New Roman" w:eastAsia="宋体" w:cs="Times New Roman"/>
                <w:sz w:val="24"/>
              </w:rPr>
              <w:t>槽侧方负压收集效率90%，处理效率90%，</w:t>
            </w:r>
            <w:r>
              <w:rPr>
                <w:rFonts w:hint="eastAsia" w:ascii="Times New Roman" w:hAnsi="Times New Roman" w:eastAsia="宋体" w:cs="Times New Roman"/>
                <w:sz w:val="24"/>
                <w:lang w:eastAsia="zh-CN"/>
              </w:rPr>
              <w:t>则硫酸雾</w:t>
            </w:r>
            <w:r>
              <w:rPr>
                <w:rFonts w:hint="eastAsia" w:ascii="Times New Roman" w:hAnsi="Times New Roman" w:eastAsia="宋体" w:cs="Times New Roman"/>
                <w:sz w:val="24"/>
                <w:lang w:val="en-US" w:eastAsia="zh-CN"/>
              </w:rPr>
              <w:t>有组织</w:t>
            </w:r>
            <w:r>
              <w:rPr>
                <w:rFonts w:hint="default" w:ascii="Times New Roman" w:hAnsi="Times New Roman" w:eastAsia="宋体" w:cs="Times New Roman"/>
                <w:sz w:val="24"/>
                <w:lang w:val="en-US" w:eastAsia="zh-CN"/>
              </w:rPr>
              <w:t>排放量为</w:t>
            </w:r>
            <w:r>
              <w:rPr>
                <w:rFonts w:hint="eastAsia" w:ascii="Times New Roman" w:hAnsi="Times New Roman" w:eastAsia="宋体" w:cs="Times New Roman"/>
                <w:sz w:val="24"/>
                <w:lang w:val="en-US" w:eastAsia="zh-CN"/>
              </w:rPr>
              <w:t>0.218</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，无组织排放量为0.242t</w:t>
            </w:r>
            <w:r>
              <w:rPr>
                <w:rFonts w:hint="default" w:ascii="Times New Roman" w:hAnsi="Times New Roman" w:eastAsia="宋体" w:cs="Times New Roman"/>
                <w:sz w:val="24"/>
                <w:lang w:val="en-US" w:eastAsia="zh-CN"/>
              </w:rPr>
              <w:t>/a</w:t>
            </w:r>
            <w:r>
              <w:rPr>
                <w:rFonts w:hint="eastAsia" w:ascii="Times New Roman" w:hAnsi="Times New Roman" w:eastAsia="宋体" w:cs="Times New Roman"/>
                <w:sz w:val="24"/>
                <w:lang w:val="en-US" w:eastAsia="zh-CN"/>
              </w:rPr>
              <w:t>。</w:t>
            </w:r>
          </w:p>
          <w:p w14:paraId="747B9525">
            <w:pPr>
              <w:spacing w:line="360" w:lineRule="auto"/>
              <w:ind w:firstLine="480" w:firstLineChars="200"/>
              <w:jc w:val="left"/>
              <w:rPr>
                <w:rFonts w:ascii="Times New Roman" w:hAnsi="Times New Roman" w:cs="Times New Roman" w:eastAsiaTheme="minorEastAsia"/>
                <w:color w:val="000000" w:themeColor="text1"/>
                <w:kern w:val="0"/>
                <w:sz w:val="24"/>
                <w:szCs w:val="22"/>
                <w14:textFill>
                  <w14:solidFill>
                    <w14:schemeClr w14:val="tx1"/>
                  </w14:solidFill>
                </w14:textFill>
              </w:rPr>
            </w:pPr>
            <w:r>
              <w:rPr>
                <w:rFonts w:hint="eastAsia" w:ascii="宋体" w:hAnsi="宋体" w:eastAsia="宋体"/>
                <w:color w:val="000000" w:themeColor="text1"/>
                <w:kern w:val="0"/>
                <w:sz w:val="24"/>
                <w:szCs w:val="22"/>
                <w14:textFill>
                  <w14:solidFill>
                    <w14:schemeClr w14:val="tx1"/>
                  </w14:solidFill>
                </w14:textFill>
              </w:rPr>
              <w:t>风量核算</w:t>
            </w:r>
          </w:p>
          <w:p w14:paraId="08D35361">
            <w:pPr>
              <w:autoSpaceDE w:val="0"/>
              <w:autoSpaceDN w:val="0"/>
              <w:adjustRightIn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14:textFill>
                  <w14:solidFill>
                    <w14:schemeClr w14:val="tx1"/>
                  </w14:solidFill>
                </w14:textFill>
              </w:rPr>
              <w:t>参照《环境工程设计手册》，项目矩形集气罩</w:t>
            </w:r>
            <w:r>
              <w:rPr>
                <w:rFonts w:hint="eastAsia" w:ascii="Times New Roman" w:hAnsi="Times New Roman" w:eastAsia="宋体" w:cs="Times New Roman"/>
                <w:color w:val="000000" w:themeColor="text1"/>
                <w:kern w:val="0"/>
                <w:sz w:val="24"/>
                <w14:textFill>
                  <w14:solidFill>
                    <w14:schemeClr w14:val="tx1"/>
                  </w14:solidFill>
                </w14:textFill>
              </w:rPr>
              <w:t>无法兰边排</w:t>
            </w:r>
            <w:r>
              <w:rPr>
                <w:rFonts w:ascii="Times New Roman" w:hAnsi="Times New Roman" w:eastAsia="宋体" w:cs="Times New Roman"/>
                <w:color w:val="000000" w:themeColor="text1"/>
                <w:kern w:val="0"/>
                <w:sz w:val="24"/>
                <w14:textFill>
                  <w14:solidFill>
                    <w14:schemeClr w14:val="tx1"/>
                  </w14:solidFill>
                </w14:textFill>
              </w:rPr>
              <w:t>风量按如下公式进行计算：</w:t>
            </w:r>
          </w:p>
          <w:p w14:paraId="2F197F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snapToGrid w:val="0"/>
                <w:color w:val="auto"/>
                <w:kern w:val="0"/>
                <w:sz w:val="24"/>
                <w:szCs w:val="24"/>
                <w:lang w:eastAsia="zh-CN"/>
              </w:rPr>
            </w:pPr>
            <w:r>
              <w:rPr>
                <w:rFonts w:hint="eastAsia" w:ascii="Times New Roman" w:hAnsi="Times New Roman" w:eastAsia="宋体" w:cs="Times New Roman"/>
                <w:snapToGrid w:val="0"/>
                <w:color w:val="auto"/>
                <w:kern w:val="0"/>
                <w:sz w:val="24"/>
                <w:szCs w:val="24"/>
                <w:lang w:eastAsia="zh-CN"/>
              </w:rPr>
              <w:t>L=（10x</w:t>
            </w:r>
            <w:r>
              <w:rPr>
                <w:rFonts w:hint="eastAsia" w:ascii="Times New Roman" w:hAnsi="Times New Roman" w:eastAsia="宋体" w:cs="Times New Roman"/>
                <w:snapToGrid w:val="0"/>
                <w:color w:val="auto"/>
                <w:kern w:val="0"/>
                <w:sz w:val="24"/>
                <w:szCs w:val="24"/>
                <w:vertAlign w:val="superscript"/>
                <w:lang w:eastAsia="zh-CN"/>
              </w:rPr>
              <w:t>2</w:t>
            </w:r>
            <w:r>
              <w:rPr>
                <w:rFonts w:hint="eastAsia" w:ascii="Times New Roman" w:hAnsi="Times New Roman" w:eastAsia="宋体" w:cs="Times New Roman"/>
                <w:snapToGrid w:val="0"/>
                <w:color w:val="auto"/>
                <w:kern w:val="0"/>
                <w:sz w:val="24"/>
                <w:szCs w:val="24"/>
                <w:lang w:eastAsia="zh-CN"/>
              </w:rPr>
              <w:t>+F）Vx（x≤1.5d）</w:t>
            </w:r>
          </w:p>
          <w:p w14:paraId="09516E70">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w:t>
            </w:r>
            <w:r>
              <w:rPr>
                <w:rFonts w:hint="eastAsia" w:ascii="Times New Roman" w:hAnsi="Times New Roman" w:eastAsia="宋体" w:cs="Times New Roman"/>
                <w:color w:val="auto"/>
                <w:sz w:val="24"/>
                <w:szCs w:val="24"/>
                <w:lang w:eastAsia="zh-CN"/>
              </w:rPr>
              <w:t>L</w:t>
            </w:r>
            <w:r>
              <w:rPr>
                <w:rFonts w:ascii="Times New Roman" w:hAnsi="Times New Roman" w:eastAsia="宋体" w:cs="Times New Roman"/>
                <w:color w:val="auto"/>
                <w:sz w:val="24"/>
                <w:szCs w:val="24"/>
                <w:lang w:eastAsia="zh-CN"/>
              </w:rPr>
              <w:t>——风量m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/s；</w:t>
            </w:r>
          </w:p>
          <w:p w14:paraId="74F1461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x</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控制点至吸气口的距离（项目取0.5m）</w:t>
            </w:r>
            <w:r>
              <w:rPr>
                <w:rFonts w:ascii="Times New Roman" w:hAnsi="Times New Roman" w:eastAsia="宋体" w:cs="Times New Roman"/>
                <w:color w:val="auto"/>
                <w:sz w:val="24"/>
                <w:szCs w:val="24"/>
                <w:lang w:eastAsia="zh-CN"/>
              </w:rPr>
              <w:t>；</w:t>
            </w:r>
          </w:p>
          <w:p w14:paraId="6709F0CF">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F</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吸气口的面积，</w:t>
            </w:r>
            <w:r>
              <w:rPr>
                <w:rFonts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ascii="Times New Roman" w:hAnsi="Times New Roman" w:eastAsia="宋体" w:cs="Times New Roman"/>
                <w:color w:val="auto"/>
                <w:sz w:val="24"/>
                <w:szCs w:val="24"/>
                <w:lang w:eastAsia="zh-CN"/>
              </w:rPr>
              <w:t>；</w:t>
            </w:r>
          </w:p>
          <w:p w14:paraId="703CD18C">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Vx——控制</w:t>
            </w:r>
            <w:r>
              <w:rPr>
                <w:rFonts w:hint="eastAsia" w:ascii="Times New Roman" w:hAnsi="Times New Roman" w:eastAsia="宋体" w:cs="Times New Roman"/>
                <w:color w:val="auto"/>
                <w:sz w:val="24"/>
                <w:szCs w:val="24"/>
                <w:lang w:eastAsia="zh-CN"/>
              </w:rPr>
              <w:t>点的吸入</w:t>
            </w:r>
            <w:r>
              <w:rPr>
                <w:rFonts w:ascii="Times New Roman" w:hAnsi="Times New Roman" w:eastAsia="宋体" w:cs="Times New Roman"/>
                <w:color w:val="auto"/>
                <w:sz w:val="24"/>
                <w:szCs w:val="24"/>
                <w:lang w:eastAsia="zh-CN"/>
              </w:rPr>
              <w:t>速度m/s（本项目取0.</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m/s）</w:t>
            </w:r>
            <w:r>
              <w:rPr>
                <w:rFonts w:hint="eastAsia" w:ascii="Times New Roman" w:hAnsi="Times New Roman" w:eastAsia="宋体" w:cs="Times New Roman"/>
                <w:color w:val="auto"/>
                <w:sz w:val="24"/>
                <w:szCs w:val="24"/>
                <w:lang w:eastAsia="zh-CN"/>
              </w:rPr>
              <w:t>；</w:t>
            </w:r>
          </w:p>
          <w:p w14:paraId="4081F5E8">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d</w:t>
            </w:r>
            <w:r>
              <w:rPr>
                <w:rFonts w:ascii="Times New Roman" w:hAnsi="Times New Roman" w:eastAsia="宋体" w:cs="Times New Roman"/>
                <w:color w:val="auto"/>
                <w:sz w:val="24"/>
                <w:szCs w:val="24"/>
                <w:lang w:eastAsia="zh-CN"/>
              </w:rPr>
              <w:t>——吸气口直径或当量直径，m。</w:t>
            </w:r>
          </w:p>
          <w:p w14:paraId="3A999E78">
            <w:pPr>
              <w:pStyle w:val="45"/>
              <w:widowControl w:val="0"/>
              <w:kinsoku/>
              <w:autoSpaceDE/>
              <w:autoSpaceDN/>
              <w:adjustRightInd/>
              <w:snapToGrid/>
              <w:spacing w:line="360" w:lineRule="auto"/>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项目设置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Cs/>
                <w:color w:val="000000" w:themeColor="text1"/>
                <w:sz w:val="24"/>
                <w:szCs w:val="24"/>
                <w14:textFill>
                  <w14:solidFill>
                    <w14:schemeClr w14:val="tx1"/>
                  </w14:solidFill>
                </w14:textFill>
              </w:rPr>
              <w:t>个</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酸洗槽</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酸洗</w:t>
            </w:r>
            <w:r>
              <w:rPr>
                <w:rFonts w:hint="eastAsia" w:ascii="Times New Roman" w:hAnsi="Times New Roman" w:eastAsia="宋体" w:cs="Times New Roman"/>
                <w:bCs/>
                <w:color w:val="000000" w:themeColor="text1"/>
                <w:sz w:val="24"/>
                <w:szCs w:val="24"/>
                <w14:textFill>
                  <w14:solidFill>
                    <w14:schemeClr w14:val="tx1"/>
                  </w14:solidFill>
                </w14:textFill>
              </w:rPr>
              <w:t>槽侧面（两侧）设置</w:t>
            </w:r>
            <w:r>
              <w:rPr>
                <w:rFonts w:ascii="Times New Roman" w:hAnsi="Times New Roman" w:eastAsia="宋体" w:cs="Times New Roman"/>
                <w:bCs/>
                <w:color w:val="000000" w:themeColor="text1"/>
                <w:sz w:val="24"/>
                <w:szCs w:val="24"/>
                <w14:textFill>
                  <w14:solidFill>
                    <w14:schemeClr w14:val="tx1"/>
                  </w14:solidFill>
                </w14:textFill>
              </w:rPr>
              <w:t>集气罩（尺寸为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w:t>
            </w:r>
            <w:r>
              <w:rPr>
                <w:rFonts w:ascii="Times New Roman" w:hAnsi="Times New Roman" w:eastAsia="宋体" w:cs="Times New Roman"/>
                <w:bCs/>
                <w:color w:val="000000" w:themeColor="text1"/>
                <w:sz w:val="24"/>
                <w:szCs w:val="24"/>
                <w14:textFill>
                  <w14:solidFill>
                    <w14:schemeClr w14:val="tx1"/>
                  </w14:solidFill>
                </w14:textFill>
              </w:rPr>
              <w:t>m×</w:t>
            </w:r>
            <w:r>
              <w:rPr>
                <w:rFonts w:hint="eastAsia" w:ascii="Times New Roman" w:hAnsi="Times New Roman" w:eastAsia="宋体" w:cs="Times New Roman"/>
                <w:bCs/>
                <w:color w:val="000000" w:themeColor="text1"/>
                <w:sz w:val="24"/>
                <w:szCs w:val="24"/>
                <w14:textFill>
                  <w14:solidFill>
                    <w14:schemeClr w14:val="tx1"/>
                  </w14:solidFill>
                </w14:textFill>
              </w:rPr>
              <w:t>0.5</w:t>
            </w:r>
            <w:r>
              <w:rPr>
                <w:rFonts w:ascii="Times New Roman" w:hAnsi="Times New Roman" w:eastAsia="宋体" w:cs="Times New Roman"/>
                <w:bCs/>
                <w:color w:val="000000" w:themeColor="text1"/>
                <w:sz w:val="24"/>
                <w:szCs w:val="24"/>
                <w14:textFill>
                  <w14:solidFill>
                    <w14:schemeClr w14:val="tx1"/>
                  </w14:solidFill>
                </w14:textFill>
              </w:rPr>
              <w:t>m</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3.8m</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14:textFill>
                  <w14:solidFill>
                    <w14:schemeClr w14:val="tx1"/>
                  </w14:solidFill>
                </w14:textFill>
              </w:rPr>
              <w:t>0.5</w:t>
            </w:r>
            <w:r>
              <w:rPr>
                <w:rFonts w:ascii="Times New Roman" w:hAnsi="Times New Roman" w:eastAsia="宋体" w:cs="Times New Roman"/>
                <w:bCs/>
                <w:color w:val="000000" w:themeColor="text1"/>
                <w:sz w:val="24"/>
                <w:szCs w:val="24"/>
                <w14:textFill>
                  <w14:solidFill>
                    <w14:schemeClr w14:val="tx1"/>
                  </w14:solidFill>
                </w14:textFill>
              </w:rPr>
              <w:t>m</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3.8m</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14:textFill>
                  <w14:solidFill>
                    <w14:schemeClr w14:val="tx1"/>
                  </w14:solidFill>
                </w14:textFill>
              </w:rPr>
              <w:t>0.5</w:t>
            </w:r>
            <w:r>
              <w:rPr>
                <w:rFonts w:ascii="Times New Roman" w:hAnsi="Times New Roman" w:eastAsia="宋体" w:cs="Times New Roman"/>
                <w:bCs/>
                <w:color w:val="000000" w:themeColor="text1"/>
                <w:sz w:val="24"/>
                <w:szCs w:val="24"/>
                <w14:textFill>
                  <w14:solidFill>
                    <w14:schemeClr w14:val="tx1"/>
                  </w14:solidFill>
                </w14:textFill>
              </w:rPr>
              <w:t>m</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2m</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14:textFill>
                  <w14:solidFill>
                    <w14:schemeClr w14:val="tx1"/>
                  </w14:solidFill>
                </w14:textFill>
              </w:rPr>
              <w:t>0.5</w:t>
            </w:r>
            <w:r>
              <w:rPr>
                <w:rFonts w:ascii="Times New Roman" w:hAnsi="Times New Roman" w:eastAsia="宋体" w:cs="Times New Roman"/>
                <w:bCs/>
                <w:color w:val="000000" w:themeColor="text1"/>
                <w:sz w:val="24"/>
                <w:szCs w:val="24"/>
                <w14:textFill>
                  <w14:solidFill>
                    <w14:schemeClr w14:val="tx1"/>
                  </w14:solidFill>
                </w14:textFill>
              </w:rPr>
              <w:t>m）。计算得风量为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31140</w:t>
            </w:r>
            <w:r>
              <w:rPr>
                <w:rFonts w:ascii="Times New Roman" w:hAnsi="Times New Roman" w:eastAsia="宋体" w:cs="Times New Roman"/>
                <w:bCs/>
                <w:color w:val="000000" w:themeColor="text1"/>
                <w:sz w:val="24"/>
                <w:szCs w:val="24"/>
                <w14:textFill>
                  <w14:solidFill>
                    <w14:schemeClr w14:val="tx1"/>
                  </w14:solidFill>
                </w14:textFill>
              </w:rPr>
              <w:t>m</w:t>
            </w:r>
            <w:r>
              <w:rPr>
                <w:rFonts w:ascii="Times New Roman" w:hAnsi="Times New Roman" w:eastAsia="宋体" w:cs="Times New Roman"/>
                <w:bCs/>
                <w:color w:val="000000" w:themeColor="text1"/>
                <w:sz w:val="24"/>
                <w:szCs w:val="24"/>
                <w:vertAlign w:val="superscript"/>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/h。</w:t>
            </w:r>
            <w:r>
              <w:rPr>
                <w:rFonts w:hint="eastAsia" w:ascii="Times New Roman" w:hAnsi="Times New Roman" w:eastAsia="宋体" w:cs="Times New Roman"/>
                <w:color w:val="000000" w:themeColor="text1"/>
                <w:sz w:val="24"/>
                <w:szCs w:val="24"/>
                <w:lang w:eastAsia="zh-CN"/>
                <w14:textFill>
                  <w14:solidFill>
                    <w14:schemeClr w14:val="tx1"/>
                  </w14:solidFill>
                </w14:textFill>
              </w:rPr>
              <w:t>考虑管道损耗，风机风量设定为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35000</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/h。</w:t>
            </w:r>
          </w:p>
          <w:p w14:paraId="7945A3F4">
            <w:pPr>
              <w:pStyle w:val="45"/>
              <w:widowControl w:val="0"/>
              <w:numPr>
                <w:ilvl w:val="0"/>
                <w:numId w:val="5"/>
              </w:numPr>
              <w:kinsoku/>
              <w:autoSpaceDE/>
              <w:autoSpaceDN/>
              <w:adjustRightInd/>
              <w:snapToGrid/>
              <w:spacing w:line="360" w:lineRule="auto"/>
              <w:ind w:left="0" w:leftChars="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p>
          <w:p w14:paraId="0FEE6BD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项目在固化</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及电泳烘干</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过程中需要液化石油气燃烧提供热量，根据建设单位提供的技术资料，</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项目设置两个</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燃烧机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热功率</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均</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≥10万kCal/h，热效率≥,92%，温度波动≤±5℃</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，项目</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所使用的液化石油气燃烧热值为: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24</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000kal/立方米</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，则单个燃烧机每小时所需</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液化石油气</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为5m</w:t>
            </w:r>
            <w:r>
              <w:rPr>
                <w:rFonts w:hint="eastAsia"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固化</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燃烧机日工作</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小时，</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电泳后烘干</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日工作</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小时</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年工作300天，年</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总</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运行时间为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3000</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h/a，液化石油气用量为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15000m</w:t>
            </w:r>
            <w:r>
              <w:rPr>
                <w:rFonts w:hint="eastAsia"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/a</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参照</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《排放源统计调查产排污核算</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方法和系数手册》中机械行业系数手册 14涂装工段中工艺为液化石油气工业窑炉天然气燃烧污染排放系数如下：</w:t>
            </w:r>
          </w:p>
          <w:p w14:paraId="45DA7165">
            <w:pPr>
              <w:keepNext w:val="0"/>
              <w:keepLines w:val="0"/>
              <w:pageBreakBefore w:val="0"/>
              <w:widowControl w:val="0"/>
              <w:kinsoku/>
              <w:wordWrap/>
              <w:overflowPunct/>
              <w:topLinePunct w:val="0"/>
              <w:bidi w:val="0"/>
              <w:adjustRightInd/>
              <w:snapToGrid/>
              <w:spacing w:line="360" w:lineRule="auto"/>
              <w:ind w:firstLine="48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instrText xml:space="preserve"> = 1 \* GB3 \* MERGEFORMAT </w:instrTex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①</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SO2产污系数：Gso2=0.000002Skg/m</w:t>
            </w:r>
            <w:r>
              <w:rPr>
                <w:rFonts w:hint="eastAsia"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-燃料（S含硫量，本项目取200）；</w:t>
            </w:r>
          </w:p>
          <w:p w14:paraId="209C0C4C">
            <w:pPr>
              <w:keepNext w:val="0"/>
              <w:keepLines w:val="0"/>
              <w:pageBreakBefore w:val="0"/>
              <w:widowControl w:val="0"/>
              <w:kinsoku/>
              <w:wordWrap/>
              <w:overflowPunct/>
              <w:topLinePunct w:val="0"/>
              <w:bidi w:val="0"/>
              <w:adjustRightInd/>
              <w:snapToGrid/>
              <w:spacing w:line="360" w:lineRule="auto"/>
              <w:ind w:firstLine="48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instrText xml:space="preserve"> = 2 \* GB3 \* MERGEFORMAT </w:instrTex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②</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NOx产污系数：GNOx=0.00596kg/m</w:t>
            </w:r>
            <w:r>
              <w:rPr>
                <w:rFonts w:hint="eastAsia"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-燃料；</w:t>
            </w:r>
          </w:p>
          <w:p w14:paraId="1196C352">
            <w:pPr>
              <w:pStyle w:val="3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instrText xml:space="preserve"> = 3 \* GB3 </w:instrTex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③</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颗粒物产污系数：G烟尘=0.000220kg/m</w:t>
            </w:r>
            <w:r>
              <w:rPr>
                <w:rFonts w:hint="eastAsia"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-燃料；</w:t>
            </w:r>
          </w:p>
          <w:p w14:paraId="5C5763C5">
            <w:pPr>
              <w:pStyle w:val="3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则本项目SO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产生量为：0.006t/a，NOx产生量为0.009t/a，颗粒物产生量为：0.0033t/a。</w:t>
            </w:r>
          </w:p>
          <w:p w14:paraId="5778442F">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本项目燃烧废气经收集后</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分别</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由15m高排气筒</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DA004</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。则</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排气筒</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DA004</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二氧化硫</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排放量</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0.006</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t/a，氮氧化物</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量为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0.009</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t/a</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；颗粒物排放量为0.0033</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t/a</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p>
          <w:p w14:paraId="2FD2BA52">
            <w:pPr>
              <w:pStyle w:val="45"/>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自建污水处理厂恶臭</w:t>
            </w:r>
          </w:p>
          <w:p w14:paraId="2D2A5BD9">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恶臭是大气、水、固体废物中的异味通过空气介质，作用于人的嗅觉思维被感知的一种感觉污染。污水处理站的恶臭来源于污水、污泥中有机物的分解、发酵过程中散发的化学物质，主要种类有</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硫化氢、氨等。参照美国EPA对城市污水处理厂恶臭污染物产生情的研究，每处理1g的BOD</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可产生0.0031gNH</w:t>
            </w:r>
            <w:r>
              <w:rPr>
                <w:rFonts w:hint="default"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和0.00012g的H</w:t>
            </w:r>
            <w:r>
              <w:rPr>
                <w:rFonts w:hint="default"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S。项目污水中BOD处理量约</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1.886</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t/a，经计算得NH</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产生量为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5.847</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kg/a，产生速率为,H2S 产生量为</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0.226</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kg/a，产生量较小，项目一体化污水处理设备排换气口无组织排放，对周边大气环境的影响较小</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同时，评价要求加强污水处理站周边绿化，美化环境的同时能够阻隔废气与噪声</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p>
          <w:p w14:paraId="4E7117DC">
            <w:pPr>
              <w:pStyle w:val="8"/>
              <w:keepNext w:val="0"/>
              <w:keepLines w:val="0"/>
              <w:pageBreakBefore w:val="0"/>
              <w:widowControl w:val="0"/>
              <w:kinsoku/>
              <w:wordWrap/>
              <w:overflowPunct/>
              <w:topLinePunct w:val="0"/>
              <w:bidi w:val="0"/>
              <w:adjustRightInd/>
              <w:snapToGrid/>
              <w:spacing w:before="0" w:after="0" w:line="360" w:lineRule="auto"/>
              <w:ind w:right="0" w:firstLine="480" w:firstLineChars="200"/>
              <w:textAlignment w:val="auto"/>
              <w:rPr>
                <w:rFonts w:ascii="Times New Roman" w:hAnsi="Times New Roman" w:eastAsia="宋体" w:cs="Times New Roman"/>
                <w:bCs/>
                <w:spacing w:val="-10"/>
                <w:sz w:val="24"/>
                <w:szCs w:val="24"/>
                <w:lang w:eastAsia="zh-CN"/>
              </w:rPr>
            </w:pPr>
            <w: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t>项目有组织废气产排情况详见下表。</w:t>
            </w:r>
          </w:p>
        </w:tc>
      </w:tr>
    </w:tbl>
    <w:p w14:paraId="0827949F">
      <w:pPr>
        <w:rPr>
          <w:lang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527"/>
      </w:tblGrid>
      <w:tr w14:paraId="469A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6" w:hRule="atLeast"/>
        </w:trPr>
        <w:tc>
          <w:tcPr>
            <w:tcW w:w="701" w:type="dxa"/>
          </w:tcPr>
          <w:p w14:paraId="717D5A5F">
            <w:pPr>
              <w:pStyle w:val="4"/>
              <w:kinsoku/>
              <w:rPr>
                <w:lang w:eastAsia="zh-CN"/>
              </w:rPr>
            </w:pPr>
          </w:p>
        </w:tc>
        <w:tc>
          <w:tcPr>
            <w:tcW w:w="12527" w:type="dxa"/>
          </w:tcPr>
          <w:p w14:paraId="7100DAB5">
            <w:p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项目工程大气污染物产排情况</w:t>
            </w:r>
          </w:p>
          <w:p w14:paraId="48D336AF">
            <w:pPr>
              <w:kinsoku/>
              <w:adjustRightInd/>
              <w:snapToGrid/>
              <w:jc w:val="center"/>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lang w:eastAsia="zh-CN"/>
                <w14:textFill>
                  <w14:solidFill>
                    <w14:schemeClr w14:val="tx1"/>
                  </w14:solidFill>
                </w14:textFill>
              </w:rPr>
              <w:t xml:space="preserve">1 </w:t>
            </w:r>
            <w:r>
              <w:rPr>
                <w:rFonts w:ascii="Times New Roman" w:hAnsi="Times New Roman" w:eastAsia="宋体" w:cs="Times New Roman"/>
                <w:b/>
                <w:bCs/>
                <w:color w:val="000000" w:themeColor="text1"/>
                <w:sz w:val="24"/>
                <w:lang w:eastAsia="zh-CN"/>
                <w14:textFill>
                  <w14:solidFill>
                    <w14:schemeClr w14:val="tx1"/>
                  </w14:solidFill>
                </w14:textFill>
              </w:rPr>
              <w:t>本项目有组织废气产生排放情况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645"/>
              <w:gridCol w:w="795"/>
              <w:gridCol w:w="1079"/>
              <w:gridCol w:w="854"/>
              <w:gridCol w:w="794"/>
              <w:gridCol w:w="878"/>
              <w:gridCol w:w="1667"/>
              <w:gridCol w:w="668"/>
              <w:gridCol w:w="870"/>
              <w:gridCol w:w="870"/>
              <w:gridCol w:w="872"/>
              <w:gridCol w:w="1173"/>
            </w:tblGrid>
            <w:tr w14:paraId="38A0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136" w:type="dxa"/>
                  <w:vMerge w:val="restart"/>
                  <w:vAlign w:val="center"/>
                </w:tcPr>
                <w:p w14:paraId="69E5A4D3">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污染源</w:t>
                  </w:r>
                </w:p>
              </w:tc>
              <w:tc>
                <w:tcPr>
                  <w:tcW w:w="645" w:type="dxa"/>
                  <w:vMerge w:val="restart"/>
                  <w:vAlign w:val="center"/>
                </w:tcPr>
                <w:p w14:paraId="29F116E8">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时间h</w:t>
                  </w:r>
                </w:p>
              </w:tc>
              <w:tc>
                <w:tcPr>
                  <w:tcW w:w="795" w:type="dxa"/>
                  <w:vMerge w:val="restart"/>
                  <w:vAlign w:val="center"/>
                </w:tcPr>
                <w:p w14:paraId="21089D79">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风量m</w:t>
                  </w:r>
                  <w:r>
                    <w:rPr>
                      <w:rFonts w:ascii="Times New Roman" w:hAnsi="Times New Roman" w:eastAsia="宋体"/>
                      <w:color w:val="000000" w:themeColor="text1"/>
                      <w:vertAlign w:val="super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/h</w:t>
                  </w:r>
                </w:p>
              </w:tc>
              <w:tc>
                <w:tcPr>
                  <w:tcW w:w="1079" w:type="dxa"/>
                  <w:vMerge w:val="restart"/>
                  <w:vAlign w:val="center"/>
                </w:tcPr>
                <w:p w14:paraId="628DE09B">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w:t>
                  </w:r>
                </w:p>
              </w:tc>
              <w:tc>
                <w:tcPr>
                  <w:tcW w:w="2526" w:type="dxa"/>
                  <w:gridSpan w:val="3"/>
                  <w:vAlign w:val="center"/>
                </w:tcPr>
                <w:p w14:paraId="77EE763E">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产生情况</w:t>
                  </w:r>
                </w:p>
              </w:tc>
              <w:tc>
                <w:tcPr>
                  <w:tcW w:w="1667" w:type="dxa"/>
                  <w:vMerge w:val="restart"/>
                  <w:vAlign w:val="center"/>
                </w:tcPr>
                <w:p w14:paraId="123B23DC">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处理措施</w:t>
                  </w:r>
                </w:p>
              </w:tc>
              <w:tc>
                <w:tcPr>
                  <w:tcW w:w="668" w:type="dxa"/>
                  <w:vMerge w:val="restart"/>
                  <w:vAlign w:val="center"/>
                </w:tcPr>
                <w:p w14:paraId="01DB61CD">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处理效率%</w:t>
                  </w:r>
                </w:p>
              </w:tc>
              <w:tc>
                <w:tcPr>
                  <w:tcW w:w="3785" w:type="dxa"/>
                  <w:gridSpan w:val="4"/>
                  <w:vAlign w:val="center"/>
                </w:tcPr>
                <w:p w14:paraId="5843B5C3">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排放情况</w:t>
                  </w:r>
                </w:p>
              </w:tc>
            </w:tr>
            <w:tr w14:paraId="7CE4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36" w:type="dxa"/>
                  <w:vMerge w:val="continue"/>
                  <w:vAlign w:val="center"/>
                </w:tcPr>
                <w:p w14:paraId="0C056CFA">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p>
              </w:tc>
              <w:tc>
                <w:tcPr>
                  <w:tcW w:w="645" w:type="dxa"/>
                  <w:vMerge w:val="continue"/>
                  <w:vAlign w:val="center"/>
                </w:tcPr>
                <w:p w14:paraId="47326B51">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p>
              </w:tc>
              <w:tc>
                <w:tcPr>
                  <w:tcW w:w="795" w:type="dxa"/>
                  <w:vMerge w:val="continue"/>
                  <w:vAlign w:val="center"/>
                </w:tcPr>
                <w:p w14:paraId="744BDA9D">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p>
              </w:tc>
              <w:tc>
                <w:tcPr>
                  <w:tcW w:w="1079" w:type="dxa"/>
                  <w:vMerge w:val="continue"/>
                  <w:vAlign w:val="center"/>
                </w:tcPr>
                <w:p w14:paraId="1D0EB139">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p>
              </w:tc>
              <w:tc>
                <w:tcPr>
                  <w:tcW w:w="854" w:type="dxa"/>
                  <w:vAlign w:val="center"/>
                </w:tcPr>
                <w:p w14:paraId="57B198AB">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浓度mg/m</w:t>
                  </w:r>
                  <w:r>
                    <w:rPr>
                      <w:rFonts w:ascii="Times New Roman" w:hAnsi="Times New Roman" w:eastAsia="宋体"/>
                      <w:color w:val="000000" w:themeColor="text1"/>
                      <w:vertAlign w:val="superscript"/>
                      <w14:textFill>
                        <w14:solidFill>
                          <w14:schemeClr w14:val="tx1"/>
                        </w14:solidFill>
                      </w14:textFill>
                    </w:rPr>
                    <w:t>3</w:t>
                  </w:r>
                </w:p>
              </w:tc>
              <w:tc>
                <w:tcPr>
                  <w:tcW w:w="794" w:type="dxa"/>
                  <w:vAlign w:val="center"/>
                </w:tcPr>
                <w:p w14:paraId="533AC477">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速率kg/h</w:t>
                  </w:r>
                </w:p>
              </w:tc>
              <w:tc>
                <w:tcPr>
                  <w:tcW w:w="878" w:type="dxa"/>
                  <w:vAlign w:val="center"/>
                </w:tcPr>
                <w:p w14:paraId="108FFC19">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产生量t/a</w:t>
                  </w:r>
                </w:p>
              </w:tc>
              <w:tc>
                <w:tcPr>
                  <w:tcW w:w="1667" w:type="dxa"/>
                  <w:vMerge w:val="continue"/>
                  <w:vAlign w:val="center"/>
                </w:tcPr>
                <w:p w14:paraId="7EC71003">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p>
              </w:tc>
              <w:tc>
                <w:tcPr>
                  <w:tcW w:w="668" w:type="dxa"/>
                  <w:vMerge w:val="continue"/>
                  <w:vAlign w:val="center"/>
                </w:tcPr>
                <w:p w14:paraId="35BE477D">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p>
              </w:tc>
              <w:tc>
                <w:tcPr>
                  <w:tcW w:w="870" w:type="dxa"/>
                  <w:vAlign w:val="center"/>
                </w:tcPr>
                <w:p w14:paraId="5FC95EC0">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浓度mg/m</w:t>
                  </w:r>
                  <w:r>
                    <w:rPr>
                      <w:rFonts w:ascii="Times New Roman" w:hAnsi="Times New Roman" w:eastAsia="宋体"/>
                      <w:color w:val="000000" w:themeColor="text1"/>
                      <w:vertAlign w:val="superscript"/>
                      <w14:textFill>
                        <w14:solidFill>
                          <w14:schemeClr w14:val="tx1"/>
                        </w14:solidFill>
                      </w14:textFill>
                    </w:rPr>
                    <w:t>3</w:t>
                  </w:r>
                </w:p>
              </w:tc>
              <w:tc>
                <w:tcPr>
                  <w:tcW w:w="870" w:type="dxa"/>
                  <w:vAlign w:val="center"/>
                </w:tcPr>
                <w:p w14:paraId="4B44CB82">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速率kg/h</w:t>
                  </w:r>
                </w:p>
              </w:tc>
              <w:tc>
                <w:tcPr>
                  <w:tcW w:w="872" w:type="dxa"/>
                  <w:vAlign w:val="center"/>
                </w:tcPr>
                <w:p w14:paraId="29401950">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排放量t/a</w:t>
                  </w:r>
                </w:p>
              </w:tc>
              <w:tc>
                <w:tcPr>
                  <w:tcW w:w="1173" w:type="dxa"/>
                  <w:vAlign w:val="center"/>
                </w:tcPr>
                <w:p w14:paraId="1B17D8CC">
                  <w:pPr>
                    <w:pStyle w:val="41"/>
                    <w:kinsoku/>
                    <w:topLinePunct/>
                    <w:autoSpaceDE/>
                    <w:autoSpaceDN/>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排气筒</w:t>
                  </w:r>
                </w:p>
              </w:tc>
            </w:tr>
            <w:tr w14:paraId="0C81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36" w:type="dxa"/>
                  <w:vAlign w:val="center"/>
                </w:tcPr>
                <w:p w14:paraId="70FBD620">
                  <w:pPr>
                    <w:pStyle w:val="41"/>
                    <w:kinsoku/>
                    <w:topLinePunct/>
                    <w:autoSpaceDE/>
                    <w:autoSpaceDN/>
                    <w:textAlignment w:val="auto"/>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切割下料、焊接</w:t>
                  </w:r>
                </w:p>
              </w:tc>
              <w:tc>
                <w:tcPr>
                  <w:tcW w:w="645" w:type="dxa"/>
                  <w:vMerge w:val="restart"/>
                  <w:vAlign w:val="center"/>
                </w:tcPr>
                <w:p w14:paraId="679CB4D8">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2400</w:t>
                  </w:r>
                </w:p>
              </w:tc>
              <w:tc>
                <w:tcPr>
                  <w:tcW w:w="795" w:type="dxa"/>
                  <w:vMerge w:val="restart"/>
                  <w:vAlign w:val="center"/>
                </w:tcPr>
                <w:p w14:paraId="2FC0FFEA">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10000</w:t>
                  </w:r>
                </w:p>
              </w:tc>
              <w:tc>
                <w:tcPr>
                  <w:tcW w:w="1079" w:type="dxa"/>
                  <w:vAlign w:val="center"/>
                </w:tcPr>
                <w:p w14:paraId="40740C5F">
                  <w:pPr>
                    <w:pStyle w:val="41"/>
                    <w:kinsoku/>
                    <w:topLinePunct/>
                    <w:autoSpaceDE/>
                    <w:autoSpaceDN/>
                    <w:textAlignment w:val="auto"/>
                    <w:rPr>
                      <w:rFonts w:ascii="Times New Roman" w:hAnsi="Times New Roman" w:eastAsia="宋体"/>
                      <w:color w:val="000000" w:themeColor="text1"/>
                      <w:kern w:val="2"/>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颗粒物</w:t>
                  </w:r>
                </w:p>
              </w:tc>
              <w:tc>
                <w:tcPr>
                  <w:tcW w:w="854" w:type="dxa"/>
                  <w:vAlign w:val="center"/>
                </w:tcPr>
                <w:p w14:paraId="3F0B64B7">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251</w:t>
                  </w:r>
                </w:p>
              </w:tc>
              <w:tc>
                <w:tcPr>
                  <w:tcW w:w="794" w:type="dxa"/>
                  <w:vAlign w:val="center"/>
                </w:tcPr>
                <w:p w14:paraId="33238FE8">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2.51</w:t>
                  </w:r>
                </w:p>
              </w:tc>
              <w:tc>
                <w:tcPr>
                  <w:tcW w:w="878" w:type="dxa"/>
                  <w:vAlign w:val="center"/>
                </w:tcPr>
                <w:p w14:paraId="76547F6F">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6.023</w:t>
                  </w:r>
                </w:p>
              </w:tc>
              <w:tc>
                <w:tcPr>
                  <w:tcW w:w="1667" w:type="dxa"/>
                  <w:vMerge w:val="restart"/>
                  <w:vAlign w:val="center"/>
                </w:tcPr>
                <w:p w14:paraId="7CF8971C">
                  <w:pPr>
                    <w:pStyle w:val="41"/>
                    <w:kinsoku/>
                    <w:topLinePunct/>
                    <w:autoSpaceDE/>
                    <w:autoSpaceDN/>
                    <w:textAlignment w:val="auto"/>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布袋除尘器</w:t>
                  </w:r>
                  <w:r>
                    <w:rPr>
                      <w:rFonts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eastAsia="zh-CN"/>
                      <w14:textFill>
                        <w14:solidFill>
                          <w14:schemeClr w14:val="tx1"/>
                        </w14:solidFill>
                      </w14:textFill>
                    </w:rPr>
                    <w:t>1</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lang w:eastAsia="zh-CN"/>
                      <w14:textFill>
                        <w14:solidFill>
                          <w14:schemeClr w14:val="tx1"/>
                        </w14:solidFill>
                      </w14:textFill>
                    </w:rPr>
                    <w:t>m</w:t>
                  </w:r>
                  <w:r>
                    <w:rPr>
                      <w:rFonts w:ascii="Times New Roman" w:hAnsi="Times New Roman" w:eastAsia="宋体"/>
                      <w:color w:val="000000" w:themeColor="text1"/>
                      <w14:textFill>
                        <w14:solidFill>
                          <w14:schemeClr w14:val="tx1"/>
                        </w14:solidFill>
                      </w14:textFill>
                    </w:rPr>
                    <w:t>高排气筒</w:t>
                  </w:r>
                  <w:r>
                    <w:rPr>
                      <w:rFonts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DA001</w:t>
                  </w:r>
                  <w:r>
                    <w:rPr>
                      <w:rFonts w:ascii="Times New Roman" w:hAnsi="Times New Roman" w:eastAsia="宋体"/>
                      <w:color w:val="000000" w:themeColor="text1"/>
                      <w:lang w:eastAsia="zh-CN"/>
                      <w14:textFill>
                        <w14:solidFill>
                          <w14:schemeClr w14:val="tx1"/>
                        </w14:solidFill>
                      </w14:textFill>
                    </w:rPr>
                    <w:t>)</w:t>
                  </w:r>
                </w:p>
              </w:tc>
              <w:tc>
                <w:tcPr>
                  <w:tcW w:w="668" w:type="dxa"/>
                  <w:vMerge w:val="restart"/>
                  <w:vAlign w:val="center"/>
                </w:tcPr>
                <w:p w14:paraId="5878B2AD">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99</w:t>
                  </w:r>
                </w:p>
              </w:tc>
              <w:tc>
                <w:tcPr>
                  <w:tcW w:w="870" w:type="dxa"/>
                  <w:vMerge w:val="restart"/>
                  <w:vAlign w:val="center"/>
                </w:tcPr>
                <w:p w14:paraId="3D6D1918">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13.03</w:t>
                  </w:r>
                </w:p>
              </w:tc>
              <w:tc>
                <w:tcPr>
                  <w:tcW w:w="870" w:type="dxa"/>
                  <w:vMerge w:val="restart"/>
                  <w:vAlign w:val="center"/>
                </w:tcPr>
                <w:p w14:paraId="1D688AB5">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0.13</w:t>
                  </w:r>
                </w:p>
              </w:tc>
              <w:tc>
                <w:tcPr>
                  <w:tcW w:w="872" w:type="dxa"/>
                  <w:vMerge w:val="restart"/>
                  <w:vAlign w:val="center"/>
                </w:tcPr>
                <w:p w14:paraId="63554123">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0.3128</w:t>
                  </w:r>
                </w:p>
              </w:tc>
              <w:tc>
                <w:tcPr>
                  <w:tcW w:w="1173" w:type="dxa"/>
                  <w:vMerge w:val="restart"/>
                  <w:vAlign w:val="center"/>
                </w:tcPr>
                <w:p w14:paraId="55303255">
                  <w:pPr>
                    <w:pStyle w:val="41"/>
                    <w:kinsoku/>
                    <w:topLinePunct/>
                    <w:autoSpaceDE/>
                    <w:autoSpaceDN/>
                    <w:textAlignment w:val="auto"/>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内径</w:t>
                  </w:r>
                  <w:r>
                    <w:rPr>
                      <w:rFonts w:hint="eastAsia" w:ascii="Times New Roman" w:hAnsi="Times New Roman" w:eastAsia="宋体"/>
                      <w:color w:val="000000" w:themeColor="text1"/>
                      <w:lang w:val="en-US" w:eastAsia="zh-CN"/>
                      <w14:textFill>
                        <w14:solidFill>
                          <w14:schemeClr w14:val="tx1"/>
                        </w14:solidFill>
                      </w14:textFill>
                    </w:rPr>
                    <w:t>0.65</w:t>
                  </w:r>
                  <w:r>
                    <w:rPr>
                      <w:rFonts w:ascii="Times New Roman" w:hAnsi="Times New Roman" w:eastAsia="宋体"/>
                      <w:color w:val="000000" w:themeColor="text1"/>
                      <w14:textFill>
                        <w14:solidFill>
                          <w14:schemeClr w14:val="tx1"/>
                        </w14:solidFill>
                      </w14:textFill>
                    </w:rPr>
                    <w:t>m，高</w:t>
                  </w:r>
                  <w:r>
                    <w:rPr>
                      <w:rFonts w:hint="eastAsia" w:ascii="Times New Roman" w:hAnsi="Times New Roman" w:eastAsia="宋体"/>
                      <w:color w:val="000000" w:themeColor="text1"/>
                      <w:lang w:val="en-US" w:eastAsia="zh-CN"/>
                      <w14:textFill>
                        <w14:solidFill>
                          <w14:schemeClr w14:val="tx1"/>
                        </w14:solidFill>
                      </w14:textFill>
                    </w:rPr>
                    <w:t>15</w:t>
                  </w:r>
                  <w:r>
                    <w:rPr>
                      <w:rFonts w:hint="eastAsia" w:ascii="Times New Roman" w:hAnsi="Times New Roman" w:eastAsia="宋体"/>
                      <w:color w:val="000000" w:themeColor="text1"/>
                      <w:lang w:eastAsia="zh-CN"/>
                      <w14:textFill>
                        <w14:solidFill>
                          <w14:schemeClr w14:val="tx1"/>
                        </w14:solidFill>
                      </w14:textFill>
                    </w:rPr>
                    <w:t>m</w:t>
                  </w:r>
                </w:p>
              </w:tc>
            </w:tr>
            <w:tr w14:paraId="3DF3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Align w:val="center"/>
                </w:tcPr>
                <w:p w14:paraId="42896622">
                  <w:pPr>
                    <w:pStyle w:val="41"/>
                    <w:kinsoku/>
                    <w:topLinePunct/>
                    <w:autoSpaceDE/>
                    <w:autoSpaceDN/>
                    <w:textAlignment w:val="auto"/>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抛丸</w:t>
                  </w:r>
                </w:p>
              </w:tc>
              <w:tc>
                <w:tcPr>
                  <w:tcW w:w="645" w:type="dxa"/>
                  <w:vMerge w:val="continue"/>
                  <w:vAlign w:val="center"/>
                </w:tcPr>
                <w:p w14:paraId="2C200AC2">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p>
              </w:tc>
              <w:tc>
                <w:tcPr>
                  <w:tcW w:w="795" w:type="dxa"/>
                  <w:vMerge w:val="continue"/>
                  <w:vAlign w:val="center"/>
                </w:tcPr>
                <w:p w14:paraId="6449773C">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p>
              </w:tc>
              <w:tc>
                <w:tcPr>
                  <w:tcW w:w="1079" w:type="dxa"/>
                  <w:vAlign w:val="center"/>
                </w:tcPr>
                <w:p w14:paraId="717032ED">
                  <w:pPr>
                    <w:pStyle w:val="41"/>
                    <w:kinsoku/>
                    <w:topLinePunct/>
                    <w:autoSpaceDE/>
                    <w:autoSpaceDN/>
                    <w:textAlignment w:val="auto"/>
                    <w:rPr>
                      <w:rFonts w:ascii="Times New Roman" w:hAnsi="Times New Roman" w:eastAsia="宋体"/>
                      <w:b/>
                      <w:bCs/>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颗粒物</w:t>
                  </w:r>
                </w:p>
              </w:tc>
              <w:tc>
                <w:tcPr>
                  <w:tcW w:w="854" w:type="dxa"/>
                  <w:vAlign w:val="center"/>
                </w:tcPr>
                <w:p w14:paraId="785EB125">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1053.3</w:t>
                  </w:r>
                </w:p>
              </w:tc>
              <w:tc>
                <w:tcPr>
                  <w:tcW w:w="794" w:type="dxa"/>
                  <w:vAlign w:val="center"/>
                </w:tcPr>
                <w:p w14:paraId="63BECCCE">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10.533</w:t>
                  </w:r>
                </w:p>
              </w:tc>
              <w:tc>
                <w:tcPr>
                  <w:tcW w:w="878" w:type="dxa"/>
                  <w:vAlign w:val="center"/>
                </w:tcPr>
                <w:p w14:paraId="29C3D820">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25.28</w:t>
                  </w:r>
                </w:p>
              </w:tc>
              <w:tc>
                <w:tcPr>
                  <w:tcW w:w="1667" w:type="dxa"/>
                  <w:vMerge w:val="continue"/>
                  <w:vAlign w:val="center"/>
                </w:tcPr>
                <w:p w14:paraId="5946FC92">
                  <w:pPr>
                    <w:pStyle w:val="41"/>
                    <w:kinsoku/>
                    <w:topLinePunct/>
                    <w:autoSpaceDE/>
                    <w:autoSpaceDN/>
                    <w:textAlignment w:val="auto"/>
                    <w:rPr>
                      <w:rFonts w:ascii="Times New Roman" w:hAnsi="Times New Roman" w:eastAsia="宋体"/>
                      <w:color w:val="000000" w:themeColor="text1"/>
                      <w:lang w:eastAsia="zh-CN"/>
                      <w14:textFill>
                        <w14:solidFill>
                          <w14:schemeClr w14:val="tx1"/>
                        </w14:solidFill>
                      </w14:textFill>
                    </w:rPr>
                  </w:pPr>
                </w:p>
              </w:tc>
              <w:tc>
                <w:tcPr>
                  <w:tcW w:w="668" w:type="dxa"/>
                  <w:vMerge w:val="continue"/>
                  <w:vAlign w:val="center"/>
                </w:tcPr>
                <w:p w14:paraId="135448AE">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p>
              </w:tc>
              <w:tc>
                <w:tcPr>
                  <w:tcW w:w="870" w:type="dxa"/>
                  <w:vMerge w:val="continue"/>
                  <w:vAlign w:val="center"/>
                </w:tcPr>
                <w:p w14:paraId="2374F44F">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p>
              </w:tc>
              <w:tc>
                <w:tcPr>
                  <w:tcW w:w="870" w:type="dxa"/>
                  <w:vMerge w:val="continue"/>
                  <w:vAlign w:val="center"/>
                </w:tcPr>
                <w:p w14:paraId="58CD3DE9">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p>
              </w:tc>
              <w:tc>
                <w:tcPr>
                  <w:tcW w:w="872" w:type="dxa"/>
                  <w:vMerge w:val="continue"/>
                  <w:vAlign w:val="center"/>
                </w:tcPr>
                <w:p w14:paraId="54CCEADC">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p>
              </w:tc>
              <w:tc>
                <w:tcPr>
                  <w:tcW w:w="1173" w:type="dxa"/>
                  <w:vMerge w:val="continue"/>
                  <w:vAlign w:val="center"/>
                </w:tcPr>
                <w:p w14:paraId="545AE43F">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p>
              </w:tc>
            </w:tr>
            <w:tr w14:paraId="4307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Align w:val="center"/>
                </w:tcPr>
                <w:p w14:paraId="40838B00">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喷塑</w:t>
                  </w:r>
                </w:p>
              </w:tc>
              <w:tc>
                <w:tcPr>
                  <w:tcW w:w="645" w:type="dxa"/>
                  <w:vAlign w:val="center"/>
                </w:tcPr>
                <w:p w14:paraId="48F5FE7E">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1800</w:t>
                  </w:r>
                </w:p>
              </w:tc>
              <w:tc>
                <w:tcPr>
                  <w:tcW w:w="795" w:type="dxa"/>
                  <w:vAlign w:val="center"/>
                </w:tcPr>
                <w:p w14:paraId="664851DB">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3000</w:t>
                  </w:r>
                </w:p>
              </w:tc>
              <w:tc>
                <w:tcPr>
                  <w:tcW w:w="1079" w:type="dxa"/>
                  <w:vAlign w:val="center"/>
                </w:tcPr>
                <w:p w14:paraId="69607B63">
                  <w:pPr>
                    <w:pStyle w:val="41"/>
                    <w:kinsoku/>
                    <w:topLinePunct/>
                    <w:autoSpaceDE/>
                    <w:autoSpaceDN/>
                    <w:textAlignment w:val="auto"/>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颗粒物</w:t>
                  </w:r>
                </w:p>
              </w:tc>
              <w:tc>
                <w:tcPr>
                  <w:tcW w:w="854" w:type="dxa"/>
                  <w:vAlign w:val="center"/>
                </w:tcPr>
                <w:p w14:paraId="72866BDA">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44</w:t>
                  </w:r>
                </w:p>
              </w:tc>
              <w:tc>
                <w:tcPr>
                  <w:tcW w:w="794" w:type="dxa"/>
                  <w:vAlign w:val="center"/>
                </w:tcPr>
                <w:p w14:paraId="71F0AA9F">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0.792</w:t>
                  </w:r>
                </w:p>
              </w:tc>
              <w:tc>
                <w:tcPr>
                  <w:tcW w:w="878" w:type="dxa"/>
                  <w:vAlign w:val="center"/>
                </w:tcPr>
                <w:p w14:paraId="302D6E08">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1.425</w:t>
                  </w:r>
                </w:p>
              </w:tc>
              <w:tc>
                <w:tcPr>
                  <w:tcW w:w="1667" w:type="dxa"/>
                  <w:vAlign w:val="center"/>
                </w:tcPr>
                <w:p w14:paraId="32865145">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滤芯除尘器+</w:t>
                  </w:r>
                  <w:r>
                    <w:rPr>
                      <w:rFonts w:hint="eastAsia" w:ascii="Times New Roman" w:hAnsi="Times New Roman" w:eastAsia="宋体"/>
                      <w:color w:val="000000" w:themeColor="text1"/>
                      <w:lang w:eastAsia="zh-CN"/>
                      <w14:textFill>
                        <w14:solidFill>
                          <w14:schemeClr w14:val="tx1"/>
                        </w14:solidFill>
                      </w14:textFill>
                    </w:rPr>
                    <w:t>1</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lang w:eastAsia="zh-CN"/>
                      <w14:textFill>
                        <w14:solidFill>
                          <w14:schemeClr w14:val="tx1"/>
                        </w14:solidFill>
                      </w14:textFill>
                    </w:rPr>
                    <w:t>m</w:t>
                  </w:r>
                  <w:r>
                    <w:rPr>
                      <w:rFonts w:ascii="Times New Roman" w:hAnsi="Times New Roman" w:eastAsia="宋体"/>
                      <w:color w:val="000000" w:themeColor="text1"/>
                      <w:lang w:eastAsia="zh-CN"/>
                      <w14:textFill>
                        <w14:solidFill>
                          <w14:schemeClr w14:val="tx1"/>
                        </w14:solidFill>
                      </w14:textFill>
                    </w:rPr>
                    <w:t>高排气筒(DA00</w:t>
                  </w:r>
                  <w:r>
                    <w:rPr>
                      <w:rFonts w:hint="eastAsia" w:ascii="Times New Roman" w:hAnsi="Times New Roman" w:eastAsia="宋体"/>
                      <w:color w:val="000000" w:themeColor="text1"/>
                      <w:lang w:val="en-US" w:eastAsia="zh-CN"/>
                      <w14:textFill>
                        <w14:solidFill>
                          <w14:schemeClr w14:val="tx1"/>
                        </w14:solidFill>
                      </w14:textFill>
                    </w:rPr>
                    <w:t>2</w:t>
                  </w:r>
                  <w:r>
                    <w:rPr>
                      <w:rFonts w:ascii="Times New Roman" w:hAnsi="Times New Roman" w:eastAsia="宋体"/>
                      <w:color w:val="000000" w:themeColor="text1"/>
                      <w:lang w:eastAsia="zh-CN"/>
                      <w14:textFill>
                        <w14:solidFill>
                          <w14:schemeClr w14:val="tx1"/>
                        </w14:solidFill>
                      </w14:textFill>
                    </w:rPr>
                    <w:t>)</w:t>
                  </w:r>
                </w:p>
              </w:tc>
              <w:tc>
                <w:tcPr>
                  <w:tcW w:w="668" w:type="dxa"/>
                  <w:vAlign w:val="center"/>
                </w:tcPr>
                <w:p w14:paraId="3DE839AC">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95</w:t>
                  </w:r>
                </w:p>
              </w:tc>
              <w:tc>
                <w:tcPr>
                  <w:tcW w:w="870" w:type="dxa"/>
                  <w:vAlign w:val="center"/>
                </w:tcPr>
                <w:p w14:paraId="79B7FAE0">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13.33</w:t>
                  </w:r>
                </w:p>
              </w:tc>
              <w:tc>
                <w:tcPr>
                  <w:tcW w:w="870" w:type="dxa"/>
                  <w:vAlign w:val="center"/>
                </w:tcPr>
                <w:p w14:paraId="36454C35">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0.04</w:t>
                  </w:r>
                </w:p>
              </w:tc>
              <w:tc>
                <w:tcPr>
                  <w:tcW w:w="872" w:type="dxa"/>
                  <w:vAlign w:val="center"/>
                </w:tcPr>
                <w:p w14:paraId="375D06CE">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0.072</w:t>
                  </w:r>
                </w:p>
              </w:tc>
              <w:tc>
                <w:tcPr>
                  <w:tcW w:w="1173" w:type="dxa"/>
                  <w:vAlign w:val="center"/>
                </w:tcPr>
                <w:p w14:paraId="50012EA8">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内径</w:t>
                  </w:r>
                  <w:r>
                    <w:rPr>
                      <w:rFonts w:hint="eastAsia" w:ascii="Times New Roman" w:hAnsi="Times New Roman" w:eastAsia="宋体" w:cs="Times New Roman"/>
                      <w:color w:val="000000" w:themeColor="text1"/>
                      <w:lang w:val="en-US" w:eastAsia="zh-CN"/>
                      <w14:textFill>
                        <w14:solidFill>
                          <w14:schemeClr w14:val="tx1"/>
                        </w14:solidFill>
                      </w14:textFill>
                    </w:rPr>
                    <w:t>0.5</w:t>
                  </w:r>
                  <w:r>
                    <w:rPr>
                      <w:rFonts w:ascii="Times New Roman" w:hAnsi="Times New Roman" w:eastAsia="宋体" w:cs="Times New Roman"/>
                      <w:color w:val="000000" w:themeColor="text1"/>
                      <w:lang w:eastAsia="zh-CN"/>
                      <w14:textFill>
                        <w14:solidFill>
                          <w14:schemeClr w14:val="tx1"/>
                        </w14:solidFill>
                      </w14:textFill>
                    </w:rPr>
                    <w:t>m，高</w:t>
                  </w:r>
                  <w:r>
                    <w:rPr>
                      <w:rFonts w:hint="eastAsia" w:ascii="Times New Roman" w:hAnsi="Times New Roman" w:eastAsia="宋体" w:cs="Times New Roman"/>
                      <w:color w:val="000000" w:themeColor="text1"/>
                      <w:lang w:val="en-US" w:eastAsia="zh-CN"/>
                      <w14:textFill>
                        <w14:solidFill>
                          <w14:schemeClr w14:val="tx1"/>
                        </w14:solidFill>
                      </w14:textFill>
                    </w:rPr>
                    <w:t>15</w:t>
                  </w:r>
                  <w:r>
                    <w:rPr>
                      <w:rFonts w:hint="eastAsia" w:ascii="Times New Roman" w:hAnsi="Times New Roman" w:eastAsia="宋体" w:cs="Times New Roman"/>
                      <w:color w:val="000000" w:themeColor="text1"/>
                      <w:lang w:eastAsia="zh-CN"/>
                      <w14:textFill>
                        <w14:solidFill>
                          <w14:schemeClr w14:val="tx1"/>
                        </w14:solidFill>
                      </w14:textFill>
                    </w:rPr>
                    <w:t>m</w:t>
                  </w:r>
                </w:p>
              </w:tc>
            </w:tr>
            <w:tr w14:paraId="1C6E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Merge w:val="restart"/>
                  <w:vAlign w:val="center"/>
                </w:tcPr>
                <w:p w14:paraId="2FAF7962">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固化、电泳及烘干</w:t>
                  </w:r>
                </w:p>
              </w:tc>
              <w:tc>
                <w:tcPr>
                  <w:tcW w:w="645" w:type="dxa"/>
                  <w:vMerge w:val="restart"/>
                  <w:vAlign w:val="center"/>
                </w:tcPr>
                <w:p w14:paraId="3BBB7E8F">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1800</w:t>
                  </w:r>
                </w:p>
              </w:tc>
              <w:tc>
                <w:tcPr>
                  <w:tcW w:w="795" w:type="dxa"/>
                  <w:vMerge w:val="restart"/>
                  <w:vAlign w:val="center"/>
                </w:tcPr>
                <w:p w14:paraId="3A9A8094">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29000</w:t>
                  </w:r>
                </w:p>
              </w:tc>
              <w:tc>
                <w:tcPr>
                  <w:tcW w:w="1079" w:type="dxa"/>
                  <w:vAlign w:val="center"/>
                </w:tcPr>
                <w:p w14:paraId="02D929D9">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非甲烷总烃（</w:t>
                  </w:r>
                  <w:r>
                    <w:rPr>
                      <w:rFonts w:hint="eastAsia" w:ascii="Times New Roman" w:hAnsi="Times New Roman" w:eastAsia="宋体"/>
                      <w:color w:val="000000" w:themeColor="text1"/>
                      <w:kern w:val="2"/>
                      <w:lang w:val="en-US" w:eastAsia="zh-CN"/>
                      <w14:textFill>
                        <w14:solidFill>
                          <w14:schemeClr w14:val="tx1"/>
                        </w14:solidFill>
                      </w14:textFill>
                    </w:rPr>
                    <w:t>固化）</w:t>
                  </w:r>
                </w:p>
              </w:tc>
              <w:tc>
                <w:tcPr>
                  <w:tcW w:w="854" w:type="dxa"/>
                  <w:vAlign w:val="center"/>
                </w:tcPr>
                <w:p w14:paraId="3CBFB139">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16.62</w:t>
                  </w:r>
                </w:p>
              </w:tc>
              <w:tc>
                <w:tcPr>
                  <w:tcW w:w="794" w:type="dxa"/>
                  <w:vAlign w:val="center"/>
                </w:tcPr>
                <w:p w14:paraId="4FF6A246">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0.482</w:t>
                  </w:r>
                </w:p>
              </w:tc>
              <w:tc>
                <w:tcPr>
                  <w:tcW w:w="878" w:type="dxa"/>
                  <w:vAlign w:val="center"/>
                </w:tcPr>
                <w:p w14:paraId="15CD3BE6">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0.578</w:t>
                  </w:r>
                </w:p>
              </w:tc>
              <w:tc>
                <w:tcPr>
                  <w:tcW w:w="1667" w:type="dxa"/>
                  <w:vMerge w:val="restart"/>
                  <w:vAlign w:val="center"/>
                </w:tcPr>
                <w:p w14:paraId="5F39FE5A">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过滤棉</w:t>
                  </w:r>
                  <w:r>
                    <w:rPr>
                      <w:rFonts w:hint="eastAsia" w:ascii="Times New Roman" w:hAnsi="Times New Roman" w:eastAsia="宋体"/>
                      <w:color w:val="000000" w:themeColor="text1"/>
                      <w:lang w:val="en-US" w:eastAsia="zh-CN"/>
                      <w14:textFill>
                        <w14:solidFill>
                          <w14:schemeClr w14:val="tx1"/>
                        </w14:solidFill>
                      </w14:textFill>
                    </w:rPr>
                    <w:t>+二级活性炭+15m</w:t>
                  </w:r>
                  <w:r>
                    <w:rPr>
                      <w:rFonts w:ascii="Times New Roman" w:hAnsi="Times New Roman" w:eastAsia="宋体"/>
                      <w:color w:val="000000" w:themeColor="text1"/>
                      <w:lang w:eastAsia="zh-CN"/>
                      <w14:textFill>
                        <w14:solidFill>
                          <w14:schemeClr w14:val="tx1"/>
                        </w14:solidFill>
                      </w14:textFill>
                    </w:rPr>
                    <w:t>高排气筒(DA00</w:t>
                  </w:r>
                  <w:r>
                    <w:rPr>
                      <w:rFonts w:hint="eastAsia" w:ascii="Times New Roman" w:hAnsi="Times New Roman" w:eastAsia="宋体"/>
                      <w:color w:val="000000" w:themeColor="text1"/>
                      <w:lang w:val="en-US" w:eastAsia="zh-CN"/>
                      <w14:textFill>
                        <w14:solidFill>
                          <w14:schemeClr w14:val="tx1"/>
                        </w14:solidFill>
                      </w14:textFill>
                    </w:rPr>
                    <w:t>3</w:t>
                  </w:r>
                  <w:r>
                    <w:rPr>
                      <w:rFonts w:ascii="Times New Roman" w:hAnsi="Times New Roman" w:eastAsia="宋体"/>
                      <w:color w:val="000000" w:themeColor="text1"/>
                      <w:lang w:eastAsia="zh-CN"/>
                      <w14:textFill>
                        <w14:solidFill>
                          <w14:schemeClr w14:val="tx1"/>
                        </w14:solidFill>
                      </w14:textFill>
                    </w:rPr>
                    <w:t>)</w:t>
                  </w:r>
                </w:p>
              </w:tc>
              <w:tc>
                <w:tcPr>
                  <w:tcW w:w="668" w:type="dxa"/>
                  <w:vMerge w:val="restart"/>
                  <w:vAlign w:val="center"/>
                </w:tcPr>
                <w:p w14:paraId="21C2E35E">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90</w:t>
                  </w:r>
                </w:p>
              </w:tc>
              <w:tc>
                <w:tcPr>
                  <w:tcW w:w="870" w:type="dxa"/>
                  <w:vMerge w:val="restart"/>
                  <w:vAlign w:val="center"/>
                </w:tcPr>
                <w:p w14:paraId="19D38A20">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2.59</w:t>
                  </w:r>
                </w:p>
              </w:tc>
              <w:tc>
                <w:tcPr>
                  <w:tcW w:w="870" w:type="dxa"/>
                  <w:vMerge w:val="restart"/>
                  <w:vAlign w:val="center"/>
                </w:tcPr>
                <w:p w14:paraId="7E8C6571">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0.075</w:t>
                  </w:r>
                </w:p>
              </w:tc>
              <w:tc>
                <w:tcPr>
                  <w:tcW w:w="872" w:type="dxa"/>
                  <w:vMerge w:val="restart"/>
                  <w:vAlign w:val="center"/>
                </w:tcPr>
                <w:p w14:paraId="2E8B1E72">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0.1352</w:t>
                  </w:r>
                </w:p>
              </w:tc>
              <w:tc>
                <w:tcPr>
                  <w:tcW w:w="1173" w:type="dxa"/>
                  <w:vMerge w:val="restart"/>
                  <w:vAlign w:val="center"/>
                </w:tcPr>
                <w:p w14:paraId="2BE072BA">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内径</w:t>
                  </w:r>
                  <w:r>
                    <w:rPr>
                      <w:rFonts w:hint="eastAsia" w:ascii="Times New Roman" w:hAnsi="Times New Roman" w:eastAsia="宋体" w:cs="Times New Roman"/>
                      <w:color w:val="000000" w:themeColor="text1"/>
                      <w:lang w:val="en-US" w:eastAsia="zh-CN"/>
                      <w14:textFill>
                        <w14:solidFill>
                          <w14:schemeClr w14:val="tx1"/>
                        </w14:solidFill>
                      </w14:textFill>
                    </w:rPr>
                    <w:t>0.9</w:t>
                  </w:r>
                  <w:r>
                    <w:rPr>
                      <w:rFonts w:ascii="Times New Roman" w:hAnsi="Times New Roman" w:eastAsia="宋体" w:cs="Times New Roman"/>
                      <w:color w:val="000000" w:themeColor="text1"/>
                      <w:lang w:eastAsia="zh-CN"/>
                      <w14:textFill>
                        <w14:solidFill>
                          <w14:schemeClr w14:val="tx1"/>
                        </w14:solidFill>
                      </w14:textFill>
                    </w:rPr>
                    <w:t>m，高</w:t>
                  </w:r>
                  <w:r>
                    <w:rPr>
                      <w:rFonts w:hint="eastAsia" w:ascii="Times New Roman" w:hAnsi="Times New Roman" w:eastAsia="宋体" w:cs="Times New Roman"/>
                      <w:color w:val="000000" w:themeColor="text1"/>
                      <w:lang w:val="en-US" w:eastAsia="zh-CN"/>
                      <w14:textFill>
                        <w14:solidFill>
                          <w14:schemeClr w14:val="tx1"/>
                        </w14:solidFill>
                      </w14:textFill>
                    </w:rPr>
                    <w:t>15</w:t>
                  </w:r>
                  <w:r>
                    <w:rPr>
                      <w:rFonts w:hint="eastAsia" w:ascii="Times New Roman" w:hAnsi="Times New Roman" w:eastAsia="宋体" w:cs="Times New Roman"/>
                      <w:color w:val="000000" w:themeColor="text1"/>
                      <w:lang w:eastAsia="zh-CN"/>
                      <w14:textFill>
                        <w14:solidFill>
                          <w14:schemeClr w14:val="tx1"/>
                        </w14:solidFill>
                      </w14:textFill>
                    </w:rPr>
                    <w:t>m</w:t>
                  </w:r>
                </w:p>
              </w:tc>
            </w:tr>
            <w:tr w14:paraId="656D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Merge w:val="continue"/>
                  <w:vAlign w:val="center"/>
                </w:tcPr>
                <w:p w14:paraId="4336AA69">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45" w:type="dxa"/>
                  <w:vMerge w:val="continue"/>
                  <w:vAlign w:val="center"/>
                </w:tcPr>
                <w:p w14:paraId="098D4F1E">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795" w:type="dxa"/>
                  <w:vMerge w:val="continue"/>
                  <w:vAlign w:val="center"/>
                </w:tcPr>
                <w:p w14:paraId="41D18798">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1079" w:type="dxa"/>
                  <w:vAlign w:val="center"/>
                </w:tcPr>
                <w:p w14:paraId="1513414E">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非甲烷总烃（</w:t>
                  </w:r>
                  <w:r>
                    <w:rPr>
                      <w:rFonts w:hint="eastAsia" w:ascii="Times New Roman" w:hAnsi="Times New Roman" w:eastAsia="宋体"/>
                      <w:color w:val="000000" w:themeColor="text1"/>
                      <w:kern w:val="2"/>
                      <w:lang w:val="en-US" w:eastAsia="zh-CN"/>
                      <w14:textFill>
                        <w14:solidFill>
                          <w14:schemeClr w14:val="tx1"/>
                        </w14:solidFill>
                      </w14:textFill>
                    </w:rPr>
                    <w:t>电泳）</w:t>
                  </w:r>
                </w:p>
              </w:tc>
              <w:tc>
                <w:tcPr>
                  <w:tcW w:w="854" w:type="dxa"/>
                  <w:vAlign w:val="center"/>
                </w:tcPr>
                <w:p w14:paraId="7CB27D27">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14.828</w:t>
                  </w:r>
                </w:p>
              </w:tc>
              <w:tc>
                <w:tcPr>
                  <w:tcW w:w="794" w:type="dxa"/>
                  <w:vAlign w:val="center"/>
                </w:tcPr>
                <w:p w14:paraId="758E1146">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0.43</w:t>
                  </w:r>
                </w:p>
              </w:tc>
              <w:tc>
                <w:tcPr>
                  <w:tcW w:w="878" w:type="dxa"/>
                  <w:vAlign w:val="center"/>
                </w:tcPr>
                <w:p w14:paraId="1E55A22D">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0.774</w:t>
                  </w:r>
                </w:p>
              </w:tc>
              <w:tc>
                <w:tcPr>
                  <w:tcW w:w="1667" w:type="dxa"/>
                  <w:vMerge w:val="continue"/>
                  <w:vAlign w:val="center"/>
                </w:tcPr>
                <w:p w14:paraId="59F21A50">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68" w:type="dxa"/>
                  <w:vMerge w:val="continue"/>
                  <w:vAlign w:val="center"/>
                </w:tcPr>
                <w:p w14:paraId="11F4CAE1">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870" w:type="dxa"/>
                  <w:vMerge w:val="continue"/>
                  <w:vAlign w:val="center"/>
                </w:tcPr>
                <w:p w14:paraId="33440816">
                  <w:pPr>
                    <w:pStyle w:val="41"/>
                    <w:kinsoku/>
                    <w:topLinePunct/>
                    <w:autoSpaceDE/>
                    <w:autoSpaceDN/>
                    <w:textAlignment w:val="auto"/>
                    <w:rPr>
                      <w:rFonts w:hint="eastAsia" w:ascii="Times New Roman" w:hAnsi="Times New Roman" w:eastAsia="宋体"/>
                      <w:color w:val="000000" w:themeColor="text1"/>
                      <w:kern w:val="2"/>
                      <w:lang w:val="en-US" w:eastAsia="zh-CN"/>
                      <w14:textFill>
                        <w14:solidFill>
                          <w14:schemeClr w14:val="tx1"/>
                        </w14:solidFill>
                      </w14:textFill>
                    </w:rPr>
                  </w:pPr>
                </w:p>
              </w:tc>
              <w:tc>
                <w:tcPr>
                  <w:tcW w:w="870" w:type="dxa"/>
                  <w:vMerge w:val="continue"/>
                  <w:vAlign w:val="center"/>
                </w:tcPr>
                <w:p w14:paraId="64392F9D">
                  <w:pPr>
                    <w:pStyle w:val="41"/>
                    <w:kinsoku/>
                    <w:topLinePunct/>
                    <w:autoSpaceDE/>
                    <w:autoSpaceDN/>
                    <w:textAlignment w:val="auto"/>
                    <w:rPr>
                      <w:rFonts w:hint="eastAsia" w:ascii="Times New Roman" w:hAnsi="Times New Roman" w:eastAsia="宋体"/>
                      <w:color w:val="000000" w:themeColor="text1"/>
                      <w:kern w:val="2"/>
                      <w:lang w:val="en-US" w:eastAsia="zh-CN"/>
                      <w14:textFill>
                        <w14:solidFill>
                          <w14:schemeClr w14:val="tx1"/>
                        </w14:solidFill>
                      </w14:textFill>
                    </w:rPr>
                  </w:pPr>
                </w:p>
              </w:tc>
              <w:tc>
                <w:tcPr>
                  <w:tcW w:w="872" w:type="dxa"/>
                  <w:vMerge w:val="continue"/>
                  <w:vAlign w:val="center"/>
                </w:tcPr>
                <w:p w14:paraId="4420E6C6">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1173" w:type="dxa"/>
                  <w:vMerge w:val="continue"/>
                  <w:vAlign w:val="center"/>
                </w:tcPr>
                <w:p w14:paraId="2D466DAE">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p>
              </w:tc>
            </w:tr>
            <w:tr w14:paraId="7091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Merge w:val="continue"/>
                  <w:vAlign w:val="center"/>
                </w:tcPr>
                <w:p w14:paraId="00062DBB">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45" w:type="dxa"/>
                  <w:vMerge w:val="continue"/>
                  <w:vAlign w:val="center"/>
                </w:tcPr>
                <w:p w14:paraId="3B7C091A">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795" w:type="dxa"/>
                  <w:vMerge w:val="continue"/>
                  <w:vAlign w:val="center"/>
                </w:tcPr>
                <w:p w14:paraId="321AEF10">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1079" w:type="dxa"/>
                  <w:vAlign w:val="center"/>
                </w:tcPr>
                <w:p w14:paraId="4E08B1AF">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SO</w:t>
                  </w:r>
                  <w:r>
                    <w:rPr>
                      <w:rFonts w:hint="eastAsia" w:ascii="Times New Roman" w:hAnsi="Times New Roman" w:eastAsia="宋体"/>
                      <w:color w:val="000000" w:themeColor="text1"/>
                      <w:kern w:val="2"/>
                      <w:vertAlign w:val="subscript"/>
                      <w:lang w:val="en-US" w:eastAsia="zh-CN"/>
                      <w14:textFill>
                        <w14:solidFill>
                          <w14:schemeClr w14:val="tx1"/>
                        </w14:solidFill>
                      </w14:textFill>
                    </w:rPr>
                    <w:t>2</w:t>
                  </w:r>
                </w:p>
              </w:tc>
              <w:tc>
                <w:tcPr>
                  <w:tcW w:w="854" w:type="dxa"/>
                  <w:vAlign w:val="center"/>
                </w:tcPr>
                <w:p w14:paraId="40DC7C7A">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0.115</w:t>
                  </w:r>
                </w:p>
              </w:tc>
              <w:tc>
                <w:tcPr>
                  <w:tcW w:w="794" w:type="dxa"/>
                  <w:vAlign w:val="center"/>
                </w:tcPr>
                <w:p w14:paraId="530FF81B">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0.003</w:t>
                  </w:r>
                </w:p>
              </w:tc>
              <w:tc>
                <w:tcPr>
                  <w:tcW w:w="878" w:type="dxa"/>
                  <w:vAlign w:val="center"/>
                </w:tcPr>
                <w:p w14:paraId="448B67CB">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0.006</w:t>
                  </w:r>
                </w:p>
              </w:tc>
              <w:tc>
                <w:tcPr>
                  <w:tcW w:w="1667" w:type="dxa"/>
                  <w:vMerge w:val="continue"/>
                  <w:vAlign w:val="center"/>
                </w:tcPr>
                <w:p w14:paraId="7DE08525">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68" w:type="dxa"/>
                  <w:vAlign w:val="center"/>
                </w:tcPr>
                <w:p w14:paraId="52CB20CA">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70" w:type="dxa"/>
                  <w:vAlign w:val="center"/>
                </w:tcPr>
                <w:p w14:paraId="244A9C71">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0.115</w:t>
                  </w:r>
                </w:p>
              </w:tc>
              <w:tc>
                <w:tcPr>
                  <w:tcW w:w="870" w:type="dxa"/>
                  <w:vAlign w:val="center"/>
                </w:tcPr>
                <w:p w14:paraId="385DE9ED">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0.003</w:t>
                  </w:r>
                </w:p>
              </w:tc>
              <w:tc>
                <w:tcPr>
                  <w:tcW w:w="872" w:type="dxa"/>
                  <w:vAlign w:val="center"/>
                </w:tcPr>
                <w:p w14:paraId="259EDD68">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0.006</w:t>
                  </w:r>
                </w:p>
              </w:tc>
              <w:tc>
                <w:tcPr>
                  <w:tcW w:w="1173" w:type="dxa"/>
                  <w:vMerge w:val="continue"/>
                  <w:vAlign w:val="center"/>
                </w:tcPr>
                <w:p w14:paraId="3C80BD70">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p>
              </w:tc>
            </w:tr>
            <w:tr w14:paraId="127B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Merge w:val="continue"/>
                  <w:vAlign w:val="center"/>
                </w:tcPr>
                <w:p w14:paraId="01EF0240">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45" w:type="dxa"/>
                  <w:vMerge w:val="continue"/>
                  <w:vAlign w:val="center"/>
                </w:tcPr>
                <w:p w14:paraId="2A0A0A41">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795" w:type="dxa"/>
                  <w:vMerge w:val="continue"/>
                  <w:vAlign w:val="center"/>
                </w:tcPr>
                <w:p w14:paraId="547D74AA">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1079" w:type="dxa"/>
                  <w:vAlign w:val="center"/>
                </w:tcPr>
                <w:p w14:paraId="0EB0A952">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NO</w:t>
                  </w:r>
                  <w:r>
                    <w:rPr>
                      <w:rFonts w:hint="eastAsia" w:ascii="Times New Roman" w:hAnsi="Times New Roman" w:eastAsia="宋体"/>
                      <w:color w:val="000000" w:themeColor="text1"/>
                      <w:kern w:val="2"/>
                      <w:vertAlign w:val="subscript"/>
                      <w:lang w:val="en-US" w:eastAsia="zh-CN"/>
                      <w14:textFill>
                        <w14:solidFill>
                          <w14:schemeClr w14:val="tx1"/>
                        </w14:solidFill>
                      </w14:textFill>
                    </w:rPr>
                    <w:t>X</w:t>
                  </w:r>
                </w:p>
              </w:tc>
              <w:tc>
                <w:tcPr>
                  <w:tcW w:w="854" w:type="dxa"/>
                  <w:vAlign w:val="center"/>
                </w:tcPr>
                <w:p w14:paraId="1F6FCD46">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0.172</w:t>
                  </w:r>
                </w:p>
              </w:tc>
              <w:tc>
                <w:tcPr>
                  <w:tcW w:w="794" w:type="dxa"/>
                  <w:vAlign w:val="center"/>
                </w:tcPr>
                <w:p w14:paraId="6B0BFCEF">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0.005</w:t>
                  </w:r>
                </w:p>
              </w:tc>
              <w:tc>
                <w:tcPr>
                  <w:tcW w:w="878" w:type="dxa"/>
                  <w:vAlign w:val="center"/>
                </w:tcPr>
                <w:p w14:paraId="0223AB5F">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0.009</w:t>
                  </w:r>
                </w:p>
              </w:tc>
              <w:tc>
                <w:tcPr>
                  <w:tcW w:w="1667" w:type="dxa"/>
                  <w:vMerge w:val="continue"/>
                  <w:vAlign w:val="center"/>
                </w:tcPr>
                <w:p w14:paraId="506C0B4C">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68" w:type="dxa"/>
                  <w:vAlign w:val="center"/>
                </w:tcPr>
                <w:p w14:paraId="5ED3F022">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70" w:type="dxa"/>
                  <w:vAlign w:val="center"/>
                </w:tcPr>
                <w:p w14:paraId="18670BE3">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0.172</w:t>
                  </w:r>
                </w:p>
              </w:tc>
              <w:tc>
                <w:tcPr>
                  <w:tcW w:w="870" w:type="dxa"/>
                  <w:vAlign w:val="center"/>
                </w:tcPr>
                <w:p w14:paraId="6D3590BA">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0.005</w:t>
                  </w:r>
                </w:p>
              </w:tc>
              <w:tc>
                <w:tcPr>
                  <w:tcW w:w="872" w:type="dxa"/>
                  <w:vAlign w:val="center"/>
                </w:tcPr>
                <w:p w14:paraId="5EA2C33F">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0.009</w:t>
                  </w:r>
                </w:p>
              </w:tc>
              <w:tc>
                <w:tcPr>
                  <w:tcW w:w="1173" w:type="dxa"/>
                  <w:vMerge w:val="continue"/>
                  <w:vAlign w:val="center"/>
                </w:tcPr>
                <w:p w14:paraId="27615267">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p>
              </w:tc>
            </w:tr>
            <w:tr w14:paraId="583D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Merge w:val="continue"/>
                  <w:vAlign w:val="center"/>
                </w:tcPr>
                <w:p w14:paraId="2C9996FA">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45" w:type="dxa"/>
                  <w:vMerge w:val="continue"/>
                  <w:vAlign w:val="center"/>
                </w:tcPr>
                <w:p w14:paraId="22651C4D">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795" w:type="dxa"/>
                  <w:vMerge w:val="continue"/>
                  <w:vAlign w:val="center"/>
                </w:tcPr>
                <w:p w14:paraId="1DA709F5">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p>
              </w:tc>
              <w:tc>
                <w:tcPr>
                  <w:tcW w:w="1079" w:type="dxa"/>
                  <w:vAlign w:val="center"/>
                </w:tcPr>
                <w:p w14:paraId="460A28D1">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颗粒物</w:t>
                  </w:r>
                </w:p>
              </w:tc>
              <w:tc>
                <w:tcPr>
                  <w:tcW w:w="854" w:type="dxa"/>
                  <w:vAlign w:val="center"/>
                </w:tcPr>
                <w:p w14:paraId="2E050039">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0.063</w:t>
                  </w:r>
                </w:p>
              </w:tc>
              <w:tc>
                <w:tcPr>
                  <w:tcW w:w="794" w:type="dxa"/>
                  <w:vAlign w:val="center"/>
                </w:tcPr>
                <w:p w14:paraId="2289606A">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0.002</w:t>
                  </w:r>
                </w:p>
              </w:tc>
              <w:tc>
                <w:tcPr>
                  <w:tcW w:w="878" w:type="dxa"/>
                  <w:vAlign w:val="center"/>
                </w:tcPr>
                <w:p w14:paraId="74A0AFF5">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0.0033</w:t>
                  </w:r>
                </w:p>
              </w:tc>
              <w:tc>
                <w:tcPr>
                  <w:tcW w:w="1667" w:type="dxa"/>
                  <w:vMerge w:val="continue"/>
                  <w:vAlign w:val="center"/>
                </w:tcPr>
                <w:p w14:paraId="658E6508">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p>
              </w:tc>
              <w:tc>
                <w:tcPr>
                  <w:tcW w:w="668" w:type="dxa"/>
                  <w:vAlign w:val="center"/>
                </w:tcPr>
                <w:p w14:paraId="456A1A47">
                  <w:pPr>
                    <w:pStyle w:val="41"/>
                    <w:kinsoku/>
                    <w:topLinePunct/>
                    <w:autoSpaceDE/>
                    <w:autoSpaceDN/>
                    <w:textAlignment w:val="auto"/>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70" w:type="dxa"/>
                  <w:vAlign w:val="center"/>
                </w:tcPr>
                <w:p w14:paraId="30B2D78E">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0.063</w:t>
                  </w:r>
                </w:p>
              </w:tc>
              <w:tc>
                <w:tcPr>
                  <w:tcW w:w="870" w:type="dxa"/>
                  <w:vAlign w:val="center"/>
                </w:tcPr>
                <w:p w14:paraId="55C14B86">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0.002</w:t>
                  </w:r>
                </w:p>
              </w:tc>
              <w:tc>
                <w:tcPr>
                  <w:tcW w:w="872" w:type="dxa"/>
                  <w:vAlign w:val="center"/>
                </w:tcPr>
                <w:p w14:paraId="064C9A61">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0.0033</w:t>
                  </w:r>
                </w:p>
              </w:tc>
              <w:tc>
                <w:tcPr>
                  <w:tcW w:w="1173" w:type="dxa"/>
                  <w:vMerge w:val="continue"/>
                  <w:vAlign w:val="center"/>
                </w:tcPr>
                <w:p w14:paraId="2ACD9478">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p>
              </w:tc>
            </w:tr>
            <w:tr w14:paraId="0D12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36" w:type="dxa"/>
                  <w:vAlign w:val="center"/>
                </w:tcPr>
                <w:p w14:paraId="732F7CCD">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酸洗</w:t>
                  </w:r>
                </w:p>
              </w:tc>
              <w:tc>
                <w:tcPr>
                  <w:tcW w:w="645" w:type="dxa"/>
                  <w:vAlign w:val="center"/>
                </w:tcPr>
                <w:p w14:paraId="08A1B47B">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1800</w:t>
                  </w:r>
                </w:p>
              </w:tc>
              <w:tc>
                <w:tcPr>
                  <w:tcW w:w="795" w:type="dxa"/>
                  <w:vAlign w:val="center"/>
                </w:tcPr>
                <w:p w14:paraId="2B86AF3D">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35000</w:t>
                  </w:r>
                </w:p>
              </w:tc>
              <w:tc>
                <w:tcPr>
                  <w:tcW w:w="1079" w:type="dxa"/>
                  <w:vAlign w:val="center"/>
                </w:tcPr>
                <w:p w14:paraId="16A4CF3D">
                  <w:pPr>
                    <w:pStyle w:val="41"/>
                    <w:kinsoku/>
                    <w:topLinePunct/>
                    <w:autoSpaceDE/>
                    <w:autoSpaceDN/>
                    <w:textAlignment w:val="auto"/>
                    <w:rPr>
                      <w:rFonts w:hint="eastAsia"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硫酸雾</w:t>
                  </w:r>
                </w:p>
              </w:tc>
              <w:tc>
                <w:tcPr>
                  <w:tcW w:w="854" w:type="dxa"/>
                  <w:vAlign w:val="center"/>
                </w:tcPr>
                <w:p w14:paraId="4EFBEAC8">
                  <w:pPr>
                    <w:kinsoku/>
                    <w:topLinePunct/>
                    <w:autoSpaceDE/>
                    <w:autoSpaceDN/>
                    <w:jc w:val="center"/>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34.556</w:t>
                  </w:r>
                </w:p>
              </w:tc>
              <w:tc>
                <w:tcPr>
                  <w:tcW w:w="794" w:type="dxa"/>
                  <w:vAlign w:val="center"/>
                </w:tcPr>
                <w:p w14:paraId="6396C0C9">
                  <w:pPr>
                    <w:kinsoku/>
                    <w:topLinePunct/>
                    <w:autoSpaceDE/>
                    <w:autoSpaceDN/>
                    <w:jc w:val="center"/>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1.209</w:t>
                  </w:r>
                </w:p>
              </w:tc>
              <w:tc>
                <w:tcPr>
                  <w:tcW w:w="878" w:type="dxa"/>
                  <w:vAlign w:val="center"/>
                </w:tcPr>
                <w:p w14:paraId="7513361E">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2.177</w:t>
                  </w:r>
                </w:p>
              </w:tc>
              <w:tc>
                <w:tcPr>
                  <w:tcW w:w="1667" w:type="dxa"/>
                  <w:vAlign w:val="center"/>
                </w:tcPr>
                <w:p w14:paraId="5DD2DAE5">
                  <w:pPr>
                    <w:pStyle w:val="41"/>
                    <w:kinsoku/>
                    <w:topLinePunct/>
                    <w:autoSpaceDE/>
                    <w:autoSpaceDN/>
                    <w:textAlignment w:val="auto"/>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碱液喷淋+15m</w:t>
                  </w:r>
                  <w:r>
                    <w:rPr>
                      <w:rFonts w:ascii="Times New Roman" w:hAnsi="Times New Roman" w:eastAsia="宋体"/>
                      <w:color w:val="000000" w:themeColor="text1"/>
                      <w:lang w:eastAsia="zh-CN"/>
                      <w14:textFill>
                        <w14:solidFill>
                          <w14:schemeClr w14:val="tx1"/>
                        </w14:solidFill>
                      </w14:textFill>
                    </w:rPr>
                    <w:t>高排气筒(DA00</w:t>
                  </w:r>
                  <w:r>
                    <w:rPr>
                      <w:rFonts w:hint="eastAsia" w:ascii="Times New Roman" w:hAnsi="Times New Roman" w:eastAsia="宋体"/>
                      <w:color w:val="000000" w:themeColor="text1"/>
                      <w:lang w:val="en-US" w:eastAsia="zh-CN"/>
                      <w14:textFill>
                        <w14:solidFill>
                          <w14:schemeClr w14:val="tx1"/>
                        </w14:solidFill>
                      </w14:textFill>
                    </w:rPr>
                    <w:t>4</w:t>
                  </w:r>
                  <w:r>
                    <w:rPr>
                      <w:rFonts w:ascii="Times New Roman" w:hAnsi="Times New Roman" w:eastAsia="宋体"/>
                      <w:color w:val="000000" w:themeColor="text1"/>
                      <w:lang w:eastAsia="zh-CN"/>
                      <w14:textFill>
                        <w14:solidFill>
                          <w14:schemeClr w14:val="tx1"/>
                        </w14:solidFill>
                      </w14:textFill>
                    </w:rPr>
                    <w:t>)</w:t>
                  </w:r>
                </w:p>
              </w:tc>
              <w:tc>
                <w:tcPr>
                  <w:tcW w:w="668" w:type="dxa"/>
                  <w:vAlign w:val="center"/>
                </w:tcPr>
                <w:p w14:paraId="6F3C4708">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90</w:t>
                  </w:r>
                </w:p>
              </w:tc>
              <w:tc>
                <w:tcPr>
                  <w:tcW w:w="870" w:type="dxa"/>
                  <w:vAlign w:val="center"/>
                </w:tcPr>
                <w:p w14:paraId="386EA978">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3.46</w:t>
                  </w:r>
                </w:p>
              </w:tc>
              <w:tc>
                <w:tcPr>
                  <w:tcW w:w="870" w:type="dxa"/>
                  <w:vAlign w:val="center"/>
                </w:tcPr>
                <w:p w14:paraId="3EE47D7A">
                  <w:pPr>
                    <w:pStyle w:val="41"/>
                    <w:kinsoku/>
                    <w:topLinePunct/>
                    <w:autoSpaceDE/>
                    <w:autoSpaceDN/>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0.121</w:t>
                  </w:r>
                </w:p>
              </w:tc>
              <w:tc>
                <w:tcPr>
                  <w:tcW w:w="872" w:type="dxa"/>
                  <w:vAlign w:val="center"/>
                </w:tcPr>
                <w:p w14:paraId="2BC4E696">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0.218</w:t>
                  </w:r>
                </w:p>
              </w:tc>
              <w:tc>
                <w:tcPr>
                  <w:tcW w:w="1173" w:type="dxa"/>
                  <w:vAlign w:val="center"/>
                </w:tcPr>
                <w:p w14:paraId="189177E8">
                  <w:pPr>
                    <w:kinsoku/>
                    <w:topLinePunct/>
                    <w:autoSpaceDE/>
                    <w:autoSpaceDN/>
                    <w:jc w:val="center"/>
                    <w:textAlignment w:val="auto"/>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内径</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ascii="Times New Roman" w:hAnsi="Times New Roman" w:eastAsia="宋体" w:cs="Times New Roman"/>
                      <w:color w:val="000000" w:themeColor="text1"/>
                      <w:lang w:eastAsia="zh-CN"/>
                      <w14:textFill>
                        <w14:solidFill>
                          <w14:schemeClr w14:val="tx1"/>
                        </w14:solidFill>
                      </w14:textFill>
                    </w:rPr>
                    <w:t>m，高</w:t>
                  </w:r>
                  <w:r>
                    <w:rPr>
                      <w:rFonts w:hint="eastAsia" w:ascii="Times New Roman" w:hAnsi="Times New Roman" w:eastAsia="宋体" w:cs="Times New Roman"/>
                      <w:color w:val="000000" w:themeColor="text1"/>
                      <w:lang w:val="en-US" w:eastAsia="zh-CN"/>
                      <w14:textFill>
                        <w14:solidFill>
                          <w14:schemeClr w14:val="tx1"/>
                        </w14:solidFill>
                      </w14:textFill>
                    </w:rPr>
                    <w:t>15</w:t>
                  </w:r>
                  <w:r>
                    <w:rPr>
                      <w:rFonts w:hint="eastAsia" w:ascii="Times New Roman" w:hAnsi="Times New Roman" w:eastAsia="宋体" w:cs="Times New Roman"/>
                      <w:color w:val="000000" w:themeColor="text1"/>
                      <w:lang w:eastAsia="zh-CN"/>
                      <w14:textFill>
                        <w14:solidFill>
                          <w14:schemeClr w14:val="tx1"/>
                        </w14:solidFill>
                      </w14:textFill>
                    </w:rPr>
                    <w:t>m</w:t>
                  </w:r>
                </w:p>
              </w:tc>
            </w:tr>
          </w:tbl>
          <w:p w14:paraId="552DFA4B">
            <w:pPr>
              <w:kinsoku/>
              <w:adjustRightInd/>
              <w:snapToGrid/>
              <w:spacing w:before="156" w:beforeLines="50"/>
              <w:jc w:val="both"/>
              <w:rPr>
                <w:rFonts w:ascii="Times New Roman" w:hAnsi="Times New Roman" w:eastAsia="宋体" w:cs="Times New Roman"/>
                <w:b/>
                <w:bCs/>
                <w:color w:val="000000" w:themeColor="text1"/>
                <w:sz w:val="24"/>
                <w:lang w:eastAsia="zh-CN"/>
                <w14:textFill>
                  <w14:solidFill>
                    <w14:schemeClr w14:val="tx1"/>
                  </w14:solidFill>
                </w14:textFill>
              </w:rPr>
            </w:pPr>
          </w:p>
          <w:p w14:paraId="76A6F9E4">
            <w:pPr>
              <w:kinsoku/>
              <w:adjustRightInd/>
              <w:snapToGrid/>
              <w:spacing w:before="156" w:beforeLines="50"/>
              <w:jc w:val="both"/>
              <w:rPr>
                <w:rFonts w:ascii="Times New Roman" w:hAnsi="Times New Roman" w:eastAsia="宋体" w:cs="Times New Roman"/>
                <w:b/>
                <w:bCs/>
                <w:color w:val="000000" w:themeColor="text1"/>
                <w:sz w:val="24"/>
                <w:lang w:eastAsia="zh-CN"/>
                <w14:textFill>
                  <w14:solidFill>
                    <w14:schemeClr w14:val="tx1"/>
                  </w14:solidFill>
                </w14:textFill>
              </w:rPr>
            </w:pPr>
          </w:p>
          <w:p w14:paraId="70BF3059">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b/>
                <w:bCs/>
                <w:color w:val="000000" w:themeColor="text1"/>
                <w:sz w:val="24"/>
                <w:lang w:eastAsia="zh-CN"/>
                <w14:textFill>
                  <w14:solidFill>
                    <w14:schemeClr w14:val="tx1"/>
                  </w14:solidFill>
                </w14:textFill>
              </w:rPr>
            </w:pPr>
          </w:p>
          <w:p w14:paraId="47D8D3F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000000" w:themeColor="text1"/>
                <w:sz w:val="24"/>
                <w:lang w:eastAsia="zh-CN"/>
                <w14:textFill>
                  <w14:solidFill>
                    <w14:schemeClr w14:val="tx1"/>
                  </w14:solidFill>
                </w14:textFill>
              </w:rPr>
            </w:pPr>
          </w:p>
          <w:p w14:paraId="6B14E2D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lang w:eastAsia="zh-CN"/>
                <w14:textFill>
                  <w14:solidFill>
                    <w14:schemeClr w14:val="tx1"/>
                  </w14:solidFill>
                </w14:textFill>
              </w:rPr>
              <w:t xml:space="preserve">2 </w:t>
            </w:r>
            <w:r>
              <w:rPr>
                <w:rFonts w:ascii="Times New Roman" w:hAnsi="Times New Roman" w:eastAsia="宋体" w:cs="Times New Roman"/>
                <w:b/>
                <w:bCs/>
                <w:color w:val="000000" w:themeColor="text1"/>
                <w:sz w:val="24"/>
                <w:lang w:eastAsia="zh-CN"/>
                <w14:textFill>
                  <w14:solidFill>
                    <w14:schemeClr w14:val="tx1"/>
                  </w14:solidFill>
                </w14:textFill>
              </w:rPr>
              <w:t>本项目无组织废气排放情况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2454"/>
              <w:gridCol w:w="2050"/>
              <w:gridCol w:w="2063"/>
              <w:gridCol w:w="2055"/>
              <w:gridCol w:w="2044"/>
            </w:tblGrid>
            <w:tr w14:paraId="4F1F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64" w:type="pct"/>
                  <w:vMerge w:val="restart"/>
                  <w:vAlign w:val="center"/>
                </w:tcPr>
                <w:p w14:paraId="1B4E62C4">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污染物来源</w:t>
                  </w:r>
                </w:p>
              </w:tc>
              <w:tc>
                <w:tcPr>
                  <w:tcW w:w="997" w:type="pct"/>
                  <w:vMerge w:val="restart"/>
                  <w:vAlign w:val="center"/>
                </w:tcPr>
                <w:p w14:paraId="292FAFFA">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污染物名称</w:t>
                  </w:r>
                </w:p>
              </w:tc>
              <w:tc>
                <w:tcPr>
                  <w:tcW w:w="1671" w:type="pct"/>
                  <w:gridSpan w:val="2"/>
                  <w:vAlign w:val="center"/>
                </w:tcPr>
                <w:p w14:paraId="257EDB32">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排放情况</w:t>
                  </w:r>
                </w:p>
              </w:tc>
              <w:tc>
                <w:tcPr>
                  <w:tcW w:w="835" w:type="pct"/>
                  <w:vMerge w:val="restart"/>
                  <w:vAlign w:val="center"/>
                </w:tcPr>
                <w:p w14:paraId="0EABCAAF">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面源尺寸m*m</w:t>
                  </w:r>
                </w:p>
              </w:tc>
              <w:tc>
                <w:tcPr>
                  <w:tcW w:w="830" w:type="pct"/>
                  <w:vMerge w:val="restart"/>
                  <w:vAlign w:val="center"/>
                </w:tcPr>
                <w:p w14:paraId="6F8B53EB">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面源高度m</w:t>
                  </w:r>
                </w:p>
              </w:tc>
            </w:tr>
            <w:tr w14:paraId="575E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7F261A0C">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997" w:type="pct"/>
                  <w:vMerge w:val="continue"/>
                  <w:vAlign w:val="center"/>
                </w:tcPr>
                <w:p w14:paraId="73C22BE7">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833" w:type="pct"/>
                  <w:vAlign w:val="center"/>
                </w:tcPr>
                <w:p w14:paraId="7B1B2C55">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速率kg/h</w:t>
                  </w:r>
                </w:p>
              </w:tc>
              <w:tc>
                <w:tcPr>
                  <w:tcW w:w="838" w:type="pct"/>
                  <w:vAlign w:val="center"/>
                </w:tcPr>
                <w:p w14:paraId="5C80BCFA">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产量t/a</w:t>
                  </w:r>
                </w:p>
              </w:tc>
              <w:tc>
                <w:tcPr>
                  <w:tcW w:w="835" w:type="pct"/>
                  <w:vMerge w:val="continue"/>
                  <w:vAlign w:val="center"/>
                </w:tcPr>
                <w:p w14:paraId="51DEA5A6">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830" w:type="pct"/>
                  <w:vMerge w:val="continue"/>
                  <w:vAlign w:val="center"/>
                </w:tcPr>
                <w:p w14:paraId="6585C18C">
                  <w:pPr>
                    <w:pStyle w:val="41"/>
                    <w:kinsoku/>
                    <w:adjustRightInd/>
                    <w:snapToGrid/>
                    <w:rPr>
                      <w:rFonts w:ascii="Times New Roman" w:hAnsi="Times New Roman" w:eastAsia="宋体"/>
                      <w:color w:val="000000" w:themeColor="text1"/>
                      <w:lang w:eastAsia="zh-CN"/>
                      <w14:textFill>
                        <w14:solidFill>
                          <w14:schemeClr w14:val="tx1"/>
                        </w14:solidFill>
                      </w14:textFill>
                    </w:rPr>
                  </w:pPr>
                </w:p>
              </w:tc>
            </w:tr>
            <w:tr w14:paraId="620D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restart"/>
                  <w:vAlign w:val="center"/>
                </w:tcPr>
                <w:p w14:paraId="70FAEB3B">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生产车间</w:t>
                  </w:r>
                </w:p>
              </w:tc>
              <w:tc>
                <w:tcPr>
                  <w:tcW w:w="997" w:type="pct"/>
                  <w:vAlign w:val="center"/>
                </w:tcPr>
                <w:p w14:paraId="651F27F3">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颗粒物</w:t>
                  </w:r>
                </w:p>
              </w:tc>
              <w:tc>
                <w:tcPr>
                  <w:tcW w:w="833" w:type="pct"/>
                  <w:vAlign w:val="center"/>
                </w:tcPr>
                <w:p w14:paraId="774C764E">
                  <w:pPr>
                    <w:pStyle w:val="41"/>
                    <w:kinsoku/>
                    <w:adjustRightInd/>
                    <w:snapToGrid/>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0.859</w:t>
                  </w:r>
                </w:p>
              </w:tc>
              <w:tc>
                <w:tcPr>
                  <w:tcW w:w="838" w:type="pct"/>
                  <w:vAlign w:val="center"/>
                </w:tcPr>
                <w:p w14:paraId="4B639728">
                  <w:pPr>
                    <w:pStyle w:val="41"/>
                    <w:kinsoku/>
                    <w:adjustRightInd/>
                    <w:snapToGrid/>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2.0635</w:t>
                  </w:r>
                </w:p>
              </w:tc>
              <w:tc>
                <w:tcPr>
                  <w:tcW w:w="835" w:type="pct"/>
                  <w:vMerge w:val="restart"/>
                  <w:vAlign w:val="center"/>
                </w:tcPr>
                <w:p w14:paraId="46AAA715">
                  <w:pPr>
                    <w:pStyle w:val="41"/>
                    <w:kinsoku/>
                    <w:adjustRightInd/>
                    <w:snapToGrid/>
                    <w:rPr>
                      <w:rFonts w:hint="default" w:ascii="Times New Roman" w:hAnsi="Times New Roman" w:eastAsia="宋体"/>
                      <w:color w:val="E54C5E" w:themeColor="accent6"/>
                      <w:lang w:val="en-US" w:eastAsia="zh-CN"/>
                      <w14:textFill>
                        <w14:solidFill>
                          <w14:schemeClr w14:val="accent6"/>
                        </w14:solidFill>
                      </w14:textFill>
                    </w:rPr>
                  </w:pPr>
                  <w:r>
                    <w:rPr>
                      <w:rFonts w:hint="eastAsia" w:ascii="Times New Roman" w:hAnsi="Times New Roman" w:eastAsia="宋体"/>
                      <w:color w:val="000000" w:themeColor="text1"/>
                      <w:lang w:val="en-US" w:eastAsia="zh-CN"/>
                      <w14:textFill>
                        <w14:solidFill>
                          <w14:schemeClr w14:val="tx1"/>
                        </w14:solidFill>
                      </w14:textFill>
                    </w:rPr>
                    <w:t>68</w:t>
                  </w:r>
                  <w:r>
                    <w:rPr>
                      <w:rFonts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30</w:t>
                  </w:r>
                </w:p>
              </w:tc>
              <w:tc>
                <w:tcPr>
                  <w:tcW w:w="830" w:type="pct"/>
                  <w:vMerge w:val="restart"/>
                  <w:vAlign w:val="center"/>
                </w:tcPr>
                <w:p w14:paraId="1BD8AA65">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13.3</w:t>
                  </w:r>
                </w:p>
              </w:tc>
            </w:tr>
            <w:tr w14:paraId="747E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continue"/>
                  <w:vAlign w:val="center"/>
                </w:tcPr>
                <w:p w14:paraId="420E9334">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997" w:type="pct"/>
                  <w:vAlign w:val="center"/>
                </w:tcPr>
                <w:p w14:paraId="4431FFBE">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非甲烷总烃</w:t>
                  </w:r>
                </w:p>
              </w:tc>
              <w:tc>
                <w:tcPr>
                  <w:tcW w:w="833" w:type="pct"/>
                  <w:vAlign w:val="center"/>
                </w:tcPr>
                <w:p w14:paraId="4D2CEB4C">
                  <w:pPr>
                    <w:pStyle w:val="41"/>
                    <w:kinsoku/>
                    <w:adjustRightInd/>
                    <w:snapToGrid/>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0.062</w:t>
                  </w:r>
                </w:p>
              </w:tc>
              <w:tc>
                <w:tcPr>
                  <w:tcW w:w="838" w:type="pct"/>
                  <w:vAlign w:val="center"/>
                </w:tcPr>
                <w:p w14:paraId="4F4BA331">
                  <w:pPr>
                    <w:pStyle w:val="41"/>
                    <w:kinsoku/>
                    <w:adjustRightInd/>
                    <w:snapToGrid/>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0.15</w:t>
                  </w:r>
                </w:p>
              </w:tc>
              <w:tc>
                <w:tcPr>
                  <w:tcW w:w="835" w:type="pct"/>
                  <w:vMerge w:val="continue"/>
                  <w:vAlign w:val="center"/>
                </w:tcPr>
                <w:p w14:paraId="23C06DD0">
                  <w:pPr>
                    <w:pStyle w:val="41"/>
                    <w:kinsoku/>
                    <w:adjustRightInd/>
                    <w:snapToGrid/>
                    <w:rPr>
                      <w:rFonts w:ascii="Times New Roman" w:hAnsi="Times New Roman" w:eastAsia="宋体"/>
                      <w:color w:val="E54C5E" w:themeColor="accent6"/>
                      <w:lang w:eastAsia="zh-CN"/>
                      <w14:textFill>
                        <w14:solidFill>
                          <w14:schemeClr w14:val="accent6"/>
                        </w14:solidFill>
                      </w14:textFill>
                    </w:rPr>
                  </w:pPr>
                </w:p>
              </w:tc>
              <w:tc>
                <w:tcPr>
                  <w:tcW w:w="830" w:type="pct"/>
                  <w:vMerge w:val="continue"/>
                  <w:vAlign w:val="center"/>
                </w:tcPr>
                <w:p w14:paraId="28418454">
                  <w:pPr>
                    <w:pStyle w:val="41"/>
                    <w:kinsoku/>
                    <w:adjustRightInd/>
                    <w:snapToGrid/>
                    <w:rPr>
                      <w:rFonts w:ascii="Times New Roman" w:hAnsi="Times New Roman" w:eastAsia="宋体"/>
                      <w:color w:val="000000" w:themeColor="text1"/>
                      <w:lang w:eastAsia="zh-CN"/>
                      <w14:textFill>
                        <w14:solidFill>
                          <w14:schemeClr w14:val="tx1"/>
                        </w14:solidFill>
                      </w14:textFill>
                    </w:rPr>
                  </w:pPr>
                </w:p>
              </w:tc>
            </w:tr>
            <w:tr w14:paraId="51E3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2D6D04CC">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997" w:type="pct"/>
                  <w:vAlign w:val="center"/>
                </w:tcPr>
                <w:p w14:paraId="4A5DC520">
                  <w:pPr>
                    <w:pStyle w:val="41"/>
                    <w:kinsoku/>
                    <w:topLinePunct/>
                    <w:autoSpaceDE/>
                    <w:autoSpaceDN/>
                    <w:ind w:firstLine="0" w:firstLineChars="0"/>
                    <w:textAlignment w:val="auto"/>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SO</w:t>
                  </w:r>
                  <w:r>
                    <w:rPr>
                      <w:rFonts w:hint="eastAsia" w:ascii="Times New Roman" w:hAnsi="Times New Roman" w:eastAsia="宋体"/>
                      <w:color w:val="000000" w:themeColor="text1"/>
                      <w:kern w:val="2"/>
                      <w:vertAlign w:val="subscript"/>
                      <w:lang w:val="en-US" w:eastAsia="zh-CN"/>
                      <w14:textFill>
                        <w14:solidFill>
                          <w14:schemeClr w14:val="tx1"/>
                        </w14:solidFill>
                      </w14:textFill>
                    </w:rPr>
                    <w:t>2</w:t>
                  </w:r>
                </w:p>
              </w:tc>
              <w:tc>
                <w:tcPr>
                  <w:tcW w:w="833" w:type="pct"/>
                  <w:vAlign w:val="center"/>
                </w:tcPr>
                <w:p w14:paraId="0A602D40">
                  <w:pPr>
                    <w:kinsoku/>
                    <w:topLinePunct/>
                    <w:autoSpaceDE/>
                    <w:autoSpaceDN/>
                    <w:ind w:firstLine="0" w:firstLineChars="0"/>
                    <w:jc w:val="center"/>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38" w:type="pct"/>
                  <w:vAlign w:val="center"/>
                </w:tcPr>
                <w:p w14:paraId="26B4B4D0">
                  <w:pPr>
                    <w:kinsoku/>
                    <w:topLinePunct/>
                    <w:autoSpaceDE/>
                    <w:autoSpaceDN/>
                    <w:ind w:firstLine="0" w:firstLineChars="0"/>
                    <w:jc w:val="center"/>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35" w:type="pct"/>
                  <w:vMerge w:val="continue"/>
                  <w:vAlign w:val="center"/>
                </w:tcPr>
                <w:p w14:paraId="7D894AC1">
                  <w:pPr>
                    <w:pStyle w:val="41"/>
                    <w:kinsoku/>
                    <w:adjustRightInd/>
                    <w:snapToGrid/>
                    <w:rPr>
                      <w:rFonts w:ascii="Times New Roman" w:hAnsi="Times New Roman" w:eastAsia="宋体"/>
                      <w:color w:val="E54C5E" w:themeColor="accent6"/>
                      <w:lang w:eastAsia="zh-CN"/>
                      <w14:textFill>
                        <w14:solidFill>
                          <w14:schemeClr w14:val="accent6"/>
                        </w14:solidFill>
                      </w14:textFill>
                    </w:rPr>
                  </w:pPr>
                </w:p>
              </w:tc>
              <w:tc>
                <w:tcPr>
                  <w:tcW w:w="830" w:type="pct"/>
                  <w:vMerge w:val="continue"/>
                  <w:vAlign w:val="center"/>
                </w:tcPr>
                <w:p w14:paraId="1705BAFD">
                  <w:pPr>
                    <w:pStyle w:val="41"/>
                    <w:kinsoku/>
                    <w:adjustRightInd/>
                    <w:snapToGrid/>
                    <w:rPr>
                      <w:rFonts w:ascii="Times New Roman" w:hAnsi="Times New Roman" w:eastAsia="宋体"/>
                      <w:color w:val="000000" w:themeColor="text1"/>
                      <w:lang w:eastAsia="zh-CN"/>
                      <w14:textFill>
                        <w14:solidFill>
                          <w14:schemeClr w14:val="tx1"/>
                        </w14:solidFill>
                      </w14:textFill>
                    </w:rPr>
                  </w:pPr>
                </w:p>
              </w:tc>
            </w:tr>
            <w:tr w14:paraId="1F25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1DF8FDD9">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997" w:type="pct"/>
                  <w:vAlign w:val="center"/>
                </w:tcPr>
                <w:p w14:paraId="6A334C9B">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NO</w:t>
                  </w:r>
                  <w:r>
                    <w:rPr>
                      <w:rFonts w:hint="eastAsia" w:ascii="Times New Roman" w:hAnsi="Times New Roman" w:eastAsia="宋体"/>
                      <w:color w:val="000000" w:themeColor="text1"/>
                      <w:kern w:val="2"/>
                      <w:vertAlign w:val="subscript"/>
                      <w:lang w:val="en-US" w:eastAsia="zh-CN"/>
                      <w14:textFill>
                        <w14:solidFill>
                          <w14:schemeClr w14:val="tx1"/>
                        </w14:solidFill>
                      </w14:textFill>
                    </w:rPr>
                    <w:t>X</w:t>
                  </w:r>
                </w:p>
              </w:tc>
              <w:tc>
                <w:tcPr>
                  <w:tcW w:w="833" w:type="pct"/>
                  <w:vAlign w:val="center"/>
                </w:tcPr>
                <w:p w14:paraId="1549CA9B">
                  <w:pPr>
                    <w:kinsoku/>
                    <w:topLinePunct/>
                    <w:autoSpaceDE/>
                    <w:autoSpaceDN/>
                    <w:ind w:firstLine="0" w:firstLineChars="0"/>
                    <w:jc w:val="center"/>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38" w:type="pct"/>
                  <w:vAlign w:val="center"/>
                </w:tcPr>
                <w:p w14:paraId="564D4B27">
                  <w:pPr>
                    <w:kinsoku/>
                    <w:topLinePunct/>
                    <w:autoSpaceDE/>
                    <w:autoSpaceDN/>
                    <w:ind w:firstLine="0" w:firstLineChars="0"/>
                    <w:jc w:val="center"/>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835" w:type="pct"/>
                  <w:vMerge w:val="continue"/>
                  <w:vAlign w:val="center"/>
                </w:tcPr>
                <w:p w14:paraId="2F949219">
                  <w:pPr>
                    <w:pStyle w:val="41"/>
                    <w:kinsoku/>
                    <w:adjustRightInd/>
                    <w:snapToGrid/>
                    <w:rPr>
                      <w:rFonts w:ascii="Times New Roman" w:hAnsi="Times New Roman" w:eastAsia="宋体"/>
                      <w:color w:val="E54C5E" w:themeColor="accent6"/>
                      <w:lang w:eastAsia="zh-CN"/>
                      <w14:textFill>
                        <w14:solidFill>
                          <w14:schemeClr w14:val="accent6"/>
                        </w14:solidFill>
                      </w14:textFill>
                    </w:rPr>
                  </w:pPr>
                </w:p>
              </w:tc>
              <w:tc>
                <w:tcPr>
                  <w:tcW w:w="830" w:type="pct"/>
                  <w:vMerge w:val="continue"/>
                  <w:vAlign w:val="center"/>
                </w:tcPr>
                <w:p w14:paraId="1DEB0953">
                  <w:pPr>
                    <w:pStyle w:val="41"/>
                    <w:kinsoku/>
                    <w:adjustRightInd/>
                    <w:snapToGrid/>
                    <w:rPr>
                      <w:rFonts w:ascii="Times New Roman" w:hAnsi="Times New Roman" w:eastAsia="宋体"/>
                      <w:color w:val="000000" w:themeColor="text1"/>
                      <w:lang w:eastAsia="zh-CN"/>
                      <w14:textFill>
                        <w14:solidFill>
                          <w14:schemeClr w14:val="tx1"/>
                        </w14:solidFill>
                      </w14:textFill>
                    </w:rPr>
                  </w:pPr>
                </w:p>
              </w:tc>
            </w:tr>
            <w:tr w14:paraId="711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1493EF79">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997" w:type="pct"/>
                  <w:vAlign w:val="center"/>
                </w:tcPr>
                <w:p w14:paraId="158D79DC">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硫酸雾</w:t>
                  </w:r>
                </w:p>
              </w:tc>
              <w:tc>
                <w:tcPr>
                  <w:tcW w:w="833" w:type="pct"/>
                  <w:vAlign w:val="center"/>
                </w:tcPr>
                <w:p w14:paraId="5D69C9B7">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0.134</w:t>
                  </w:r>
                </w:p>
              </w:tc>
              <w:tc>
                <w:tcPr>
                  <w:tcW w:w="838" w:type="pct"/>
                  <w:vAlign w:val="center"/>
                </w:tcPr>
                <w:p w14:paraId="26FF8B4A">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0.242</w:t>
                  </w:r>
                </w:p>
              </w:tc>
              <w:tc>
                <w:tcPr>
                  <w:tcW w:w="835" w:type="pct"/>
                  <w:vMerge w:val="continue"/>
                  <w:vAlign w:val="center"/>
                </w:tcPr>
                <w:p w14:paraId="662BAD94">
                  <w:pPr>
                    <w:pStyle w:val="41"/>
                    <w:kinsoku/>
                    <w:adjustRightInd/>
                    <w:snapToGrid/>
                    <w:rPr>
                      <w:rFonts w:ascii="Times New Roman" w:hAnsi="Times New Roman" w:eastAsia="宋体"/>
                      <w:color w:val="E54C5E" w:themeColor="accent6"/>
                      <w:lang w:eastAsia="zh-CN"/>
                      <w14:textFill>
                        <w14:solidFill>
                          <w14:schemeClr w14:val="accent6"/>
                        </w14:solidFill>
                      </w14:textFill>
                    </w:rPr>
                  </w:pPr>
                </w:p>
              </w:tc>
              <w:tc>
                <w:tcPr>
                  <w:tcW w:w="830" w:type="pct"/>
                  <w:vMerge w:val="continue"/>
                  <w:vAlign w:val="center"/>
                </w:tcPr>
                <w:p w14:paraId="15DE9BD4">
                  <w:pPr>
                    <w:pStyle w:val="41"/>
                    <w:kinsoku/>
                    <w:adjustRightInd/>
                    <w:snapToGrid/>
                    <w:rPr>
                      <w:rFonts w:ascii="Times New Roman" w:hAnsi="Times New Roman" w:eastAsia="宋体"/>
                      <w:color w:val="000000" w:themeColor="text1"/>
                      <w:lang w:eastAsia="zh-CN"/>
                      <w14:textFill>
                        <w14:solidFill>
                          <w14:schemeClr w14:val="tx1"/>
                        </w14:solidFill>
                      </w14:textFill>
                    </w:rPr>
                  </w:pPr>
                </w:p>
              </w:tc>
            </w:tr>
            <w:tr w14:paraId="45F2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64" w:type="pct"/>
                  <w:vMerge w:val="restart"/>
                  <w:vAlign w:val="center"/>
                </w:tcPr>
                <w:p w14:paraId="235E068C">
                  <w:pPr>
                    <w:pStyle w:val="41"/>
                    <w:kinsoku/>
                    <w:adjustRightInd/>
                    <w:snapToGrid/>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污水处理站</w:t>
                  </w:r>
                </w:p>
              </w:tc>
              <w:tc>
                <w:tcPr>
                  <w:tcW w:w="997" w:type="pct"/>
                  <w:vAlign w:val="center"/>
                </w:tcPr>
                <w:p w14:paraId="180C24C0">
                  <w:pPr>
                    <w:pStyle w:val="41"/>
                    <w:kinsoku/>
                    <w:topLinePunct/>
                    <w:autoSpaceDE/>
                    <w:autoSpaceDN/>
                    <w:ind w:firstLine="0" w:firstLineChars="0"/>
                    <w:textAlignment w:val="auto"/>
                    <w:rPr>
                      <w:rFonts w:hint="eastAsia"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氨</w:t>
                  </w:r>
                </w:p>
              </w:tc>
              <w:tc>
                <w:tcPr>
                  <w:tcW w:w="833" w:type="pct"/>
                  <w:vAlign w:val="center"/>
                </w:tcPr>
                <w:p w14:paraId="272D882A">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0.0008</w:t>
                  </w:r>
                </w:p>
              </w:tc>
              <w:tc>
                <w:tcPr>
                  <w:tcW w:w="838" w:type="pct"/>
                  <w:vAlign w:val="center"/>
                </w:tcPr>
                <w:p w14:paraId="4EAB9CBD">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0.006</w:t>
                  </w:r>
                </w:p>
              </w:tc>
              <w:tc>
                <w:tcPr>
                  <w:tcW w:w="835" w:type="pct"/>
                  <w:vMerge w:val="restart"/>
                  <w:vAlign w:val="center"/>
                </w:tcPr>
                <w:p w14:paraId="569611E5">
                  <w:pPr>
                    <w:pStyle w:val="41"/>
                    <w:kinsoku/>
                    <w:adjustRightInd/>
                    <w:snapToGrid/>
                    <w:rPr>
                      <w:rFonts w:ascii="Times New Roman" w:hAnsi="Times New Roman" w:eastAsia="宋体"/>
                      <w:color w:val="E54C5E" w:themeColor="accent6"/>
                      <w:lang w:eastAsia="zh-CN"/>
                      <w14:textFill>
                        <w14:solidFill>
                          <w14:schemeClr w14:val="accent6"/>
                        </w14:solidFill>
                      </w14:textFill>
                    </w:rPr>
                  </w:pPr>
                  <w:r>
                    <w:rPr>
                      <w:rFonts w:hint="eastAsia" w:ascii="Times New Roman" w:hAnsi="Times New Roman" w:eastAsia="宋体"/>
                      <w:color w:val="000000" w:themeColor="text1"/>
                      <w:lang w:val="en-US" w:eastAsia="zh-CN"/>
                      <w14:textFill>
                        <w14:solidFill>
                          <w14:schemeClr w14:val="tx1"/>
                        </w14:solidFill>
                      </w14:textFill>
                    </w:rPr>
                    <w:t>20</w:t>
                  </w:r>
                  <w:r>
                    <w:rPr>
                      <w:rFonts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3</w:t>
                  </w:r>
                </w:p>
              </w:tc>
              <w:tc>
                <w:tcPr>
                  <w:tcW w:w="830" w:type="pct"/>
                  <w:vMerge w:val="restart"/>
                  <w:vAlign w:val="center"/>
                </w:tcPr>
                <w:p w14:paraId="148622DA">
                  <w:pPr>
                    <w:pStyle w:val="41"/>
                    <w:kinsoku/>
                    <w:adjustRightInd/>
                    <w:snapToGrid/>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2.8</w:t>
                  </w:r>
                </w:p>
              </w:tc>
            </w:tr>
            <w:tr w14:paraId="1519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29AEA7A7">
                  <w:pPr>
                    <w:pStyle w:val="41"/>
                    <w:kinsoku/>
                    <w:adjustRightInd/>
                    <w:snapToGrid/>
                    <w:rPr>
                      <w:rFonts w:ascii="Times New Roman" w:hAnsi="Times New Roman" w:eastAsia="宋体"/>
                      <w:color w:val="000000" w:themeColor="text1"/>
                      <w:lang w:eastAsia="zh-CN"/>
                      <w14:textFill>
                        <w14:solidFill>
                          <w14:schemeClr w14:val="tx1"/>
                        </w14:solidFill>
                      </w14:textFill>
                    </w:rPr>
                  </w:pPr>
                </w:p>
              </w:tc>
              <w:tc>
                <w:tcPr>
                  <w:tcW w:w="997" w:type="pct"/>
                  <w:vAlign w:val="center"/>
                </w:tcPr>
                <w:p w14:paraId="72231C86">
                  <w:pPr>
                    <w:pStyle w:val="41"/>
                    <w:kinsoku/>
                    <w:topLinePunct/>
                    <w:autoSpaceDE/>
                    <w:autoSpaceDN/>
                    <w:ind w:firstLine="0" w:firstLineChars="0"/>
                    <w:textAlignment w:val="auto"/>
                    <w:rPr>
                      <w:rFonts w:hint="eastAsia"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硫化氢</w:t>
                  </w:r>
                </w:p>
              </w:tc>
              <w:tc>
                <w:tcPr>
                  <w:tcW w:w="833" w:type="pct"/>
                  <w:vAlign w:val="center"/>
                </w:tcPr>
                <w:p w14:paraId="0E7EF00B">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0.000002</w:t>
                  </w:r>
                </w:p>
              </w:tc>
              <w:tc>
                <w:tcPr>
                  <w:tcW w:w="838" w:type="pct"/>
                  <w:vAlign w:val="center"/>
                </w:tcPr>
                <w:p w14:paraId="7303AF5F">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0.0002</w:t>
                  </w:r>
                </w:p>
              </w:tc>
              <w:tc>
                <w:tcPr>
                  <w:tcW w:w="835" w:type="pct"/>
                  <w:vMerge w:val="continue"/>
                  <w:vAlign w:val="center"/>
                </w:tcPr>
                <w:p w14:paraId="4885887D">
                  <w:pPr>
                    <w:pStyle w:val="41"/>
                    <w:kinsoku/>
                    <w:adjustRightInd/>
                    <w:snapToGrid/>
                    <w:rPr>
                      <w:rFonts w:ascii="Times New Roman" w:hAnsi="Times New Roman" w:eastAsia="宋体"/>
                      <w:color w:val="E54C5E" w:themeColor="accent6"/>
                      <w:lang w:eastAsia="zh-CN"/>
                      <w14:textFill>
                        <w14:solidFill>
                          <w14:schemeClr w14:val="accent6"/>
                        </w14:solidFill>
                      </w14:textFill>
                    </w:rPr>
                  </w:pPr>
                </w:p>
              </w:tc>
              <w:tc>
                <w:tcPr>
                  <w:tcW w:w="830" w:type="pct"/>
                  <w:vMerge w:val="continue"/>
                  <w:vAlign w:val="center"/>
                </w:tcPr>
                <w:p w14:paraId="55C634CB">
                  <w:pPr>
                    <w:pStyle w:val="41"/>
                    <w:kinsoku/>
                    <w:adjustRightInd/>
                    <w:snapToGrid/>
                    <w:rPr>
                      <w:rFonts w:ascii="Times New Roman" w:hAnsi="Times New Roman" w:eastAsia="宋体"/>
                      <w:color w:val="000000" w:themeColor="text1"/>
                      <w:lang w:eastAsia="zh-CN"/>
                      <w14:textFill>
                        <w14:solidFill>
                          <w14:schemeClr w14:val="tx1"/>
                        </w14:solidFill>
                      </w14:textFill>
                    </w:rPr>
                  </w:pPr>
                </w:p>
              </w:tc>
            </w:tr>
          </w:tbl>
          <w:p w14:paraId="1FEA920C">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r>
              <w:drawing>
                <wp:anchor distT="0" distB="0" distL="114300" distR="114300" simplePos="0" relativeHeight="251663360" behindDoc="1" locked="0" layoutInCell="1" allowOverlap="1">
                  <wp:simplePos x="0" y="0"/>
                  <wp:positionH relativeFrom="column">
                    <wp:posOffset>3175</wp:posOffset>
                  </wp:positionH>
                  <wp:positionV relativeFrom="paragraph">
                    <wp:posOffset>31750</wp:posOffset>
                  </wp:positionV>
                  <wp:extent cx="7809865" cy="2803525"/>
                  <wp:effectExtent l="0" t="0" r="635" b="3175"/>
                  <wp:wrapNone/>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4"/>
                          <a:stretch>
                            <a:fillRect/>
                          </a:stretch>
                        </pic:blipFill>
                        <pic:spPr>
                          <a:xfrm>
                            <a:off x="0" y="0"/>
                            <a:ext cx="7809865" cy="2803525"/>
                          </a:xfrm>
                          <a:prstGeom prst="rect">
                            <a:avLst/>
                          </a:prstGeom>
                          <a:noFill/>
                          <a:ln>
                            <a:noFill/>
                          </a:ln>
                        </pic:spPr>
                      </pic:pic>
                    </a:graphicData>
                  </a:graphic>
                </wp:anchor>
              </w:drawing>
            </w:r>
          </w:p>
          <w:p w14:paraId="523A4EEC">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1D092200">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38BDFA89">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33A0E9E8">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5C0713F6">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5082F683">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3DDF3BC3">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6864B90C">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3BD5BC9F">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4CEB30E1">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54DF46F2">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2493E5BD">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1016B5BB">
            <w:pPr>
              <w:pStyle w:val="4"/>
              <w:kinsoku/>
              <w:adjustRightInd/>
              <w:snapToGrid/>
              <w:spacing w:line="240" w:lineRule="auto"/>
              <w:ind w:left="0" w:firstLine="0"/>
              <w:jc w:val="center"/>
              <w:rPr>
                <w:rFonts w:ascii="Times New Roman" w:hAnsi="Times New Roman" w:eastAsia="宋体" w:cs="Times New Roman"/>
                <w:b/>
                <w:bCs/>
                <w:color w:val="000000" w:themeColor="text1"/>
                <w:lang w:eastAsia="zh-CN"/>
                <w14:textFill>
                  <w14:solidFill>
                    <w14:schemeClr w14:val="tx1"/>
                  </w14:solidFill>
                </w14:textFill>
              </w:rPr>
            </w:pPr>
          </w:p>
          <w:p w14:paraId="13307F8E">
            <w:pPr>
              <w:pStyle w:val="4"/>
              <w:kinsoku/>
              <w:adjustRightInd/>
              <w:snapToGrid/>
              <w:spacing w:line="240" w:lineRule="auto"/>
              <w:ind w:left="0" w:firstLine="0"/>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b/>
                <w:bCs/>
                <w:color w:val="000000" w:themeColor="text1"/>
                <w:lang w:eastAsia="zh-CN"/>
                <w14:textFill>
                  <w14:solidFill>
                    <w14:schemeClr w14:val="tx1"/>
                  </w14:solidFill>
                </w14:textFill>
              </w:rPr>
              <w:t>图4-1 项目废气处理示意图</w:t>
            </w:r>
          </w:p>
        </w:tc>
      </w:tr>
    </w:tbl>
    <w:p w14:paraId="21E798D5">
      <w:pPr>
        <w:rPr>
          <w:lang w:eastAsia="zh-CN"/>
        </w:rPr>
        <w:sectPr>
          <w:footerReference r:id="rId5" w:type="default"/>
          <w:pgSz w:w="16838" w:h="11906" w:orient="landscape"/>
          <w:pgMar w:top="1531" w:right="1440" w:bottom="1531"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9454"/>
      </w:tblGrid>
      <w:tr w14:paraId="647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dxa"/>
            <w:vAlign w:val="top"/>
          </w:tcPr>
          <w:p w14:paraId="4CDEDB80">
            <w:pPr>
              <w:pStyle w:val="4"/>
              <w:kinsoku/>
              <w:rPr>
                <w:rFonts w:ascii="Times New Roman" w:hAnsi="Times New Roman" w:eastAsia="宋体" w:cs="Times New Roman"/>
                <w:lang w:eastAsia="zh-CN"/>
              </w:rPr>
            </w:pPr>
          </w:p>
        </w:tc>
        <w:tc>
          <w:tcPr>
            <w:tcW w:w="8595" w:type="dxa"/>
            <w:vAlign w:val="top"/>
          </w:tcPr>
          <w:p w14:paraId="1C979937">
            <w:pPr>
              <w:kinsoku/>
              <w:adjustRightInd/>
              <w:snapToGrid/>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2、排放口信息及自行监测</w:t>
            </w:r>
          </w:p>
          <w:p w14:paraId="7EDD930A">
            <w:pPr>
              <w:kinsoku/>
              <w:adjustRightInd/>
              <w:snapToGrid/>
              <w:spacing w:line="360" w:lineRule="auto"/>
              <w:ind w:firstLine="480" w:firstLineChars="200"/>
              <w:rPr>
                <w:rFonts w:ascii="Times New Roman" w:hAnsi="Times New Roman" w:eastAsia="宋体" w:cs="Times New Roman"/>
                <w:bCs/>
                <w:sz w:val="24"/>
                <w:szCs w:val="32"/>
                <w:lang w:eastAsia="zh-CN"/>
              </w:rPr>
            </w:pPr>
            <w:r>
              <w:rPr>
                <w:rFonts w:hint="eastAsia" w:ascii="Times New Roman" w:hAnsi="Times New Roman" w:eastAsia="宋体" w:cs="Times New Roman"/>
                <w:bCs/>
                <w:sz w:val="24"/>
                <w:szCs w:val="32"/>
                <w:lang w:eastAsia="zh-CN"/>
              </w:rPr>
              <w:t>参考《排污许可证申请与核发技术规范 铁路、船舶、航空航天和其他运输设备制造业》（HJ 112</w:t>
            </w:r>
            <w:r>
              <w:rPr>
                <w:rFonts w:hint="eastAsia" w:ascii="Times New Roman" w:hAnsi="Times New Roman" w:eastAsia="宋体" w:cs="Times New Roman"/>
                <w:bCs/>
                <w:sz w:val="24"/>
                <w:szCs w:val="32"/>
                <w:lang w:val="en-US" w:eastAsia="zh-CN"/>
              </w:rPr>
              <w:t>4</w:t>
            </w:r>
            <w:r>
              <w:rPr>
                <w:rFonts w:hint="eastAsia" w:ascii="Times New Roman" w:hAnsi="Times New Roman" w:eastAsia="宋体" w:cs="Times New Roman"/>
                <w:bCs/>
                <w:sz w:val="24"/>
                <w:szCs w:val="32"/>
                <w:lang w:eastAsia="zh-CN"/>
              </w:rPr>
              <w:t>-2020）及</w:t>
            </w:r>
            <w:r>
              <w:rPr>
                <w:rFonts w:ascii="Times New Roman" w:hAnsi="Times New Roman" w:eastAsia="宋体" w:cs="Times New Roman"/>
                <w:bCs/>
                <w:sz w:val="24"/>
                <w:szCs w:val="32"/>
                <w:lang w:eastAsia="zh-CN"/>
              </w:rPr>
              <w:t>《排污单位自行监测技术指南 总则》（HJ819-2017）中相关要求，项目在投入运行后，需定期对项目污染源开展监测活动，具体如下所示。</w:t>
            </w:r>
          </w:p>
          <w:p w14:paraId="155EF274">
            <w:pPr>
              <w:kinsoku/>
              <w:adjustRightInd/>
              <w:snapToGrid/>
              <w:jc w:val="center"/>
              <w:rPr>
                <w:rFonts w:ascii="Times New Roman" w:hAnsi="Times New Roman" w:eastAsia="宋体" w:cs="Times New Roman"/>
                <w:b/>
                <w:bCs/>
                <w:lang w:eastAsia="zh-CN"/>
              </w:rPr>
            </w:pPr>
            <w:r>
              <w:rPr>
                <w:rFonts w:ascii="Times New Roman" w:hAnsi="Times New Roman" w:eastAsia="宋体" w:cs="Times New Roman"/>
                <w:b/>
                <w:bCs/>
                <w:sz w:val="24"/>
                <w:lang w:eastAsia="zh-CN"/>
              </w:rPr>
              <w:t>表4-</w:t>
            </w:r>
            <w:r>
              <w:rPr>
                <w:rFonts w:hint="eastAsia" w:ascii="Times New Roman" w:hAnsi="Times New Roman" w:eastAsia="宋体" w:cs="Times New Roman"/>
                <w:b/>
                <w:bCs/>
                <w:sz w:val="24"/>
                <w:lang w:eastAsia="zh-CN"/>
              </w:rPr>
              <w:t>3</w:t>
            </w:r>
            <w:r>
              <w:rPr>
                <w:rFonts w:ascii="Times New Roman" w:hAnsi="Times New Roman" w:eastAsia="宋体" w:cs="Times New Roman"/>
                <w:b/>
                <w:bCs/>
                <w:sz w:val="24"/>
                <w:lang w:eastAsia="zh-CN"/>
              </w:rPr>
              <w:t xml:space="preserve"> 排放口信息及自行监测一览表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786"/>
              <w:gridCol w:w="1019"/>
              <w:gridCol w:w="786"/>
              <w:gridCol w:w="1744"/>
              <w:gridCol w:w="1622"/>
              <w:gridCol w:w="1286"/>
            </w:tblGrid>
            <w:tr w14:paraId="0ADE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restart"/>
                  <w:tcBorders>
                    <w:top w:val="single" w:color="auto" w:sz="4" w:space="0"/>
                    <w:left w:val="single" w:color="auto" w:sz="4" w:space="0"/>
                    <w:bottom w:val="single" w:color="auto" w:sz="4" w:space="0"/>
                    <w:right w:val="single" w:color="auto" w:sz="4" w:space="0"/>
                  </w:tcBorders>
                  <w:vAlign w:val="center"/>
                </w:tcPr>
                <w:p w14:paraId="7687FD84">
                  <w:pPr>
                    <w:kinsoku/>
                    <w:jc w:val="center"/>
                    <w:rPr>
                      <w:rFonts w:ascii="Times New Roman" w:hAnsi="Times New Roman" w:eastAsia="宋体" w:cs="Times New Roman"/>
                      <w:lang w:eastAsia="zh-CN"/>
                    </w:rPr>
                  </w:pPr>
                  <w:r>
                    <w:rPr>
                      <w:rFonts w:ascii="Times New Roman" w:hAnsi="Times New Roman" w:eastAsia="宋体" w:cs="Times New Roman"/>
                      <w:lang w:eastAsia="zh-CN"/>
                    </w:rPr>
                    <w:t>排放口编号</w:t>
                  </w:r>
                </w:p>
              </w:tc>
              <w:tc>
                <w:tcPr>
                  <w:tcW w:w="1786" w:type="dxa"/>
                  <w:vMerge w:val="restart"/>
                  <w:tcBorders>
                    <w:top w:val="single" w:color="auto" w:sz="4" w:space="0"/>
                    <w:left w:val="nil"/>
                    <w:bottom w:val="single" w:color="auto" w:sz="4" w:space="0"/>
                    <w:right w:val="single" w:color="auto" w:sz="4" w:space="0"/>
                  </w:tcBorders>
                  <w:vAlign w:val="center"/>
                </w:tcPr>
                <w:p w14:paraId="5A15A5B1">
                  <w:pPr>
                    <w:kinsoku/>
                    <w:jc w:val="center"/>
                    <w:rPr>
                      <w:rFonts w:ascii="Times New Roman" w:hAnsi="Times New Roman" w:eastAsia="宋体" w:cs="Times New Roman"/>
                      <w:lang w:eastAsia="zh-CN"/>
                    </w:rPr>
                  </w:pPr>
                  <w:r>
                    <w:rPr>
                      <w:rFonts w:ascii="Times New Roman" w:hAnsi="Times New Roman" w:eastAsia="宋体" w:cs="Times New Roman"/>
                      <w:lang w:eastAsia="zh-CN"/>
                    </w:rPr>
                    <w:t>污染物种类</w:t>
                  </w:r>
                </w:p>
              </w:tc>
              <w:tc>
                <w:tcPr>
                  <w:tcW w:w="1019" w:type="dxa"/>
                  <w:vMerge w:val="restart"/>
                  <w:tcBorders>
                    <w:top w:val="single" w:color="auto" w:sz="4" w:space="0"/>
                    <w:left w:val="nil"/>
                    <w:bottom w:val="single" w:color="auto" w:sz="4" w:space="0"/>
                    <w:right w:val="single" w:color="auto" w:sz="4" w:space="0"/>
                  </w:tcBorders>
                  <w:vAlign w:val="center"/>
                </w:tcPr>
                <w:p w14:paraId="0B825125">
                  <w:pPr>
                    <w:kinsoku/>
                    <w:jc w:val="center"/>
                    <w:rPr>
                      <w:rFonts w:ascii="Times New Roman" w:hAnsi="Times New Roman" w:eastAsia="宋体" w:cs="Times New Roman"/>
                      <w:lang w:eastAsia="zh-CN"/>
                    </w:rPr>
                  </w:pPr>
                  <w:r>
                    <w:rPr>
                      <w:rFonts w:ascii="Times New Roman" w:hAnsi="Times New Roman" w:eastAsia="宋体" w:cs="Times New Roman"/>
                      <w:lang w:eastAsia="zh-CN"/>
                    </w:rPr>
                    <w:t>排气筒高度m</w:t>
                  </w:r>
                </w:p>
              </w:tc>
              <w:tc>
                <w:tcPr>
                  <w:tcW w:w="786" w:type="dxa"/>
                  <w:vMerge w:val="restart"/>
                  <w:tcBorders>
                    <w:top w:val="single" w:color="auto" w:sz="4" w:space="0"/>
                    <w:left w:val="nil"/>
                    <w:bottom w:val="single" w:color="auto" w:sz="4" w:space="0"/>
                    <w:right w:val="single" w:color="auto" w:sz="4" w:space="0"/>
                  </w:tcBorders>
                  <w:vAlign w:val="center"/>
                </w:tcPr>
                <w:p w14:paraId="216FA3C1">
                  <w:pPr>
                    <w:kinsoku/>
                    <w:jc w:val="center"/>
                    <w:rPr>
                      <w:rFonts w:ascii="Times New Roman" w:hAnsi="Times New Roman" w:eastAsia="宋体" w:cs="Times New Roman"/>
                      <w:lang w:eastAsia="zh-CN"/>
                    </w:rPr>
                  </w:pPr>
                  <w:r>
                    <w:rPr>
                      <w:rFonts w:ascii="Times New Roman" w:hAnsi="Times New Roman" w:eastAsia="宋体" w:cs="Times New Roman"/>
                      <w:lang w:eastAsia="zh-CN"/>
                    </w:rPr>
                    <w:t>内径m</w:t>
                  </w:r>
                </w:p>
              </w:tc>
              <w:tc>
                <w:tcPr>
                  <w:tcW w:w="3366" w:type="dxa"/>
                  <w:gridSpan w:val="2"/>
                  <w:tcBorders>
                    <w:top w:val="single" w:color="auto" w:sz="4" w:space="0"/>
                    <w:left w:val="nil"/>
                    <w:bottom w:val="single" w:color="auto" w:sz="4" w:space="0"/>
                    <w:right w:val="single" w:color="auto" w:sz="4" w:space="0"/>
                  </w:tcBorders>
                  <w:vAlign w:val="center"/>
                </w:tcPr>
                <w:p w14:paraId="52E9D623">
                  <w:pPr>
                    <w:kinsoku/>
                    <w:jc w:val="center"/>
                    <w:rPr>
                      <w:rFonts w:ascii="Times New Roman" w:hAnsi="Times New Roman" w:eastAsia="宋体" w:cs="Times New Roman"/>
                      <w:lang w:eastAsia="zh-CN"/>
                    </w:rPr>
                  </w:pPr>
                  <w:r>
                    <w:rPr>
                      <w:rFonts w:ascii="Times New Roman" w:hAnsi="Times New Roman" w:eastAsia="宋体" w:cs="Times New Roman"/>
                      <w:lang w:eastAsia="zh-CN"/>
                    </w:rPr>
                    <w:t>坐标</w:t>
                  </w:r>
                </w:p>
              </w:tc>
              <w:tc>
                <w:tcPr>
                  <w:tcW w:w="1286" w:type="dxa"/>
                  <w:vMerge w:val="restart"/>
                  <w:tcBorders>
                    <w:top w:val="single" w:color="auto" w:sz="4" w:space="0"/>
                    <w:left w:val="nil"/>
                    <w:right w:val="single" w:color="auto" w:sz="4" w:space="0"/>
                  </w:tcBorders>
                  <w:vAlign w:val="center"/>
                </w:tcPr>
                <w:p w14:paraId="6FC8F14D">
                  <w:pPr>
                    <w:kinsoku/>
                    <w:jc w:val="center"/>
                    <w:rPr>
                      <w:rFonts w:ascii="Times New Roman" w:hAnsi="Times New Roman" w:eastAsia="宋体" w:cs="Times New Roman"/>
                      <w:lang w:eastAsia="zh-CN"/>
                    </w:rPr>
                  </w:pPr>
                  <w:r>
                    <w:rPr>
                      <w:rFonts w:ascii="Times New Roman" w:hAnsi="Times New Roman" w:eastAsia="宋体" w:cs="Times New Roman"/>
                      <w:lang w:eastAsia="zh-CN"/>
                    </w:rPr>
                    <w:t>监测频次</w:t>
                  </w:r>
                </w:p>
              </w:tc>
            </w:tr>
            <w:tr w14:paraId="3092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top w:val="single" w:color="auto" w:sz="4" w:space="0"/>
                    <w:left w:val="single" w:color="auto" w:sz="4" w:space="0"/>
                    <w:bottom w:val="single" w:color="auto" w:sz="4" w:space="0"/>
                    <w:right w:val="single" w:color="auto" w:sz="4" w:space="0"/>
                  </w:tcBorders>
                  <w:vAlign w:val="center"/>
                </w:tcPr>
                <w:p w14:paraId="030F8369">
                  <w:pPr>
                    <w:kinsoku/>
                    <w:jc w:val="center"/>
                    <w:rPr>
                      <w:rFonts w:ascii="Times New Roman" w:hAnsi="Times New Roman" w:eastAsia="宋体" w:cs="Times New Roman"/>
                      <w:lang w:eastAsia="zh-CN"/>
                    </w:rPr>
                  </w:pPr>
                </w:p>
              </w:tc>
              <w:tc>
                <w:tcPr>
                  <w:tcW w:w="1786" w:type="dxa"/>
                  <w:vMerge w:val="continue"/>
                  <w:tcBorders>
                    <w:top w:val="single" w:color="auto" w:sz="4" w:space="0"/>
                    <w:left w:val="nil"/>
                    <w:bottom w:val="single" w:color="auto" w:sz="4" w:space="0"/>
                    <w:right w:val="single" w:color="auto" w:sz="4" w:space="0"/>
                  </w:tcBorders>
                  <w:vAlign w:val="center"/>
                </w:tcPr>
                <w:p w14:paraId="053114A3">
                  <w:pPr>
                    <w:kinsoku/>
                    <w:jc w:val="center"/>
                    <w:rPr>
                      <w:rFonts w:ascii="Times New Roman" w:hAnsi="Times New Roman" w:eastAsia="宋体" w:cs="Times New Roman"/>
                      <w:lang w:eastAsia="zh-CN"/>
                    </w:rPr>
                  </w:pPr>
                </w:p>
              </w:tc>
              <w:tc>
                <w:tcPr>
                  <w:tcW w:w="1019" w:type="dxa"/>
                  <w:vMerge w:val="continue"/>
                  <w:tcBorders>
                    <w:top w:val="single" w:color="auto" w:sz="4" w:space="0"/>
                    <w:left w:val="nil"/>
                    <w:bottom w:val="single" w:color="auto" w:sz="4" w:space="0"/>
                    <w:right w:val="single" w:color="auto" w:sz="4" w:space="0"/>
                  </w:tcBorders>
                  <w:vAlign w:val="center"/>
                </w:tcPr>
                <w:p w14:paraId="46F15B40">
                  <w:pPr>
                    <w:kinsoku/>
                    <w:jc w:val="center"/>
                    <w:rPr>
                      <w:rFonts w:ascii="Times New Roman" w:hAnsi="Times New Roman" w:eastAsia="宋体" w:cs="Times New Roman"/>
                      <w:lang w:eastAsia="zh-CN"/>
                    </w:rPr>
                  </w:pPr>
                </w:p>
              </w:tc>
              <w:tc>
                <w:tcPr>
                  <w:tcW w:w="786" w:type="dxa"/>
                  <w:vMerge w:val="continue"/>
                  <w:tcBorders>
                    <w:top w:val="single" w:color="auto" w:sz="4" w:space="0"/>
                    <w:left w:val="nil"/>
                    <w:bottom w:val="single" w:color="auto" w:sz="4" w:space="0"/>
                    <w:right w:val="single" w:color="auto" w:sz="4" w:space="0"/>
                  </w:tcBorders>
                  <w:vAlign w:val="center"/>
                </w:tcPr>
                <w:p w14:paraId="34469343">
                  <w:pPr>
                    <w:kinsoku/>
                    <w:jc w:val="center"/>
                    <w:rPr>
                      <w:rFonts w:ascii="Times New Roman" w:hAnsi="Times New Roman" w:eastAsia="宋体" w:cs="Times New Roman"/>
                      <w:lang w:eastAsia="zh-CN"/>
                    </w:rPr>
                  </w:pPr>
                </w:p>
              </w:tc>
              <w:tc>
                <w:tcPr>
                  <w:tcW w:w="1744" w:type="dxa"/>
                  <w:tcBorders>
                    <w:top w:val="single" w:color="auto" w:sz="4" w:space="0"/>
                    <w:left w:val="nil"/>
                    <w:bottom w:val="single" w:color="auto" w:sz="4" w:space="0"/>
                    <w:right w:val="single" w:color="auto" w:sz="4" w:space="0"/>
                  </w:tcBorders>
                  <w:vAlign w:val="center"/>
                </w:tcPr>
                <w:p w14:paraId="128C46E9">
                  <w:pPr>
                    <w:kinsoku/>
                    <w:jc w:val="center"/>
                    <w:rPr>
                      <w:rFonts w:ascii="Times New Roman" w:hAnsi="Times New Roman" w:eastAsia="宋体" w:cs="Times New Roman"/>
                      <w:lang w:eastAsia="zh-CN"/>
                    </w:rPr>
                  </w:pPr>
                  <w:r>
                    <w:rPr>
                      <w:rFonts w:ascii="Times New Roman" w:hAnsi="Times New Roman" w:eastAsia="宋体" w:cs="Times New Roman"/>
                      <w:lang w:eastAsia="zh-CN"/>
                    </w:rPr>
                    <w:t>经度</w:t>
                  </w:r>
                </w:p>
              </w:tc>
              <w:tc>
                <w:tcPr>
                  <w:tcW w:w="1622" w:type="dxa"/>
                  <w:tcBorders>
                    <w:top w:val="single" w:color="auto" w:sz="4" w:space="0"/>
                    <w:left w:val="nil"/>
                    <w:bottom w:val="single" w:color="auto" w:sz="4" w:space="0"/>
                    <w:right w:val="single" w:color="auto" w:sz="4" w:space="0"/>
                  </w:tcBorders>
                  <w:vAlign w:val="center"/>
                </w:tcPr>
                <w:p w14:paraId="2A891CC2">
                  <w:pPr>
                    <w:kinsoku/>
                    <w:jc w:val="center"/>
                    <w:rPr>
                      <w:rFonts w:ascii="Times New Roman" w:hAnsi="Times New Roman" w:eastAsia="宋体" w:cs="Times New Roman"/>
                      <w:lang w:eastAsia="zh-CN"/>
                    </w:rPr>
                  </w:pPr>
                  <w:r>
                    <w:rPr>
                      <w:rFonts w:ascii="Times New Roman" w:hAnsi="Times New Roman" w:eastAsia="宋体" w:cs="Times New Roman"/>
                      <w:lang w:eastAsia="zh-CN"/>
                    </w:rPr>
                    <w:t>纬度</w:t>
                  </w:r>
                </w:p>
              </w:tc>
              <w:tc>
                <w:tcPr>
                  <w:tcW w:w="1286" w:type="dxa"/>
                  <w:vMerge w:val="continue"/>
                  <w:tcBorders>
                    <w:left w:val="nil"/>
                    <w:bottom w:val="single" w:color="auto" w:sz="4" w:space="0"/>
                    <w:right w:val="single" w:color="auto" w:sz="4" w:space="0"/>
                  </w:tcBorders>
                  <w:vAlign w:val="center"/>
                </w:tcPr>
                <w:p w14:paraId="6920F639">
                  <w:pPr>
                    <w:kinsoku/>
                    <w:jc w:val="center"/>
                    <w:rPr>
                      <w:rFonts w:ascii="Times New Roman" w:hAnsi="Times New Roman" w:eastAsia="宋体" w:cs="Times New Roman"/>
                      <w:lang w:eastAsia="zh-CN"/>
                    </w:rPr>
                  </w:pPr>
                </w:p>
              </w:tc>
            </w:tr>
            <w:tr w14:paraId="3F49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tcBorders>
                    <w:top w:val="single" w:color="auto" w:sz="4" w:space="0"/>
                    <w:left w:val="single" w:color="auto" w:sz="4" w:space="0"/>
                    <w:right w:val="single" w:color="auto" w:sz="4" w:space="0"/>
                  </w:tcBorders>
                  <w:vAlign w:val="center"/>
                </w:tcPr>
                <w:p w14:paraId="0A0D3D39">
                  <w:pPr>
                    <w:kinsoku/>
                    <w:jc w:val="center"/>
                    <w:rPr>
                      <w:rFonts w:ascii="Times New Roman" w:hAnsi="Times New Roman" w:eastAsia="宋体" w:cs="Times New Roman"/>
                      <w:lang w:eastAsia="zh-CN"/>
                    </w:rPr>
                  </w:pPr>
                  <w:r>
                    <w:rPr>
                      <w:rFonts w:ascii="Times New Roman" w:hAnsi="Times New Roman" w:eastAsia="宋体" w:cs="Times New Roman"/>
                      <w:lang w:eastAsia="zh-CN"/>
                    </w:rPr>
                    <w:t>DA001</w:t>
                  </w:r>
                </w:p>
              </w:tc>
              <w:tc>
                <w:tcPr>
                  <w:tcW w:w="1786" w:type="dxa"/>
                  <w:tcBorders>
                    <w:top w:val="single" w:color="auto" w:sz="4" w:space="0"/>
                    <w:left w:val="nil"/>
                    <w:bottom w:val="single" w:color="auto" w:sz="4" w:space="0"/>
                    <w:right w:val="single" w:color="auto" w:sz="4" w:space="0"/>
                  </w:tcBorders>
                  <w:vAlign w:val="center"/>
                </w:tcPr>
                <w:p w14:paraId="38F270ED">
                  <w:pPr>
                    <w:pStyle w:val="41"/>
                    <w:kinsoku/>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lang w:eastAsia="zh-CN"/>
                      <w14:textFill>
                        <w14:solidFill>
                          <w14:schemeClr w14:val="tx1"/>
                        </w14:solidFill>
                      </w14:textFill>
                    </w:rPr>
                    <w:t>颗粒物</w:t>
                  </w:r>
                </w:p>
              </w:tc>
              <w:tc>
                <w:tcPr>
                  <w:tcW w:w="1019" w:type="dxa"/>
                  <w:tcBorders>
                    <w:top w:val="single" w:color="auto" w:sz="4" w:space="0"/>
                    <w:left w:val="nil"/>
                    <w:right w:val="single" w:color="auto" w:sz="4" w:space="0"/>
                  </w:tcBorders>
                  <w:vAlign w:val="center"/>
                </w:tcPr>
                <w:p w14:paraId="47E2F6E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top w:val="single" w:color="auto" w:sz="4" w:space="0"/>
                    <w:left w:val="nil"/>
                    <w:right w:val="single" w:color="auto" w:sz="4" w:space="0"/>
                  </w:tcBorders>
                  <w:vAlign w:val="center"/>
                </w:tcPr>
                <w:p w14:paraId="6928098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0.65</w:t>
                  </w:r>
                </w:p>
              </w:tc>
              <w:tc>
                <w:tcPr>
                  <w:tcW w:w="1744" w:type="dxa"/>
                  <w:tcBorders>
                    <w:top w:val="single" w:color="auto" w:sz="4" w:space="0"/>
                    <w:left w:val="nil"/>
                    <w:right w:val="single" w:color="auto" w:sz="4" w:space="0"/>
                  </w:tcBorders>
                  <w:vAlign w:val="center"/>
                </w:tcPr>
                <w:p w14:paraId="4003B1E1">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117°9′12.432″</w:t>
                  </w:r>
                </w:p>
              </w:tc>
              <w:tc>
                <w:tcPr>
                  <w:tcW w:w="1622" w:type="dxa"/>
                  <w:tcBorders>
                    <w:top w:val="single" w:color="auto" w:sz="4" w:space="0"/>
                    <w:left w:val="nil"/>
                    <w:right w:val="single" w:color="auto" w:sz="4" w:space="0"/>
                  </w:tcBorders>
                  <w:vAlign w:val="center"/>
                </w:tcPr>
                <w:p w14:paraId="68CBD309">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34°4′30.08</w:t>
                  </w:r>
                  <w:r>
                    <w:rPr>
                      <w:rFonts w:hint="eastAsia"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lang w:eastAsia="zh-CN"/>
                      <w14:textFill>
                        <w14:solidFill>
                          <w14:schemeClr w14:val="tx1"/>
                        </w14:solidFill>
                      </w14:textFill>
                    </w:rPr>
                    <w:t>″</w:t>
                  </w:r>
                </w:p>
              </w:tc>
              <w:tc>
                <w:tcPr>
                  <w:tcW w:w="1286" w:type="dxa"/>
                  <w:tcBorders>
                    <w:top w:val="single" w:color="auto" w:sz="4" w:space="0"/>
                    <w:left w:val="nil"/>
                    <w:right w:val="single" w:color="auto" w:sz="4" w:space="0"/>
                  </w:tcBorders>
                  <w:vAlign w:val="center"/>
                </w:tcPr>
                <w:p w14:paraId="6E6BF95A">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60D3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tcBorders>
                    <w:left w:val="single" w:color="auto" w:sz="4" w:space="0"/>
                    <w:right w:val="single" w:color="auto" w:sz="4" w:space="0"/>
                  </w:tcBorders>
                  <w:vAlign w:val="center"/>
                </w:tcPr>
                <w:p w14:paraId="2767192E">
                  <w:pPr>
                    <w:kinsoku/>
                    <w:jc w:val="center"/>
                    <w:rPr>
                      <w:rFonts w:ascii="Times New Roman" w:hAnsi="Times New Roman" w:eastAsia="宋体" w:cs="Times New Roman"/>
                      <w:lang w:eastAsia="zh-CN"/>
                    </w:rPr>
                  </w:pPr>
                  <w:r>
                    <w:rPr>
                      <w:rFonts w:ascii="Times New Roman" w:hAnsi="Times New Roman" w:eastAsia="宋体" w:cs="Times New Roman"/>
                      <w:lang w:eastAsia="zh-CN"/>
                    </w:rPr>
                    <w:t>DA00</w:t>
                  </w:r>
                  <w:r>
                    <w:rPr>
                      <w:rFonts w:hint="eastAsia" w:ascii="Times New Roman" w:hAnsi="Times New Roman" w:eastAsia="宋体" w:cs="Times New Roman"/>
                      <w:lang w:val="en-US" w:eastAsia="zh-CN"/>
                    </w:rPr>
                    <w:t>2</w:t>
                  </w:r>
                </w:p>
              </w:tc>
              <w:tc>
                <w:tcPr>
                  <w:tcW w:w="1786" w:type="dxa"/>
                  <w:tcBorders>
                    <w:top w:val="single" w:color="auto" w:sz="4" w:space="0"/>
                    <w:left w:val="nil"/>
                    <w:bottom w:val="single" w:color="auto" w:sz="4" w:space="0"/>
                    <w:right w:val="single" w:color="auto" w:sz="4" w:space="0"/>
                  </w:tcBorders>
                  <w:vAlign w:val="center"/>
                </w:tcPr>
                <w:p w14:paraId="72B43C70">
                  <w:pPr>
                    <w:pStyle w:val="41"/>
                    <w:kinsoku/>
                    <w:topLinePunct/>
                    <w:autoSpaceDE/>
                    <w:autoSpaceDN/>
                    <w:ind w:firstLine="0" w:firstLineChars="0"/>
                    <w:textAlignment w:val="auto"/>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颗粒物</w:t>
                  </w:r>
                </w:p>
              </w:tc>
              <w:tc>
                <w:tcPr>
                  <w:tcW w:w="1019" w:type="dxa"/>
                  <w:tcBorders>
                    <w:left w:val="nil"/>
                    <w:right w:val="single" w:color="auto" w:sz="4" w:space="0"/>
                  </w:tcBorders>
                  <w:vAlign w:val="center"/>
                </w:tcPr>
                <w:p w14:paraId="1CE2EB20">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left w:val="nil"/>
                    <w:right w:val="single" w:color="auto" w:sz="4" w:space="0"/>
                  </w:tcBorders>
                  <w:vAlign w:val="center"/>
                </w:tcPr>
                <w:p w14:paraId="24F3532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c>
                <w:tcPr>
                  <w:tcW w:w="1744" w:type="dxa"/>
                  <w:tcBorders>
                    <w:left w:val="nil"/>
                    <w:right w:val="single" w:color="auto" w:sz="4" w:space="0"/>
                  </w:tcBorders>
                  <w:vAlign w:val="center"/>
                </w:tcPr>
                <w:p w14:paraId="7DC81BA6">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117°9′12.582″</w:t>
                  </w:r>
                </w:p>
              </w:tc>
              <w:tc>
                <w:tcPr>
                  <w:tcW w:w="1622" w:type="dxa"/>
                  <w:tcBorders>
                    <w:left w:val="nil"/>
                    <w:right w:val="single" w:color="auto" w:sz="4" w:space="0"/>
                  </w:tcBorders>
                  <w:vAlign w:val="center"/>
                </w:tcPr>
                <w:p w14:paraId="612A868C">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34°4′28.974″</w:t>
                  </w:r>
                </w:p>
              </w:tc>
              <w:tc>
                <w:tcPr>
                  <w:tcW w:w="1286" w:type="dxa"/>
                  <w:tcBorders>
                    <w:left w:val="nil"/>
                    <w:right w:val="single" w:color="auto" w:sz="4" w:space="0"/>
                  </w:tcBorders>
                  <w:vAlign w:val="center"/>
                </w:tcPr>
                <w:p w14:paraId="2AB6BDAD">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7DA3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restart"/>
                  <w:tcBorders>
                    <w:left w:val="single" w:color="auto" w:sz="4" w:space="0"/>
                    <w:right w:val="single" w:color="auto" w:sz="4" w:space="0"/>
                  </w:tcBorders>
                  <w:vAlign w:val="center"/>
                </w:tcPr>
                <w:p w14:paraId="6A593C37">
                  <w:pPr>
                    <w:kinsoku/>
                    <w:jc w:val="center"/>
                    <w:rPr>
                      <w:rFonts w:ascii="Times New Roman" w:hAnsi="Times New Roman" w:eastAsia="宋体" w:cs="Times New Roman"/>
                      <w:lang w:eastAsia="zh-CN"/>
                    </w:rPr>
                  </w:pPr>
                  <w:r>
                    <w:rPr>
                      <w:rFonts w:ascii="Times New Roman" w:hAnsi="Times New Roman" w:eastAsia="宋体" w:cs="Times New Roman"/>
                      <w:lang w:eastAsia="zh-CN"/>
                    </w:rPr>
                    <w:t>DA00</w:t>
                  </w:r>
                  <w:r>
                    <w:rPr>
                      <w:rFonts w:hint="eastAsia" w:ascii="Times New Roman" w:hAnsi="Times New Roman" w:eastAsia="宋体" w:cs="Times New Roman"/>
                      <w:lang w:val="en-US" w:eastAsia="zh-CN"/>
                    </w:rPr>
                    <w:t>3</w:t>
                  </w:r>
                </w:p>
              </w:tc>
              <w:tc>
                <w:tcPr>
                  <w:tcW w:w="1786" w:type="dxa"/>
                  <w:tcBorders>
                    <w:top w:val="single" w:color="auto" w:sz="4" w:space="0"/>
                    <w:left w:val="nil"/>
                    <w:bottom w:val="single" w:color="auto" w:sz="4" w:space="0"/>
                    <w:right w:val="single" w:color="auto" w:sz="4" w:space="0"/>
                  </w:tcBorders>
                  <w:vAlign w:val="center"/>
                </w:tcPr>
                <w:p w14:paraId="54AE6875">
                  <w:pPr>
                    <w:pStyle w:val="41"/>
                    <w:kinsoku/>
                    <w:topLinePunct/>
                    <w:autoSpaceDE/>
                    <w:autoSpaceDN/>
                    <w:ind w:firstLine="0" w:firstLineChars="0"/>
                    <w:textAlignment w:val="auto"/>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非甲烷总烃</w:t>
                  </w:r>
                </w:p>
              </w:tc>
              <w:tc>
                <w:tcPr>
                  <w:tcW w:w="1019" w:type="dxa"/>
                  <w:tcBorders>
                    <w:left w:val="nil"/>
                    <w:right w:val="single" w:color="auto" w:sz="4" w:space="0"/>
                  </w:tcBorders>
                  <w:vAlign w:val="center"/>
                </w:tcPr>
                <w:p w14:paraId="11264271">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left w:val="nil"/>
                    <w:right w:val="single" w:color="auto" w:sz="4" w:space="0"/>
                  </w:tcBorders>
                  <w:vAlign w:val="center"/>
                </w:tcPr>
                <w:p w14:paraId="2CB0076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w:t>
                  </w:r>
                </w:p>
              </w:tc>
              <w:tc>
                <w:tcPr>
                  <w:tcW w:w="1744" w:type="dxa"/>
                  <w:tcBorders>
                    <w:left w:val="nil"/>
                    <w:right w:val="single" w:color="auto" w:sz="4" w:space="0"/>
                  </w:tcBorders>
                  <w:vAlign w:val="center"/>
                </w:tcPr>
                <w:p w14:paraId="77FE4858">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117°9′11.993″</w:t>
                  </w:r>
                </w:p>
              </w:tc>
              <w:tc>
                <w:tcPr>
                  <w:tcW w:w="1622" w:type="dxa"/>
                  <w:tcBorders>
                    <w:left w:val="nil"/>
                    <w:right w:val="single" w:color="auto" w:sz="4" w:space="0"/>
                  </w:tcBorders>
                  <w:vAlign w:val="center"/>
                </w:tcPr>
                <w:p w14:paraId="20A24EDE">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34°4′28.974″</w:t>
                  </w:r>
                </w:p>
              </w:tc>
              <w:tc>
                <w:tcPr>
                  <w:tcW w:w="1286" w:type="dxa"/>
                  <w:tcBorders>
                    <w:left w:val="nil"/>
                    <w:right w:val="single" w:color="auto" w:sz="4" w:space="0"/>
                  </w:tcBorders>
                  <w:vAlign w:val="center"/>
                </w:tcPr>
                <w:p w14:paraId="4968E069">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5B35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left w:val="single" w:color="auto" w:sz="4" w:space="0"/>
                    <w:right w:val="single" w:color="auto" w:sz="4" w:space="0"/>
                  </w:tcBorders>
                  <w:vAlign w:val="center"/>
                </w:tcPr>
                <w:p w14:paraId="6F29AA6D">
                  <w:pPr>
                    <w:kinsoku/>
                    <w:jc w:val="center"/>
                    <w:rPr>
                      <w:rFonts w:ascii="Times New Roman" w:hAnsi="Times New Roman" w:eastAsia="宋体" w:cs="Times New Roman"/>
                      <w:lang w:eastAsia="zh-CN"/>
                    </w:rPr>
                  </w:pPr>
                </w:p>
              </w:tc>
              <w:tc>
                <w:tcPr>
                  <w:tcW w:w="1786" w:type="dxa"/>
                  <w:tcBorders>
                    <w:top w:val="single" w:color="auto" w:sz="4" w:space="0"/>
                    <w:left w:val="nil"/>
                    <w:bottom w:val="single" w:color="auto" w:sz="4" w:space="0"/>
                    <w:right w:val="single" w:color="auto" w:sz="4" w:space="0"/>
                  </w:tcBorders>
                  <w:vAlign w:val="center"/>
                </w:tcPr>
                <w:p w14:paraId="699CEE01">
                  <w:pPr>
                    <w:pStyle w:val="41"/>
                    <w:kinsoku/>
                    <w:topLinePunct/>
                    <w:autoSpaceDE/>
                    <w:autoSpaceDN/>
                    <w:ind w:firstLine="0" w:firstLineChars="0"/>
                    <w:textAlignment w:val="auto"/>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SO</w:t>
                  </w:r>
                  <w:r>
                    <w:rPr>
                      <w:rFonts w:hint="eastAsia" w:ascii="Times New Roman" w:hAnsi="Times New Roman" w:eastAsia="宋体"/>
                      <w:color w:val="000000" w:themeColor="text1"/>
                      <w:kern w:val="2"/>
                      <w:vertAlign w:val="subscript"/>
                      <w:lang w:val="en-US" w:eastAsia="zh-CN"/>
                      <w14:textFill>
                        <w14:solidFill>
                          <w14:schemeClr w14:val="tx1"/>
                        </w14:solidFill>
                      </w14:textFill>
                    </w:rPr>
                    <w:t>2</w:t>
                  </w:r>
                </w:p>
              </w:tc>
              <w:tc>
                <w:tcPr>
                  <w:tcW w:w="1019" w:type="dxa"/>
                  <w:tcBorders>
                    <w:left w:val="nil"/>
                    <w:right w:val="single" w:color="auto" w:sz="4" w:space="0"/>
                  </w:tcBorders>
                  <w:vAlign w:val="center"/>
                </w:tcPr>
                <w:p w14:paraId="49C74A76">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left w:val="nil"/>
                    <w:right w:val="single" w:color="auto" w:sz="4" w:space="0"/>
                  </w:tcBorders>
                  <w:vAlign w:val="center"/>
                </w:tcPr>
                <w:p w14:paraId="3856A7FC">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w:t>
                  </w:r>
                </w:p>
              </w:tc>
              <w:tc>
                <w:tcPr>
                  <w:tcW w:w="1744" w:type="dxa"/>
                  <w:tcBorders>
                    <w:left w:val="nil"/>
                    <w:right w:val="single" w:color="auto" w:sz="4" w:space="0"/>
                  </w:tcBorders>
                  <w:vAlign w:val="center"/>
                </w:tcPr>
                <w:p w14:paraId="0F5EC952">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117°9′11.993″</w:t>
                  </w:r>
                </w:p>
              </w:tc>
              <w:tc>
                <w:tcPr>
                  <w:tcW w:w="1622" w:type="dxa"/>
                  <w:tcBorders>
                    <w:left w:val="nil"/>
                    <w:right w:val="single" w:color="auto" w:sz="4" w:space="0"/>
                  </w:tcBorders>
                  <w:vAlign w:val="center"/>
                </w:tcPr>
                <w:p w14:paraId="2CE8D626">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34°4′28.974″</w:t>
                  </w:r>
                </w:p>
              </w:tc>
              <w:tc>
                <w:tcPr>
                  <w:tcW w:w="1286" w:type="dxa"/>
                  <w:tcBorders>
                    <w:left w:val="nil"/>
                    <w:right w:val="single" w:color="auto" w:sz="4" w:space="0"/>
                  </w:tcBorders>
                  <w:vAlign w:val="center"/>
                </w:tcPr>
                <w:p w14:paraId="001CFA98">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7062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left w:val="single" w:color="auto" w:sz="4" w:space="0"/>
                    <w:right w:val="single" w:color="auto" w:sz="4" w:space="0"/>
                  </w:tcBorders>
                  <w:vAlign w:val="center"/>
                </w:tcPr>
                <w:p w14:paraId="5B333729">
                  <w:pPr>
                    <w:kinsoku/>
                    <w:jc w:val="center"/>
                    <w:rPr>
                      <w:rFonts w:ascii="Times New Roman" w:hAnsi="Times New Roman" w:eastAsia="宋体" w:cs="Times New Roman"/>
                      <w:lang w:eastAsia="zh-CN"/>
                    </w:rPr>
                  </w:pPr>
                </w:p>
              </w:tc>
              <w:tc>
                <w:tcPr>
                  <w:tcW w:w="1786" w:type="dxa"/>
                  <w:tcBorders>
                    <w:top w:val="single" w:color="auto" w:sz="4" w:space="0"/>
                    <w:left w:val="nil"/>
                    <w:bottom w:val="single" w:color="auto" w:sz="4" w:space="0"/>
                    <w:right w:val="single" w:color="auto" w:sz="4" w:space="0"/>
                  </w:tcBorders>
                  <w:vAlign w:val="center"/>
                </w:tcPr>
                <w:p w14:paraId="39F245F6">
                  <w:pPr>
                    <w:pStyle w:val="41"/>
                    <w:kinsoku/>
                    <w:topLinePunct/>
                    <w:autoSpaceDE/>
                    <w:autoSpaceDN/>
                    <w:ind w:firstLine="0" w:firstLineChars="0"/>
                    <w:textAlignment w:val="auto"/>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NO</w:t>
                  </w:r>
                  <w:r>
                    <w:rPr>
                      <w:rFonts w:hint="eastAsia" w:ascii="Times New Roman" w:hAnsi="Times New Roman" w:eastAsia="宋体"/>
                      <w:color w:val="000000" w:themeColor="text1"/>
                      <w:kern w:val="2"/>
                      <w:vertAlign w:val="subscript"/>
                      <w:lang w:val="en-US" w:eastAsia="zh-CN"/>
                      <w14:textFill>
                        <w14:solidFill>
                          <w14:schemeClr w14:val="tx1"/>
                        </w14:solidFill>
                      </w14:textFill>
                    </w:rPr>
                    <w:t>X</w:t>
                  </w:r>
                </w:p>
              </w:tc>
              <w:tc>
                <w:tcPr>
                  <w:tcW w:w="1019" w:type="dxa"/>
                  <w:tcBorders>
                    <w:left w:val="nil"/>
                    <w:right w:val="single" w:color="auto" w:sz="4" w:space="0"/>
                  </w:tcBorders>
                  <w:vAlign w:val="center"/>
                </w:tcPr>
                <w:p w14:paraId="5515EF93">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left w:val="nil"/>
                    <w:right w:val="single" w:color="auto" w:sz="4" w:space="0"/>
                  </w:tcBorders>
                  <w:vAlign w:val="center"/>
                </w:tcPr>
                <w:p w14:paraId="111AC1DD">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w:t>
                  </w:r>
                </w:p>
              </w:tc>
              <w:tc>
                <w:tcPr>
                  <w:tcW w:w="1744" w:type="dxa"/>
                  <w:tcBorders>
                    <w:left w:val="nil"/>
                    <w:right w:val="single" w:color="auto" w:sz="4" w:space="0"/>
                  </w:tcBorders>
                  <w:vAlign w:val="center"/>
                </w:tcPr>
                <w:p w14:paraId="2108F2C4">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117°9′11.993″</w:t>
                  </w:r>
                </w:p>
              </w:tc>
              <w:tc>
                <w:tcPr>
                  <w:tcW w:w="1622" w:type="dxa"/>
                  <w:tcBorders>
                    <w:left w:val="nil"/>
                    <w:right w:val="single" w:color="auto" w:sz="4" w:space="0"/>
                  </w:tcBorders>
                  <w:vAlign w:val="center"/>
                </w:tcPr>
                <w:p w14:paraId="703E0A7A">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34°4′28.974″</w:t>
                  </w:r>
                </w:p>
              </w:tc>
              <w:tc>
                <w:tcPr>
                  <w:tcW w:w="1286" w:type="dxa"/>
                  <w:tcBorders>
                    <w:left w:val="nil"/>
                    <w:right w:val="single" w:color="auto" w:sz="4" w:space="0"/>
                  </w:tcBorders>
                  <w:vAlign w:val="center"/>
                </w:tcPr>
                <w:p w14:paraId="3422DD30">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6FF9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left w:val="single" w:color="auto" w:sz="4" w:space="0"/>
                    <w:right w:val="single" w:color="auto" w:sz="4" w:space="0"/>
                  </w:tcBorders>
                  <w:vAlign w:val="center"/>
                </w:tcPr>
                <w:p w14:paraId="5D060051">
                  <w:pPr>
                    <w:kinsoku/>
                    <w:jc w:val="center"/>
                    <w:rPr>
                      <w:rFonts w:ascii="Times New Roman" w:hAnsi="Times New Roman" w:eastAsia="宋体" w:cs="Times New Roman"/>
                      <w:lang w:eastAsia="zh-CN"/>
                    </w:rPr>
                  </w:pPr>
                </w:p>
              </w:tc>
              <w:tc>
                <w:tcPr>
                  <w:tcW w:w="1786" w:type="dxa"/>
                  <w:tcBorders>
                    <w:top w:val="single" w:color="auto" w:sz="4" w:space="0"/>
                    <w:left w:val="nil"/>
                    <w:bottom w:val="single" w:color="auto" w:sz="4" w:space="0"/>
                    <w:right w:val="single" w:color="auto" w:sz="4" w:space="0"/>
                  </w:tcBorders>
                  <w:vAlign w:val="center"/>
                </w:tcPr>
                <w:p w14:paraId="127F412C">
                  <w:pPr>
                    <w:pStyle w:val="41"/>
                    <w:kinsoku/>
                    <w:topLinePunct/>
                    <w:autoSpaceDE/>
                    <w:autoSpaceDN/>
                    <w:ind w:firstLine="0" w:firstLineChars="0"/>
                    <w:textAlignment w:val="auto"/>
                    <w:rPr>
                      <w:rFonts w:hint="eastAsia"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烟气黑度</w:t>
                  </w:r>
                </w:p>
              </w:tc>
              <w:tc>
                <w:tcPr>
                  <w:tcW w:w="1019" w:type="dxa"/>
                  <w:tcBorders>
                    <w:left w:val="nil"/>
                    <w:right w:val="single" w:color="auto" w:sz="4" w:space="0"/>
                  </w:tcBorders>
                  <w:vAlign w:val="center"/>
                </w:tcPr>
                <w:p w14:paraId="73327EB0">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left w:val="nil"/>
                    <w:right w:val="single" w:color="auto" w:sz="4" w:space="0"/>
                  </w:tcBorders>
                  <w:vAlign w:val="center"/>
                </w:tcPr>
                <w:p w14:paraId="175C2195">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w:t>
                  </w:r>
                </w:p>
              </w:tc>
              <w:tc>
                <w:tcPr>
                  <w:tcW w:w="1744" w:type="dxa"/>
                  <w:tcBorders>
                    <w:left w:val="nil"/>
                    <w:right w:val="single" w:color="auto" w:sz="4" w:space="0"/>
                  </w:tcBorders>
                  <w:vAlign w:val="center"/>
                </w:tcPr>
                <w:p w14:paraId="32424556">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117°9′11.993″</w:t>
                  </w:r>
                </w:p>
              </w:tc>
              <w:tc>
                <w:tcPr>
                  <w:tcW w:w="1622" w:type="dxa"/>
                  <w:tcBorders>
                    <w:left w:val="nil"/>
                    <w:right w:val="single" w:color="auto" w:sz="4" w:space="0"/>
                  </w:tcBorders>
                  <w:vAlign w:val="center"/>
                </w:tcPr>
                <w:p w14:paraId="25DBC750">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34°4′28.974″</w:t>
                  </w:r>
                </w:p>
              </w:tc>
              <w:tc>
                <w:tcPr>
                  <w:tcW w:w="1286" w:type="dxa"/>
                  <w:tcBorders>
                    <w:left w:val="nil"/>
                    <w:right w:val="single" w:color="auto" w:sz="4" w:space="0"/>
                  </w:tcBorders>
                  <w:vAlign w:val="center"/>
                </w:tcPr>
                <w:p w14:paraId="69B7EA5A">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4A57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tcBorders>
                    <w:left w:val="single" w:color="auto" w:sz="4" w:space="0"/>
                    <w:right w:val="single" w:color="auto" w:sz="4" w:space="0"/>
                  </w:tcBorders>
                  <w:vAlign w:val="center"/>
                </w:tcPr>
                <w:p w14:paraId="663807E2">
                  <w:pPr>
                    <w:kinsoku/>
                    <w:jc w:val="center"/>
                    <w:rPr>
                      <w:rFonts w:ascii="Times New Roman" w:hAnsi="Times New Roman" w:eastAsia="宋体" w:cs="Times New Roman"/>
                      <w:lang w:eastAsia="zh-CN"/>
                    </w:rPr>
                  </w:pPr>
                  <w:r>
                    <w:rPr>
                      <w:rFonts w:ascii="Times New Roman" w:hAnsi="Times New Roman" w:eastAsia="宋体" w:cs="Times New Roman"/>
                      <w:lang w:eastAsia="zh-CN"/>
                    </w:rPr>
                    <w:t>DA00</w:t>
                  </w:r>
                  <w:r>
                    <w:rPr>
                      <w:rFonts w:hint="eastAsia" w:ascii="Times New Roman" w:hAnsi="Times New Roman" w:eastAsia="宋体" w:cs="Times New Roman"/>
                      <w:lang w:val="en-US" w:eastAsia="zh-CN"/>
                    </w:rPr>
                    <w:t>4</w:t>
                  </w:r>
                </w:p>
              </w:tc>
              <w:tc>
                <w:tcPr>
                  <w:tcW w:w="1786" w:type="dxa"/>
                  <w:tcBorders>
                    <w:top w:val="single" w:color="auto" w:sz="4" w:space="0"/>
                    <w:left w:val="nil"/>
                    <w:bottom w:val="single" w:color="auto" w:sz="4" w:space="0"/>
                    <w:right w:val="single" w:color="auto" w:sz="4" w:space="0"/>
                  </w:tcBorders>
                  <w:vAlign w:val="center"/>
                </w:tcPr>
                <w:p w14:paraId="16142CD0">
                  <w:pPr>
                    <w:pStyle w:val="41"/>
                    <w:kinsoku/>
                    <w:topLinePunct/>
                    <w:autoSpaceDE/>
                    <w:autoSpaceDN/>
                    <w:ind w:firstLine="0" w:firstLineChars="0"/>
                    <w:textAlignment w:val="auto"/>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硫酸雾</w:t>
                  </w:r>
                </w:p>
              </w:tc>
              <w:tc>
                <w:tcPr>
                  <w:tcW w:w="1019" w:type="dxa"/>
                  <w:tcBorders>
                    <w:left w:val="nil"/>
                    <w:right w:val="single" w:color="auto" w:sz="4" w:space="0"/>
                  </w:tcBorders>
                  <w:vAlign w:val="center"/>
                </w:tcPr>
                <w:p w14:paraId="4A8ADDE8">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786" w:type="dxa"/>
                  <w:tcBorders>
                    <w:left w:val="nil"/>
                    <w:right w:val="single" w:color="auto" w:sz="4" w:space="0"/>
                  </w:tcBorders>
                  <w:vAlign w:val="center"/>
                </w:tcPr>
                <w:p w14:paraId="55EAD199">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p>
              </w:tc>
              <w:tc>
                <w:tcPr>
                  <w:tcW w:w="1744" w:type="dxa"/>
                  <w:tcBorders>
                    <w:left w:val="nil"/>
                    <w:right w:val="single" w:color="auto" w:sz="4" w:space="0"/>
                  </w:tcBorders>
                  <w:vAlign w:val="center"/>
                </w:tcPr>
                <w:p w14:paraId="2094CA36">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117°9′12.866″</w:t>
                  </w:r>
                </w:p>
              </w:tc>
              <w:tc>
                <w:tcPr>
                  <w:tcW w:w="1622" w:type="dxa"/>
                  <w:tcBorders>
                    <w:left w:val="nil"/>
                    <w:right w:val="single" w:color="auto" w:sz="4" w:space="0"/>
                  </w:tcBorders>
                  <w:vAlign w:val="center"/>
                </w:tcPr>
                <w:p w14:paraId="06228535">
                  <w:pPr>
                    <w:kinsoku/>
                    <w:adjustRightInd/>
                    <w:snapToGrid/>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34°4′28.965″</w:t>
                  </w:r>
                </w:p>
              </w:tc>
              <w:tc>
                <w:tcPr>
                  <w:tcW w:w="1286" w:type="dxa"/>
                  <w:tcBorders>
                    <w:left w:val="nil"/>
                    <w:right w:val="single" w:color="auto" w:sz="4" w:space="0"/>
                  </w:tcBorders>
                  <w:vAlign w:val="center"/>
                </w:tcPr>
                <w:p w14:paraId="2FBA537E">
                  <w:pPr>
                    <w:kinsoku/>
                    <w:jc w:val="center"/>
                    <w:rPr>
                      <w:rFonts w:ascii="Times New Roman" w:hAnsi="Times New Roman" w:eastAsia="宋体" w:cs="Times New Roman"/>
                      <w:lang w:eastAsia="zh-CN"/>
                    </w:rPr>
                  </w:pPr>
                  <w:r>
                    <w:rPr>
                      <w:rFonts w:ascii="Times New Roman" w:hAnsi="Times New Roman" w:eastAsia="宋体" w:cs="Times New Roman"/>
                      <w:lang w:eastAsia="zh-CN"/>
                    </w:rPr>
                    <w:t>1次/年</w:t>
                  </w:r>
                </w:p>
              </w:tc>
            </w:tr>
            <w:tr w14:paraId="6E42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restart"/>
                  <w:tcBorders>
                    <w:left w:val="single" w:color="auto" w:sz="4" w:space="0"/>
                    <w:right w:val="single" w:color="auto" w:sz="4" w:space="0"/>
                  </w:tcBorders>
                  <w:vAlign w:val="center"/>
                </w:tcPr>
                <w:p w14:paraId="5C2F990E">
                  <w:pPr>
                    <w:kinsoku/>
                    <w:jc w:val="center"/>
                    <w:rPr>
                      <w:rFonts w:ascii="Times New Roman" w:hAnsi="Times New Roman" w:eastAsia="宋体" w:cs="Times New Roman"/>
                      <w:lang w:eastAsia="zh-CN"/>
                    </w:rPr>
                  </w:pPr>
                  <w:r>
                    <w:rPr>
                      <w:rFonts w:ascii="Times New Roman" w:hAnsi="Times New Roman" w:eastAsia="宋体" w:cs="Times New Roman"/>
                      <w:lang w:eastAsia="zh-CN"/>
                    </w:rPr>
                    <w:t>厂界</w:t>
                  </w:r>
                </w:p>
              </w:tc>
              <w:tc>
                <w:tcPr>
                  <w:tcW w:w="1786" w:type="dxa"/>
                  <w:tcBorders>
                    <w:top w:val="single" w:color="auto" w:sz="4" w:space="0"/>
                    <w:left w:val="nil"/>
                    <w:bottom w:val="single" w:color="auto" w:sz="4" w:space="0"/>
                    <w:right w:val="single" w:color="auto" w:sz="4" w:space="0"/>
                  </w:tcBorders>
                  <w:vAlign w:val="center"/>
                </w:tcPr>
                <w:p w14:paraId="290F8754">
                  <w:pPr>
                    <w:pStyle w:val="41"/>
                    <w:kinsoku/>
                    <w:rPr>
                      <w:rFonts w:ascii="Times New Roman" w:hAnsi="Times New Roman" w:eastAsia="宋体"/>
                      <w:color w:val="000000" w:themeColor="text1"/>
                      <w:lang w:eastAsia="zh-CN"/>
                      <w14:textFill>
                        <w14:solidFill>
                          <w14:schemeClr w14:val="tx1"/>
                        </w14:solidFill>
                      </w14:textFill>
                    </w:rPr>
                  </w:pPr>
                  <w:r>
                    <w:rPr>
                      <w:rFonts w:ascii="Times New Roman" w:hAnsi="Times New Roman" w:eastAsia="宋体"/>
                      <w:lang w:eastAsia="zh-CN"/>
                    </w:rPr>
                    <w:t>颗粒物</w:t>
                  </w:r>
                </w:p>
              </w:tc>
              <w:tc>
                <w:tcPr>
                  <w:tcW w:w="1019" w:type="dxa"/>
                  <w:tcBorders>
                    <w:left w:val="nil"/>
                    <w:right w:val="single" w:color="auto" w:sz="4" w:space="0"/>
                  </w:tcBorders>
                  <w:vAlign w:val="center"/>
                </w:tcPr>
                <w:p w14:paraId="53C761CE">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786" w:type="dxa"/>
                  <w:tcBorders>
                    <w:left w:val="nil"/>
                    <w:right w:val="single" w:color="auto" w:sz="4" w:space="0"/>
                  </w:tcBorders>
                  <w:vAlign w:val="center"/>
                </w:tcPr>
                <w:p w14:paraId="22FFEFD5">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744" w:type="dxa"/>
                  <w:tcBorders>
                    <w:left w:val="nil"/>
                    <w:right w:val="single" w:color="auto" w:sz="4" w:space="0"/>
                  </w:tcBorders>
                  <w:vAlign w:val="center"/>
                </w:tcPr>
                <w:p w14:paraId="4FA0899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622" w:type="dxa"/>
                  <w:tcBorders>
                    <w:left w:val="nil"/>
                    <w:right w:val="single" w:color="auto" w:sz="4" w:space="0"/>
                  </w:tcBorders>
                  <w:vAlign w:val="center"/>
                </w:tcPr>
                <w:p w14:paraId="5CCBE73C">
                  <w:pPr>
                    <w:kinsoku/>
                    <w:jc w:val="center"/>
                    <w:rPr>
                      <w:rFonts w:ascii="Times New Roman" w:hAnsi="Times New Roman" w:eastAsia="宋体" w:cs="Times New Roman"/>
                      <w:lang w:eastAsia="zh-CN"/>
                    </w:rPr>
                  </w:pPr>
                  <w:r>
                    <w:rPr>
                      <w:rFonts w:ascii="Times New Roman" w:hAnsi="Times New Roman" w:eastAsia="宋体" w:cs="Times New Roman"/>
                      <w:lang w:eastAsia="zh-CN"/>
                    </w:rPr>
                    <w:t>/</w:t>
                  </w:r>
                </w:p>
              </w:tc>
              <w:tc>
                <w:tcPr>
                  <w:tcW w:w="1286" w:type="dxa"/>
                  <w:tcBorders>
                    <w:left w:val="nil"/>
                    <w:right w:val="single" w:color="auto" w:sz="4" w:space="0"/>
                  </w:tcBorders>
                  <w:vAlign w:val="center"/>
                </w:tcPr>
                <w:p w14:paraId="1572C02B">
                  <w:pPr>
                    <w:kinsoku/>
                    <w:jc w:val="center"/>
                    <w:rPr>
                      <w:rFonts w:ascii="Times New Roman" w:hAnsi="Times New Roman" w:eastAsia="宋体" w:cs="Times New Roman"/>
                      <w:lang w:eastAsia="zh-CN"/>
                    </w:rPr>
                  </w:pPr>
                  <w:r>
                    <w:rPr>
                      <w:rFonts w:ascii="Times New Roman" w:hAnsi="Times New Roman" w:eastAsia="宋体" w:cs="Times New Roman"/>
                      <w:lang w:eastAsia="zh-CN"/>
                    </w:rPr>
                    <w:t>1次/</w:t>
                  </w:r>
                  <w:r>
                    <w:rPr>
                      <w:rFonts w:hint="eastAsia" w:ascii="Times New Roman" w:hAnsi="Times New Roman" w:eastAsia="宋体" w:cs="Times New Roman"/>
                      <w:lang w:eastAsia="zh-CN"/>
                    </w:rPr>
                    <w:t>半</w:t>
                  </w:r>
                  <w:r>
                    <w:rPr>
                      <w:rFonts w:ascii="Times New Roman" w:hAnsi="Times New Roman" w:eastAsia="宋体" w:cs="Times New Roman"/>
                      <w:lang w:eastAsia="zh-CN"/>
                    </w:rPr>
                    <w:t>年</w:t>
                  </w:r>
                </w:p>
              </w:tc>
            </w:tr>
            <w:tr w14:paraId="4DA3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left w:val="single" w:color="auto" w:sz="4" w:space="0"/>
                    <w:right w:val="single" w:color="auto" w:sz="4" w:space="0"/>
                  </w:tcBorders>
                  <w:vAlign w:val="center"/>
                </w:tcPr>
                <w:p w14:paraId="162B0F77">
                  <w:pPr>
                    <w:kinsoku/>
                    <w:jc w:val="center"/>
                    <w:rPr>
                      <w:rFonts w:ascii="Times New Roman" w:hAnsi="Times New Roman" w:eastAsia="宋体" w:cs="Times New Roman"/>
                      <w:lang w:eastAsia="zh-CN"/>
                    </w:rPr>
                  </w:pPr>
                </w:p>
              </w:tc>
              <w:tc>
                <w:tcPr>
                  <w:tcW w:w="1786" w:type="dxa"/>
                  <w:tcBorders>
                    <w:top w:val="single" w:color="auto" w:sz="4" w:space="0"/>
                    <w:left w:val="nil"/>
                    <w:bottom w:val="single" w:color="auto" w:sz="4" w:space="0"/>
                    <w:right w:val="single" w:color="auto" w:sz="4" w:space="0"/>
                  </w:tcBorders>
                  <w:vAlign w:val="center"/>
                </w:tcPr>
                <w:p w14:paraId="0CFD0A19">
                  <w:pPr>
                    <w:pStyle w:val="41"/>
                    <w:kinsoku/>
                    <w:topLinePunct/>
                    <w:autoSpaceDE/>
                    <w:autoSpaceDN/>
                    <w:ind w:firstLine="0" w:firstLineChars="0"/>
                    <w:textAlignment w:val="auto"/>
                    <w:rPr>
                      <w:rFonts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非甲烷总烃</w:t>
                  </w:r>
                </w:p>
              </w:tc>
              <w:tc>
                <w:tcPr>
                  <w:tcW w:w="1019" w:type="dxa"/>
                  <w:tcBorders>
                    <w:left w:val="nil"/>
                    <w:right w:val="single" w:color="auto" w:sz="4" w:space="0"/>
                  </w:tcBorders>
                  <w:vAlign w:val="center"/>
                </w:tcPr>
                <w:p w14:paraId="62790798">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786" w:type="dxa"/>
                  <w:tcBorders>
                    <w:left w:val="nil"/>
                    <w:right w:val="single" w:color="auto" w:sz="4" w:space="0"/>
                  </w:tcBorders>
                  <w:vAlign w:val="center"/>
                </w:tcPr>
                <w:p w14:paraId="582539FE">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744" w:type="dxa"/>
                  <w:tcBorders>
                    <w:left w:val="nil"/>
                    <w:right w:val="single" w:color="auto" w:sz="4" w:space="0"/>
                  </w:tcBorders>
                  <w:vAlign w:val="center"/>
                </w:tcPr>
                <w:p w14:paraId="272EB511">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622" w:type="dxa"/>
                  <w:tcBorders>
                    <w:left w:val="nil"/>
                    <w:right w:val="single" w:color="auto" w:sz="4" w:space="0"/>
                  </w:tcBorders>
                  <w:vAlign w:val="center"/>
                </w:tcPr>
                <w:p w14:paraId="45E52751">
                  <w:pPr>
                    <w:kinsoku/>
                    <w:jc w:val="center"/>
                    <w:rPr>
                      <w:rFonts w:ascii="Times New Roman" w:hAnsi="Times New Roman" w:eastAsia="宋体" w:cs="Times New Roman"/>
                      <w:lang w:eastAsia="zh-CN"/>
                    </w:rPr>
                  </w:pPr>
                  <w:r>
                    <w:rPr>
                      <w:rFonts w:ascii="Times New Roman" w:hAnsi="Times New Roman" w:eastAsia="宋体" w:cs="Times New Roman"/>
                      <w:lang w:eastAsia="zh-CN"/>
                    </w:rPr>
                    <w:t>/</w:t>
                  </w:r>
                </w:p>
              </w:tc>
              <w:tc>
                <w:tcPr>
                  <w:tcW w:w="1286" w:type="dxa"/>
                  <w:tcBorders>
                    <w:left w:val="nil"/>
                    <w:right w:val="single" w:color="auto" w:sz="4" w:space="0"/>
                  </w:tcBorders>
                  <w:vAlign w:val="center"/>
                </w:tcPr>
                <w:p w14:paraId="0322159D">
                  <w:pPr>
                    <w:kinsoku/>
                    <w:jc w:val="center"/>
                    <w:rPr>
                      <w:rFonts w:ascii="Times New Roman" w:hAnsi="Times New Roman" w:eastAsia="宋体" w:cs="Times New Roman"/>
                      <w:lang w:eastAsia="zh-CN"/>
                    </w:rPr>
                  </w:pPr>
                  <w:r>
                    <w:rPr>
                      <w:rFonts w:ascii="Times New Roman" w:hAnsi="Times New Roman" w:eastAsia="宋体" w:cs="Times New Roman"/>
                      <w:lang w:eastAsia="zh-CN"/>
                    </w:rPr>
                    <w:t>1次/</w:t>
                  </w:r>
                  <w:r>
                    <w:rPr>
                      <w:rFonts w:hint="eastAsia" w:ascii="Times New Roman" w:hAnsi="Times New Roman" w:eastAsia="宋体" w:cs="Times New Roman"/>
                      <w:lang w:eastAsia="zh-CN"/>
                    </w:rPr>
                    <w:t>半</w:t>
                  </w:r>
                  <w:r>
                    <w:rPr>
                      <w:rFonts w:ascii="Times New Roman" w:hAnsi="Times New Roman" w:eastAsia="宋体" w:cs="Times New Roman"/>
                      <w:lang w:eastAsia="zh-CN"/>
                    </w:rPr>
                    <w:t>年</w:t>
                  </w:r>
                </w:p>
              </w:tc>
            </w:tr>
            <w:tr w14:paraId="253A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left w:val="single" w:color="auto" w:sz="4" w:space="0"/>
                    <w:right w:val="single" w:color="auto" w:sz="4" w:space="0"/>
                  </w:tcBorders>
                  <w:vAlign w:val="center"/>
                </w:tcPr>
                <w:p w14:paraId="178AE23B">
                  <w:pPr>
                    <w:kinsoku/>
                    <w:jc w:val="center"/>
                    <w:rPr>
                      <w:rFonts w:ascii="Times New Roman" w:hAnsi="Times New Roman" w:eastAsia="宋体" w:cs="Times New Roman"/>
                      <w:lang w:eastAsia="zh-CN"/>
                    </w:rPr>
                  </w:pPr>
                </w:p>
              </w:tc>
              <w:tc>
                <w:tcPr>
                  <w:tcW w:w="1786" w:type="dxa"/>
                  <w:tcBorders>
                    <w:top w:val="single" w:color="auto" w:sz="4" w:space="0"/>
                    <w:left w:val="nil"/>
                    <w:bottom w:val="single" w:color="auto" w:sz="4" w:space="0"/>
                    <w:right w:val="single" w:color="auto" w:sz="4" w:space="0"/>
                  </w:tcBorders>
                  <w:vAlign w:val="center"/>
                </w:tcPr>
                <w:p w14:paraId="03944025">
                  <w:pPr>
                    <w:pStyle w:val="41"/>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olor w:val="000000" w:themeColor="text1"/>
                      <w:kern w:val="2"/>
                      <w:lang w:eastAsia="zh-CN"/>
                      <w14:textFill>
                        <w14:solidFill>
                          <w14:schemeClr w14:val="tx1"/>
                        </w14:solidFill>
                      </w14:textFill>
                    </w:rPr>
                  </w:pPr>
                  <w:r>
                    <w:rPr>
                      <w:rFonts w:hint="eastAsia" w:ascii="Times New Roman" w:hAnsi="Times New Roman" w:eastAsia="宋体" w:cs="Times New Roman"/>
                      <w:lang w:val="en-US" w:eastAsia="zh-CN"/>
                    </w:rPr>
                    <w:t>恶臭气体</w:t>
                  </w:r>
                </w:p>
              </w:tc>
              <w:tc>
                <w:tcPr>
                  <w:tcW w:w="1019" w:type="dxa"/>
                  <w:tcBorders>
                    <w:left w:val="nil"/>
                    <w:right w:val="single" w:color="auto" w:sz="4" w:space="0"/>
                  </w:tcBorders>
                  <w:vAlign w:val="center"/>
                </w:tcPr>
                <w:p w14:paraId="0378E332">
                  <w:pPr>
                    <w:keepNext w:val="0"/>
                    <w:keepLines w:val="0"/>
                    <w:pageBreakBefore w:val="0"/>
                    <w:kinsoku/>
                    <w:wordWrap/>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eastAsia="zh-CN"/>
                    </w:rPr>
                    <w:t>/</w:t>
                  </w:r>
                </w:p>
              </w:tc>
              <w:tc>
                <w:tcPr>
                  <w:tcW w:w="786" w:type="dxa"/>
                  <w:tcBorders>
                    <w:left w:val="nil"/>
                    <w:right w:val="single" w:color="auto" w:sz="4" w:space="0"/>
                  </w:tcBorders>
                  <w:vAlign w:val="center"/>
                </w:tcPr>
                <w:p w14:paraId="2C5E25B8">
                  <w:pPr>
                    <w:keepNext w:val="0"/>
                    <w:keepLines w:val="0"/>
                    <w:pageBreakBefore w:val="0"/>
                    <w:kinsoku/>
                    <w:wordWrap/>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eastAsia="zh-CN"/>
                    </w:rPr>
                    <w:t>/</w:t>
                  </w:r>
                </w:p>
              </w:tc>
              <w:tc>
                <w:tcPr>
                  <w:tcW w:w="1744" w:type="dxa"/>
                  <w:tcBorders>
                    <w:left w:val="nil"/>
                    <w:right w:val="single" w:color="auto" w:sz="4" w:space="0"/>
                  </w:tcBorders>
                  <w:vAlign w:val="center"/>
                </w:tcPr>
                <w:p w14:paraId="25FCB96B">
                  <w:pPr>
                    <w:keepNext w:val="0"/>
                    <w:keepLines w:val="0"/>
                    <w:pageBreakBefore w:val="0"/>
                    <w:kinsoku/>
                    <w:wordWrap/>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eastAsia="zh-CN"/>
                    </w:rPr>
                    <w:t>/</w:t>
                  </w:r>
                </w:p>
              </w:tc>
              <w:tc>
                <w:tcPr>
                  <w:tcW w:w="1622" w:type="dxa"/>
                  <w:tcBorders>
                    <w:left w:val="nil"/>
                    <w:right w:val="single" w:color="auto" w:sz="4" w:space="0"/>
                  </w:tcBorders>
                  <w:vAlign w:val="center"/>
                </w:tcPr>
                <w:p w14:paraId="41064FED">
                  <w:pPr>
                    <w:keepNext w:val="0"/>
                    <w:keepLines w:val="0"/>
                    <w:pageBreakBefore w:val="0"/>
                    <w:kinsoku/>
                    <w:wordWrap/>
                    <w:overflowPunct/>
                    <w:topLinePunct w:val="0"/>
                    <w:bidi w:val="0"/>
                    <w:adjustRightInd/>
                    <w:snapToGrid/>
                    <w:jc w:val="center"/>
                    <w:rPr>
                      <w:rFonts w:ascii="Times New Roman" w:hAnsi="Times New Roman" w:eastAsia="宋体" w:cs="Times New Roman"/>
                      <w:lang w:eastAsia="zh-CN"/>
                    </w:rPr>
                  </w:pPr>
                  <w:r>
                    <w:rPr>
                      <w:rFonts w:hint="default" w:ascii="Times New Roman" w:hAnsi="Times New Roman" w:eastAsia="宋体" w:cs="Times New Roman"/>
                      <w:lang w:eastAsia="zh-CN"/>
                    </w:rPr>
                    <w:t>/</w:t>
                  </w:r>
                </w:p>
              </w:tc>
              <w:tc>
                <w:tcPr>
                  <w:tcW w:w="1286" w:type="dxa"/>
                  <w:tcBorders>
                    <w:left w:val="nil"/>
                    <w:right w:val="single" w:color="auto" w:sz="4" w:space="0"/>
                  </w:tcBorders>
                  <w:vAlign w:val="center"/>
                </w:tcPr>
                <w:p w14:paraId="258A4BCA">
                  <w:pPr>
                    <w:keepNext w:val="0"/>
                    <w:keepLines w:val="0"/>
                    <w:pageBreakBefore w:val="0"/>
                    <w:kinsoku/>
                    <w:wordWrap/>
                    <w:overflowPunct/>
                    <w:topLinePunct w:val="0"/>
                    <w:bidi w:val="0"/>
                    <w:adjustRightInd/>
                    <w:snapToGrid/>
                    <w:jc w:val="center"/>
                    <w:rPr>
                      <w:rFonts w:ascii="Times New Roman" w:hAnsi="Times New Roman" w:eastAsia="宋体" w:cs="Times New Roman"/>
                      <w:lang w:eastAsia="zh-CN"/>
                    </w:rPr>
                  </w:pPr>
                  <w:r>
                    <w:rPr>
                      <w:rFonts w:hint="default" w:ascii="Times New Roman" w:hAnsi="Times New Roman" w:cs="Times New Roman"/>
                      <w:szCs w:val="21"/>
                    </w:rPr>
                    <w:t>1次/半年</w:t>
                  </w:r>
                </w:p>
              </w:tc>
            </w:tr>
            <w:tr w14:paraId="450F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vMerge w:val="continue"/>
                  <w:tcBorders>
                    <w:left w:val="single" w:color="auto" w:sz="4" w:space="0"/>
                    <w:right w:val="single" w:color="auto" w:sz="4" w:space="0"/>
                  </w:tcBorders>
                  <w:vAlign w:val="center"/>
                </w:tcPr>
                <w:p w14:paraId="3FE6A199">
                  <w:pPr>
                    <w:kinsoku/>
                    <w:jc w:val="center"/>
                    <w:rPr>
                      <w:rFonts w:ascii="Times New Roman" w:hAnsi="Times New Roman" w:eastAsia="宋体" w:cs="Times New Roman"/>
                      <w:lang w:eastAsia="zh-CN"/>
                    </w:rPr>
                  </w:pPr>
                </w:p>
              </w:tc>
              <w:tc>
                <w:tcPr>
                  <w:tcW w:w="1786" w:type="dxa"/>
                  <w:tcBorders>
                    <w:top w:val="single" w:color="auto" w:sz="4" w:space="0"/>
                    <w:left w:val="nil"/>
                    <w:bottom w:val="single" w:color="auto" w:sz="4" w:space="0"/>
                    <w:right w:val="single" w:color="auto" w:sz="4" w:space="0"/>
                  </w:tcBorders>
                  <w:vAlign w:val="center"/>
                </w:tcPr>
                <w:p w14:paraId="79A2C06D">
                  <w:pPr>
                    <w:pStyle w:val="41"/>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硫酸雾</w:t>
                  </w:r>
                </w:p>
              </w:tc>
              <w:tc>
                <w:tcPr>
                  <w:tcW w:w="1019" w:type="dxa"/>
                  <w:tcBorders>
                    <w:left w:val="nil"/>
                    <w:right w:val="single" w:color="auto" w:sz="4" w:space="0"/>
                  </w:tcBorders>
                  <w:vAlign w:val="center"/>
                </w:tcPr>
                <w:p w14:paraId="607B9FBE">
                  <w:pPr>
                    <w:keepNext w:val="0"/>
                    <w:keepLines w:val="0"/>
                    <w:pageBreakBefore w:val="0"/>
                    <w:kinsoku/>
                    <w:wordWrap/>
                    <w:overflowPunct/>
                    <w:topLinePunct w:val="0"/>
                    <w:bidi w:val="0"/>
                    <w:adjustRightInd/>
                    <w:snapToGrid/>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w:t>
                  </w:r>
                </w:p>
              </w:tc>
              <w:tc>
                <w:tcPr>
                  <w:tcW w:w="786" w:type="dxa"/>
                  <w:tcBorders>
                    <w:left w:val="nil"/>
                    <w:right w:val="single" w:color="auto" w:sz="4" w:space="0"/>
                  </w:tcBorders>
                  <w:vAlign w:val="center"/>
                </w:tcPr>
                <w:p w14:paraId="757C4F39">
                  <w:pPr>
                    <w:keepNext w:val="0"/>
                    <w:keepLines w:val="0"/>
                    <w:pageBreakBefore w:val="0"/>
                    <w:kinsoku/>
                    <w:wordWrap/>
                    <w:overflowPunct/>
                    <w:topLinePunct w:val="0"/>
                    <w:bidi w:val="0"/>
                    <w:adjustRightInd/>
                    <w:snapToGrid/>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w:t>
                  </w:r>
                </w:p>
              </w:tc>
              <w:tc>
                <w:tcPr>
                  <w:tcW w:w="1744" w:type="dxa"/>
                  <w:tcBorders>
                    <w:left w:val="nil"/>
                    <w:right w:val="single" w:color="auto" w:sz="4" w:space="0"/>
                  </w:tcBorders>
                  <w:vAlign w:val="center"/>
                </w:tcPr>
                <w:p w14:paraId="258899B7">
                  <w:pPr>
                    <w:keepNext w:val="0"/>
                    <w:keepLines w:val="0"/>
                    <w:pageBreakBefore w:val="0"/>
                    <w:kinsoku/>
                    <w:wordWrap/>
                    <w:overflowPunct/>
                    <w:topLinePunct w:val="0"/>
                    <w:bidi w:val="0"/>
                    <w:adjustRightInd/>
                    <w:snapToGrid/>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w:t>
                  </w:r>
                </w:p>
              </w:tc>
              <w:tc>
                <w:tcPr>
                  <w:tcW w:w="1622" w:type="dxa"/>
                  <w:tcBorders>
                    <w:left w:val="nil"/>
                    <w:right w:val="single" w:color="auto" w:sz="4" w:space="0"/>
                  </w:tcBorders>
                  <w:vAlign w:val="center"/>
                </w:tcPr>
                <w:p w14:paraId="3C89B05F">
                  <w:pPr>
                    <w:keepNext w:val="0"/>
                    <w:keepLines w:val="0"/>
                    <w:pageBreakBefore w:val="0"/>
                    <w:kinsoku/>
                    <w:wordWrap/>
                    <w:overflowPunct/>
                    <w:topLinePunct w:val="0"/>
                    <w:bidi w:val="0"/>
                    <w:adjustRightInd/>
                    <w:snapToGrid/>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w:t>
                  </w:r>
                </w:p>
              </w:tc>
              <w:tc>
                <w:tcPr>
                  <w:tcW w:w="1286" w:type="dxa"/>
                  <w:tcBorders>
                    <w:left w:val="nil"/>
                    <w:right w:val="single" w:color="auto" w:sz="4" w:space="0"/>
                  </w:tcBorders>
                  <w:vAlign w:val="center"/>
                </w:tcPr>
                <w:p w14:paraId="1ED04E56">
                  <w:pPr>
                    <w:keepNext w:val="0"/>
                    <w:keepLines w:val="0"/>
                    <w:pageBreakBefore w:val="0"/>
                    <w:kinsoku/>
                    <w:wordWrap/>
                    <w:overflowPunct/>
                    <w:topLinePunct w:val="0"/>
                    <w:bidi w:val="0"/>
                    <w:adjustRightInd/>
                    <w:snapToGrid/>
                    <w:jc w:val="center"/>
                    <w:rPr>
                      <w:rFonts w:hint="default" w:ascii="Times New Roman" w:hAnsi="Times New Roman" w:cs="Times New Roman"/>
                      <w:szCs w:val="21"/>
                    </w:rPr>
                  </w:pPr>
                  <w:r>
                    <w:rPr>
                      <w:rFonts w:hint="default" w:ascii="Times New Roman" w:hAnsi="Times New Roman" w:cs="Times New Roman"/>
                      <w:szCs w:val="21"/>
                    </w:rPr>
                    <w:t>1次/半年</w:t>
                  </w:r>
                </w:p>
              </w:tc>
            </w:tr>
            <w:tr w14:paraId="2AF6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5" w:type="dxa"/>
                  <w:tcBorders>
                    <w:left w:val="single" w:color="auto" w:sz="4" w:space="0"/>
                    <w:right w:val="single" w:color="auto" w:sz="4" w:space="0"/>
                  </w:tcBorders>
                  <w:vAlign w:val="center"/>
                </w:tcPr>
                <w:p w14:paraId="1E6CE1F1">
                  <w:pPr>
                    <w:keepNext w:val="0"/>
                    <w:keepLines w:val="0"/>
                    <w:pageBreakBefore w:val="0"/>
                    <w:kinsoku/>
                    <w:wordWrap/>
                    <w:overflowPunct/>
                    <w:topLinePunct w:val="0"/>
                    <w:bidi w:val="0"/>
                    <w:adjustRightInd/>
                    <w:snapToGrid/>
                    <w:jc w:val="center"/>
                    <w:rPr>
                      <w:rFonts w:ascii="Times New Roman" w:hAnsi="Times New Roman" w:eastAsia="宋体" w:cs="Times New Roman"/>
                      <w:lang w:eastAsia="zh-CN"/>
                    </w:rPr>
                  </w:pPr>
                  <w:r>
                    <w:rPr>
                      <w:rFonts w:hint="default" w:ascii="Times New Roman" w:hAnsi="Times New Roman" w:eastAsia="宋体" w:cs="Times New Roman"/>
                      <w:lang w:val="en-US" w:eastAsia="zh-CN"/>
                    </w:rPr>
                    <w:t>涂装工段旁</w:t>
                  </w:r>
                </w:p>
              </w:tc>
              <w:tc>
                <w:tcPr>
                  <w:tcW w:w="1786" w:type="dxa"/>
                  <w:tcBorders>
                    <w:top w:val="single" w:color="auto" w:sz="4" w:space="0"/>
                    <w:left w:val="nil"/>
                    <w:bottom w:val="single" w:color="auto" w:sz="4" w:space="0"/>
                    <w:right w:val="single" w:color="auto" w:sz="4" w:space="0"/>
                  </w:tcBorders>
                  <w:vAlign w:val="center"/>
                </w:tcPr>
                <w:p w14:paraId="06D60D9F">
                  <w:pPr>
                    <w:pStyle w:val="41"/>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非甲烷总烃</w:t>
                  </w:r>
                </w:p>
              </w:tc>
              <w:tc>
                <w:tcPr>
                  <w:tcW w:w="1019" w:type="dxa"/>
                  <w:tcBorders>
                    <w:left w:val="nil"/>
                    <w:right w:val="single" w:color="auto" w:sz="4" w:space="0"/>
                  </w:tcBorders>
                  <w:vAlign w:val="center"/>
                </w:tcPr>
                <w:p w14:paraId="66AC0225">
                  <w:pPr>
                    <w:keepNext w:val="0"/>
                    <w:keepLines w:val="0"/>
                    <w:pageBreakBefore w:val="0"/>
                    <w:kinsoku/>
                    <w:wordWrap/>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val="en-US" w:eastAsia="zh-CN"/>
                    </w:rPr>
                    <w:t>/</w:t>
                  </w:r>
                </w:p>
              </w:tc>
              <w:tc>
                <w:tcPr>
                  <w:tcW w:w="786" w:type="dxa"/>
                  <w:tcBorders>
                    <w:left w:val="nil"/>
                    <w:right w:val="single" w:color="auto" w:sz="4" w:space="0"/>
                  </w:tcBorders>
                  <w:vAlign w:val="center"/>
                </w:tcPr>
                <w:p w14:paraId="3D04BF69">
                  <w:pPr>
                    <w:keepNext w:val="0"/>
                    <w:keepLines w:val="0"/>
                    <w:pageBreakBefore w:val="0"/>
                    <w:kinsoku/>
                    <w:wordWrap/>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val="en-US" w:eastAsia="zh-CN"/>
                    </w:rPr>
                    <w:t>/</w:t>
                  </w:r>
                </w:p>
              </w:tc>
              <w:tc>
                <w:tcPr>
                  <w:tcW w:w="1744" w:type="dxa"/>
                  <w:tcBorders>
                    <w:left w:val="nil"/>
                    <w:right w:val="single" w:color="auto" w:sz="4" w:space="0"/>
                  </w:tcBorders>
                  <w:vAlign w:val="center"/>
                </w:tcPr>
                <w:p w14:paraId="0A3D970C">
                  <w:pPr>
                    <w:keepNext w:val="0"/>
                    <w:keepLines w:val="0"/>
                    <w:pageBreakBefore w:val="0"/>
                    <w:kinsoku/>
                    <w:wordWrap/>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lang w:val="en-US" w:eastAsia="zh-CN"/>
                    </w:rPr>
                    <w:t>/</w:t>
                  </w:r>
                </w:p>
              </w:tc>
              <w:tc>
                <w:tcPr>
                  <w:tcW w:w="1622" w:type="dxa"/>
                  <w:tcBorders>
                    <w:left w:val="nil"/>
                    <w:right w:val="single" w:color="auto" w:sz="4" w:space="0"/>
                  </w:tcBorders>
                  <w:vAlign w:val="center"/>
                </w:tcPr>
                <w:p w14:paraId="3E0E6E9A">
                  <w:pPr>
                    <w:keepNext w:val="0"/>
                    <w:keepLines w:val="0"/>
                    <w:pageBreakBefore w:val="0"/>
                    <w:kinsoku/>
                    <w:wordWrap/>
                    <w:overflowPunct/>
                    <w:topLinePunct w:val="0"/>
                    <w:bidi w:val="0"/>
                    <w:adjustRightInd/>
                    <w:snapToGrid/>
                    <w:jc w:val="center"/>
                    <w:rPr>
                      <w:rFonts w:ascii="Times New Roman" w:hAnsi="Times New Roman" w:eastAsia="宋体" w:cs="Times New Roman"/>
                      <w:lang w:eastAsia="zh-CN"/>
                    </w:rPr>
                  </w:pPr>
                  <w:r>
                    <w:rPr>
                      <w:rFonts w:hint="default" w:ascii="Times New Roman" w:hAnsi="Times New Roman" w:eastAsia="宋体" w:cs="Times New Roman"/>
                      <w:lang w:val="en-US" w:eastAsia="zh-CN"/>
                    </w:rPr>
                    <w:t>/</w:t>
                  </w:r>
                </w:p>
              </w:tc>
              <w:tc>
                <w:tcPr>
                  <w:tcW w:w="1286" w:type="dxa"/>
                  <w:tcBorders>
                    <w:left w:val="nil"/>
                    <w:right w:val="single" w:color="auto" w:sz="4" w:space="0"/>
                  </w:tcBorders>
                  <w:shd w:val="clear" w:color="auto" w:fill="auto"/>
                  <w:vAlign w:val="center"/>
                </w:tcPr>
                <w:p w14:paraId="508EABC6">
                  <w:pPr>
                    <w:keepNext w:val="0"/>
                    <w:keepLines w:val="0"/>
                    <w:pageBreakBefore w:val="0"/>
                    <w:kinsoku/>
                    <w:wordWrap/>
                    <w:overflowPunct/>
                    <w:topLinePunct w:val="0"/>
                    <w:bidi w:val="0"/>
                    <w:adjustRightInd/>
                    <w:snapToGrid/>
                    <w:jc w:val="center"/>
                    <w:rPr>
                      <w:rFonts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lang w:eastAsia="zh-CN"/>
                    </w:rPr>
                    <w:t>1次</w:t>
                  </w:r>
                  <w:r>
                    <w:rPr>
                      <w:rFonts w:hint="default" w:ascii="Times New Roman" w:hAnsi="Times New Roman" w:eastAsia="宋体" w:cs="Times New Roman"/>
                      <w:lang w:val="en-US" w:eastAsia="zh-CN"/>
                    </w:rPr>
                    <w:t>/季度</w:t>
                  </w:r>
                </w:p>
              </w:tc>
            </w:tr>
          </w:tbl>
          <w:p w14:paraId="79192796">
            <w:pPr>
              <w:kinsoku/>
              <w:adjustRightInd/>
              <w:snapToGrid/>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3、废气处理措施及可行性分析</w:t>
            </w:r>
          </w:p>
          <w:p w14:paraId="75184BFF">
            <w:pPr>
              <w:kinsoku/>
              <w:adjustRightInd/>
              <w:snapToGrid/>
              <w:spacing w:line="360" w:lineRule="auto"/>
              <w:ind w:firstLine="480" w:firstLineChars="200"/>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参照</w:t>
            </w:r>
            <w:r>
              <w:rPr>
                <w:rFonts w:hint="eastAsia" w:ascii="Times New Roman" w:hAnsi="Times New Roman" w:eastAsia="宋体" w:cs="Times New Roman"/>
                <w:bCs/>
                <w:sz w:val="24"/>
                <w:szCs w:val="32"/>
                <w:lang w:eastAsia="zh-CN"/>
              </w:rPr>
              <w:t>《排污许可证申请与核发技术规范 铁路、船舶、航空航天和其他运输设备制造业》（HJ 112</w:t>
            </w:r>
            <w:r>
              <w:rPr>
                <w:rFonts w:hint="eastAsia" w:ascii="Times New Roman" w:hAnsi="Times New Roman" w:eastAsia="宋体" w:cs="Times New Roman"/>
                <w:bCs/>
                <w:sz w:val="24"/>
                <w:szCs w:val="32"/>
                <w:lang w:val="en-US" w:eastAsia="zh-CN"/>
              </w:rPr>
              <w:t>4</w:t>
            </w:r>
            <w:r>
              <w:rPr>
                <w:rFonts w:hint="eastAsia" w:ascii="Times New Roman" w:hAnsi="Times New Roman" w:eastAsia="宋体" w:cs="Times New Roman"/>
                <w:bCs/>
                <w:sz w:val="24"/>
                <w:szCs w:val="32"/>
                <w:lang w:eastAsia="zh-CN"/>
              </w:rPr>
              <w:t>-2020）</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表C.4 其他运输设备制造排污单位废气污染防治推荐可行技术，治理下料颗粒物推荐的可行技术为“袋式除尘、静电除尘”；治理焊接颗粒物推荐的可行技术为“袋式除尘”；治理抛丸颗粒物推荐的可行技术为“袋式除尘、湿式除尘”；治理喷塑颗粒物推荐的可行技术为“袋式除尘”；治理酸洗硫酸雾推荐的可行技术为“碱液吸收”；治理固化机电泳挥发性有机物的可行技术为“活性炭吸附、吸附/浓缩+热力燃烧/催化氧化”。</w:t>
            </w:r>
          </w:p>
          <w:p w14:paraId="7D0B95F1">
            <w:pPr>
              <w:kinsoku/>
              <w:adjustRightInd/>
              <w:snapToGrid/>
              <w:spacing w:line="360" w:lineRule="auto"/>
              <w:ind w:firstLine="480" w:firstLineChars="200"/>
              <w:rPr>
                <w:rFonts w:hint="default"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本项目下料切割、焊接机喷塑产生的颗粒物收集后均通过布袋除尘器处理，固化及电泳产生的挥发性有机物均通过二级活性炭吸附装置处理，酸洗产生的硫酸雾收集后通过碱液喷淋处理。对比“表C.4 其他运输设备制造排污单位废气污染防治推荐可行技术”中均为可行技术。</w:t>
            </w:r>
          </w:p>
          <w:p w14:paraId="01CB7691">
            <w:pPr>
              <w:kinsoku/>
              <w:adjustRightInd/>
              <w:snapToGrid/>
              <w:jc w:val="center"/>
              <w:rPr>
                <w:rFonts w:ascii="Times New Roman" w:hAnsi="Times New Roman" w:eastAsia="宋体" w:cs="Times New Roman"/>
                <w:b/>
                <w:bCs/>
                <w:sz w:val="24"/>
                <w:lang w:eastAsia="zh-CN"/>
              </w:rPr>
            </w:pPr>
          </w:p>
          <w:p w14:paraId="411B4749">
            <w:pPr>
              <w:kinsoku/>
              <w:adjustRightInd/>
              <w:snapToGrid/>
              <w:jc w:val="center"/>
              <w:rPr>
                <w:rFonts w:ascii="Times New Roman" w:hAnsi="Times New Roman" w:eastAsia="宋体" w:cs="Times New Roman"/>
                <w:b/>
                <w:bCs/>
                <w:sz w:val="24"/>
                <w:lang w:eastAsia="zh-CN"/>
              </w:rPr>
            </w:pPr>
          </w:p>
          <w:p w14:paraId="1F308975">
            <w:pPr>
              <w:kinsoku/>
              <w:adjustRightInd/>
              <w:snapToGrid/>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表4-</w:t>
            </w:r>
            <w:r>
              <w:rPr>
                <w:rFonts w:hint="eastAsia" w:ascii="Times New Roman" w:hAnsi="Times New Roman" w:eastAsia="宋体" w:cs="Times New Roman"/>
                <w:b/>
                <w:bCs/>
                <w:sz w:val="24"/>
                <w:lang w:val="en-US" w:eastAsia="zh-CN"/>
              </w:rPr>
              <w:t>4</w:t>
            </w:r>
            <w:r>
              <w:rPr>
                <w:rFonts w:ascii="Times New Roman" w:hAnsi="Times New Roman" w:eastAsia="宋体" w:cs="Times New Roman"/>
                <w:b/>
                <w:bCs/>
                <w:sz w:val="24"/>
                <w:lang w:eastAsia="zh-CN"/>
              </w:rPr>
              <w:t xml:space="preserve"> 本项目污染处理技术可行性</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2272"/>
              <w:gridCol w:w="1801"/>
              <w:gridCol w:w="1997"/>
              <w:gridCol w:w="1846"/>
            </w:tblGrid>
            <w:tr w14:paraId="2F50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0638FBF3">
                  <w:pPr>
                    <w:pStyle w:val="47"/>
                    <w:widowControl w:val="0"/>
                    <w:spacing w:line="240" w:lineRule="auto"/>
                    <w:ind w:left="0" w:right="0" w:firstLine="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6"/>
                      <w:sz w:val="21"/>
                      <w:szCs w:val="21"/>
                    </w:rPr>
                    <w:t>生产单</w:t>
                  </w:r>
                  <w:r>
                    <w:rPr>
                      <w:rFonts w:hint="default" w:ascii="Times New Roman" w:hAnsi="Times New Roman" w:eastAsia="宋体" w:cs="Times New Roman"/>
                      <w:sz w:val="21"/>
                      <w:szCs w:val="21"/>
                    </w:rPr>
                    <w:t>元</w:t>
                  </w:r>
                </w:p>
              </w:tc>
              <w:tc>
                <w:tcPr>
                  <w:tcW w:w="2063" w:type="dxa"/>
                  <w:vAlign w:val="center"/>
                </w:tcPr>
                <w:p w14:paraId="165430FE">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产污环节</w:t>
                  </w:r>
                </w:p>
              </w:tc>
              <w:tc>
                <w:tcPr>
                  <w:tcW w:w="1635" w:type="dxa"/>
                  <w:vAlign w:val="center"/>
                </w:tcPr>
                <w:p w14:paraId="20AFDC92">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污染物项目</w:t>
                  </w:r>
                </w:p>
              </w:tc>
              <w:tc>
                <w:tcPr>
                  <w:tcW w:w="1813" w:type="dxa"/>
                  <w:vAlign w:val="center"/>
                </w:tcPr>
                <w:p w14:paraId="271D4996">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污染防治设施</w:t>
                  </w:r>
                </w:p>
              </w:tc>
              <w:tc>
                <w:tcPr>
                  <w:tcW w:w="1676" w:type="dxa"/>
                  <w:vAlign w:val="center"/>
                </w:tcPr>
                <w:p w14:paraId="2B469E6A">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6"/>
                      <w:sz w:val="21"/>
                      <w:szCs w:val="21"/>
                    </w:rPr>
                    <w:t>是否为可</w:t>
                  </w:r>
                  <w:r>
                    <w:rPr>
                      <w:rFonts w:hint="default" w:ascii="Times New Roman" w:hAnsi="Times New Roman" w:eastAsia="宋体" w:cs="Times New Roman"/>
                      <w:spacing w:val="5"/>
                      <w:sz w:val="21"/>
                      <w:szCs w:val="21"/>
                    </w:rPr>
                    <w:t>行技术</w:t>
                  </w:r>
                </w:p>
              </w:tc>
            </w:tr>
            <w:tr w14:paraId="110D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696365D1">
                  <w:pPr>
                    <w:pStyle w:val="47"/>
                    <w:widowControl w:val="0"/>
                    <w:spacing w:line="240" w:lineRule="auto"/>
                    <w:ind w:left="0" w:leftChars="0" w:right="0" w:rightChars="0" w:firstLine="0" w:firstLineChars="0"/>
                    <w:jc w:val="cente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spacing w:val="4"/>
                      <w:sz w:val="21"/>
                      <w:szCs w:val="21"/>
                      <w:lang w:eastAsia="zh-CN"/>
                    </w:rPr>
                    <w:t>下料</w:t>
                  </w:r>
                </w:p>
              </w:tc>
              <w:tc>
                <w:tcPr>
                  <w:tcW w:w="2063" w:type="dxa"/>
                  <w:vAlign w:val="center"/>
                </w:tcPr>
                <w:p w14:paraId="47C770CA">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切割</w:t>
                  </w:r>
                </w:p>
              </w:tc>
              <w:tc>
                <w:tcPr>
                  <w:tcW w:w="1635" w:type="dxa"/>
                  <w:vAlign w:val="center"/>
                </w:tcPr>
                <w:p w14:paraId="38FF81DB">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颗粒物</w:t>
                  </w:r>
                </w:p>
              </w:tc>
              <w:tc>
                <w:tcPr>
                  <w:tcW w:w="1813" w:type="dxa"/>
                  <w:vAlign w:val="center"/>
                </w:tcPr>
                <w:p w14:paraId="00EE95FC">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8"/>
                      <w:sz w:val="21"/>
                      <w:szCs w:val="21"/>
                    </w:rPr>
                    <w:t>袋式除尘器</w:t>
                  </w:r>
                </w:p>
              </w:tc>
              <w:tc>
                <w:tcPr>
                  <w:tcW w:w="1676" w:type="dxa"/>
                  <w:vAlign w:val="center"/>
                </w:tcPr>
                <w:p w14:paraId="79496A6B">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z w:val="21"/>
                      <w:szCs w:val="21"/>
                    </w:rPr>
                    <w:t>是</w:t>
                  </w:r>
                </w:p>
              </w:tc>
            </w:tr>
            <w:tr w14:paraId="1AAB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337726CF">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焊接</w:t>
                  </w:r>
                </w:p>
              </w:tc>
              <w:tc>
                <w:tcPr>
                  <w:tcW w:w="2063" w:type="dxa"/>
                  <w:vAlign w:val="center"/>
                </w:tcPr>
                <w:p w14:paraId="2429601B">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焊接</w:t>
                  </w:r>
                </w:p>
              </w:tc>
              <w:tc>
                <w:tcPr>
                  <w:tcW w:w="1635" w:type="dxa"/>
                  <w:vAlign w:val="center"/>
                </w:tcPr>
                <w:p w14:paraId="054D9F4E">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颗粒物</w:t>
                  </w:r>
                </w:p>
              </w:tc>
              <w:tc>
                <w:tcPr>
                  <w:tcW w:w="1813" w:type="dxa"/>
                  <w:vAlign w:val="center"/>
                </w:tcPr>
                <w:p w14:paraId="01553834">
                  <w:pPr>
                    <w:pStyle w:val="47"/>
                    <w:widowControl w:val="0"/>
                    <w:spacing w:line="240" w:lineRule="auto"/>
                    <w:ind w:left="0" w:leftChars="0" w:right="0" w:rightChars="0" w:firstLine="0" w:firstLineChars="0"/>
                    <w:jc w:val="cente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8"/>
                      <w:sz w:val="21"/>
                      <w:szCs w:val="21"/>
                    </w:rPr>
                    <w:t>袋式除尘器</w:t>
                  </w:r>
                </w:p>
              </w:tc>
              <w:tc>
                <w:tcPr>
                  <w:tcW w:w="1676" w:type="dxa"/>
                  <w:vAlign w:val="center"/>
                </w:tcPr>
                <w:p w14:paraId="79DB28A4">
                  <w:pPr>
                    <w:pStyle w:val="47"/>
                    <w:widowControl w:val="0"/>
                    <w:spacing w:line="240" w:lineRule="auto"/>
                    <w:ind w:left="0" w:leftChars="0" w:right="0" w:rightChars="0" w:firstLine="0" w:firstLineChars="0"/>
                    <w:jc w:val="cente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z w:val="21"/>
                      <w:szCs w:val="21"/>
                    </w:rPr>
                    <w:t>是</w:t>
                  </w:r>
                </w:p>
              </w:tc>
            </w:tr>
            <w:tr w14:paraId="1F8D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01213392">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预处理</w:t>
                  </w:r>
                </w:p>
              </w:tc>
              <w:tc>
                <w:tcPr>
                  <w:tcW w:w="2063" w:type="dxa"/>
                  <w:vAlign w:val="center"/>
                </w:tcPr>
                <w:p w14:paraId="09099221">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抛丸</w:t>
                  </w:r>
                </w:p>
              </w:tc>
              <w:tc>
                <w:tcPr>
                  <w:tcW w:w="1635" w:type="dxa"/>
                  <w:vAlign w:val="center"/>
                </w:tcPr>
                <w:p w14:paraId="0702F2A8">
                  <w:pPr>
                    <w:pStyle w:val="47"/>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颗粒物</w:t>
                  </w:r>
                </w:p>
              </w:tc>
              <w:tc>
                <w:tcPr>
                  <w:tcW w:w="1813" w:type="dxa"/>
                  <w:vAlign w:val="center"/>
                </w:tcPr>
                <w:p w14:paraId="1457B7DB">
                  <w:pPr>
                    <w:pStyle w:val="47"/>
                    <w:widowControl w:val="0"/>
                    <w:spacing w:line="240" w:lineRule="auto"/>
                    <w:ind w:left="0" w:leftChars="0" w:right="0" w:rightChars="0" w:firstLine="0" w:firstLineChars="0"/>
                    <w:jc w:val="center"/>
                    <w:rPr>
                      <w:rFonts w:hint="eastAsia" w:ascii="Times New Roman" w:hAnsi="Times New Roman" w:cs="Times New Roman"/>
                      <w:spacing w:val="8"/>
                      <w:sz w:val="21"/>
                      <w:szCs w:val="21"/>
                      <w:lang w:eastAsia="zh-CN"/>
                    </w:rPr>
                  </w:pPr>
                  <w:r>
                    <w:rPr>
                      <w:rFonts w:hint="default" w:ascii="Times New Roman" w:hAnsi="Times New Roman" w:eastAsia="宋体" w:cs="Times New Roman"/>
                      <w:spacing w:val="8"/>
                      <w:sz w:val="21"/>
                      <w:szCs w:val="21"/>
                    </w:rPr>
                    <w:t>袋式除尘器</w:t>
                  </w:r>
                </w:p>
              </w:tc>
              <w:tc>
                <w:tcPr>
                  <w:tcW w:w="1676" w:type="dxa"/>
                  <w:vAlign w:val="center"/>
                </w:tcPr>
                <w:p w14:paraId="137E77A9">
                  <w:pPr>
                    <w:pStyle w:val="47"/>
                    <w:widowControl w:val="0"/>
                    <w:spacing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5BCD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08FF65DC">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涂装</w:t>
                  </w:r>
                </w:p>
              </w:tc>
              <w:tc>
                <w:tcPr>
                  <w:tcW w:w="2063" w:type="dxa"/>
                  <w:vAlign w:val="center"/>
                </w:tcPr>
                <w:p w14:paraId="772F3568">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喷塑</w:t>
                  </w:r>
                </w:p>
              </w:tc>
              <w:tc>
                <w:tcPr>
                  <w:tcW w:w="1635" w:type="dxa"/>
                  <w:vAlign w:val="center"/>
                </w:tcPr>
                <w:p w14:paraId="62A08A04">
                  <w:pPr>
                    <w:pStyle w:val="47"/>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颗粒物</w:t>
                  </w:r>
                </w:p>
              </w:tc>
              <w:tc>
                <w:tcPr>
                  <w:tcW w:w="1813" w:type="dxa"/>
                  <w:vAlign w:val="center"/>
                </w:tcPr>
                <w:p w14:paraId="1838A1A9">
                  <w:pPr>
                    <w:pStyle w:val="47"/>
                    <w:widowControl w:val="0"/>
                    <w:spacing w:line="240" w:lineRule="auto"/>
                    <w:ind w:left="0" w:leftChars="0" w:right="0" w:rightChars="0" w:firstLine="0" w:firstLineChars="0"/>
                    <w:jc w:val="center"/>
                    <w:rPr>
                      <w:rFonts w:hint="eastAsia" w:ascii="Times New Roman" w:hAnsi="Times New Roman" w:cs="Times New Roman"/>
                      <w:spacing w:val="8"/>
                      <w:sz w:val="21"/>
                      <w:szCs w:val="21"/>
                      <w:lang w:eastAsia="zh-CN"/>
                    </w:rPr>
                  </w:pPr>
                  <w:r>
                    <w:rPr>
                      <w:rFonts w:hint="eastAsia" w:ascii="Times New Roman" w:hAnsi="Times New Roman" w:cs="Times New Roman"/>
                      <w:spacing w:val="8"/>
                      <w:sz w:val="21"/>
                      <w:szCs w:val="21"/>
                      <w:lang w:val="en-US" w:eastAsia="zh-CN"/>
                    </w:rPr>
                    <w:t>滤芯</w:t>
                  </w:r>
                  <w:r>
                    <w:rPr>
                      <w:rFonts w:hint="default" w:ascii="Times New Roman" w:hAnsi="Times New Roman" w:eastAsia="宋体" w:cs="Times New Roman"/>
                      <w:spacing w:val="8"/>
                      <w:sz w:val="21"/>
                      <w:szCs w:val="21"/>
                    </w:rPr>
                    <w:t>除尘器</w:t>
                  </w:r>
                </w:p>
              </w:tc>
              <w:tc>
                <w:tcPr>
                  <w:tcW w:w="1676" w:type="dxa"/>
                  <w:vAlign w:val="center"/>
                </w:tcPr>
                <w:p w14:paraId="66085001">
                  <w:pPr>
                    <w:pStyle w:val="47"/>
                    <w:widowControl w:val="0"/>
                    <w:spacing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2891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173FC7F5">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粘接</w:t>
                  </w:r>
                </w:p>
              </w:tc>
              <w:tc>
                <w:tcPr>
                  <w:tcW w:w="2063" w:type="dxa"/>
                  <w:vAlign w:val="center"/>
                </w:tcPr>
                <w:p w14:paraId="74D40972">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固化</w:t>
                  </w:r>
                </w:p>
              </w:tc>
              <w:tc>
                <w:tcPr>
                  <w:tcW w:w="1635" w:type="dxa"/>
                  <w:vAlign w:val="center"/>
                </w:tcPr>
                <w:p w14:paraId="41881008">
                  <w:pPr>
                    <w:pStyle w:val="47"/>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挥发性有机物</w:t>
                  </w:r>
                </w:p>
              </w:tc>
              <w:tc>
                <w:tcPr>
                  <w:tcW w:w="1813" w:type="dxa"/>
                  <w:vAlign w:val="center"/>
                </w:tcPr>
                <w:p w14:paraId="50DFFF7E">
                  <w:pPr>
                    <w:pStyle w:val="47"/>
                    <w:widowControl w:val="0"/>
                    <w:spacing w:line="240" w:lineRule="auto"/>
                    <w:ind w:left="0" w:leftChars="0" w:right="0" w:rightChars="0" w:firstLine="0" w:firstLineChars="0"/>
                    <w:jc w:val="center"/>
                    <w:rPr>
                      <w:rFonts w:hint="eastAsia" w:ascii="Times New Roman" w:hAnsi="Times New Roman" w:cs="Times New Roman"/>
                      <w:spacing w:val="8"/>
                      <w:sz w:val="21"/>
                      <w:szCs w:val="21"/>
                      <w:lang w:eastAsia="zh-CN"/>
                    </w:rPr>
                  </w:pPr>
                  <w:r>
                    <w:rPr>
                      <w:rFonts w:hint="eastAsia" w:ascii="Times New Roman" w:hAnsi="Times New Roman" w:cs="Times New Roman"/>
                      <w:spacing w:val="8"/>
                      <w:sz w:val="21"/>
                      <w:szCs w:val="21"/>
                      <w:lang w:eastAsia="zh-CN"/>
                    </w:rPr>
                    <w:t>二级活性炭吸附</w:t>
                  </w:r>
                </w:p>
              </w:tc>
              <w:tc>
                <w:tcPr>
                  <w:tcW w:w="1676" w:type="dxa"/>
                  <w:vAlign w:val="center"/>
                </w:tcPr>
                <w:p w14:paraId="66A6A545">
                  <w:pPr>
                    <w:widowControl w:val="0"/>
                    <w:spacing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311B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17455B89">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涂装</w:t>
                  </w:r>
                </w:p>
              </w:tc>
              <w:tc>
                <w:tcPr>
                  <w:tcW w:w="2063" w:type="dxa"/>
                  <w:vAlign w:val="center"/>
                </w:tcPr>
                <w:p w14:paraId="37E6D97B">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电泳及烘干</w:t>
                  </w:r>
                </w:p>
              </w:tc>
              <w:tc>
                <w:tcPr>
                  <w:tcW w:w="1635" w:type="dxa"/>
                  <w:vAlign w:val="center"/>
                </w:tcPr>
                <w:p w14:paraId="1EBD1B39">
                  <w:pPr>
                    <w:pStyle w:val="47"/>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挥发性有机物</w:t>
                  </w:r>
                </w:p>
              </w:tc>
              <w:tc>
                <w:tcPr>
                  <w:tcW w:w="1813" w:type="dxa"/>
                  <w:vAlign w:val="center"/>
                </w:tcPr>
                <w:p w14:paraId="613F3090">
                  <w:pPr>
                    <w:pStyle w:val="47"/>
                    <w:widowControl w:val="0"/>
                    <w:spacing w:line="240" w:lineRule="auto"/>
                    <w:ind w:left="0" w:leftChars="0" w:right="0" w:rightChars="0" w:firstLine="0" w:firstLineChars="0"/>
                    <w:jc w:val="center"/>
                    <w:rPr>
                      <w:rFonts w:hint="eastAsia" w:ascii="Times New Roman" w:hAnsi="Times New Roman" w:cs="Times New Roman"/>
                      <w:spacing w:val="8"/>
                      <w:sz w:val="21"/>
                      <w:szCs w:val="21"/>
                      <w:lang w:eastAsia="zh-CN"/>
                    </w:rPr>
                  </w:pPr>
                  <w:r>
                    <w:rPr>
                      <w:rFonts w:hint="eastAsia" w:ascii="Times New Roman" w:hAnsi="Times New Roman" w:cs="Times New Roman"/>
                      <w:spacing w:val="8"/>
                      <w:sz w:val="21"/>
                      <w:szCs w:val="21"/>
                      <w:lang w:eastAsia="zh-CN"/>
                    </w:rPr>
                    <w:t>二级活性炭吸附</w:t>
                  </w:r>
                </w:p>
              </w:tc>
              <w:tc>
                <w:tcPr>
                  <w:tcW w:w="1676" w:type="dxa"/>
                  <w:vAlign w:val="center"/>
                </w:tcPr>
                <w:p w14:paraId="17BCA10A">
                  <w:pPr>
                    <w:widowControl w:val="0"/>
                    <w:spacing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03B2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14:paraId="5722CF03">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预处理</w:t>
                  </w:r>
                </w:p>
              </w:tc>
              <w:tc>
                <w:tcPr>
                  <w:tcW w:w="2063" w:type="dxa"/>
                  <w:vAlign w:val="center"/>
                </w:tcPr>
                <w:p w14:paraId="5A7FDF44">
                  <w:pPr>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酸洗</w:t>
                  </w:r>
                </w:p>
              </w:tc>
              <w:tc>
                <w:tcPr>
                  <w:tcW w:w="1635" w:type="dxa"/>
                  <w:vAlign w:val="center"/>
                </w:tcPr>
                <w:p w14:paraId="1E0C0F71">
                  <w:pPr>
                    <w:pStyle w:val="47"/>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硫酸雾</w:t>
                  </w:r>
                </w:p>
              </w:tc>
              <w:tc>
                <w:tcPr>
                  <w:tcW w:w="1813" w:type="dxa"/>
                  <w:vAlign w:val="center"/>
                </w:tcPr>
                <w:p w14:paraId="6E351BE3">
                  <w:pPr>
                    <w:pStyle w:val="47"/>
                    <w:widowControl w:val="0"/>
                    <w:spacing w:line="240" w:lineRule="auto"/>
                    <w:ind w:left="0" w:leftChars="0" w:right="0" w:rightChars="0" w:firstLine="0" w:firstLineChars="0"/>
                    <w:jc w:val="center"/>
                    <w:rPr>
                      <w:rFonts w:hint="eastAsia" w:ascii="Times New Roman" w:hAnsi="Times New Roman" w:cs="Times New Roman"/>
                      <w:spacing w:val="8"/>
                      <w:sz w:val="21"/>
                      <w:szCs w:val="21"/>
                      <w:lang w:eastAsia="zh-CN"/>
                    </w:rPr>
                  </w:pPr>
                  <w:r>
                    <w:rPr>
                      <w:rFonts w:hint="eastAsia" w:ascii="Times New Roman" w:hAnsi="Times New Roman" w:cs="Times New Roman"/>
                      <w:spacing w:val="8"/>
                      <w:sz w:val="21"/>
                      <w:szCs w:val="21"/>
                      <w:lang w:eastAsia="zh-CN"/>
                    </w:rPr>
                    <w:t>碱液喷淋</w:t>
                  </w:r>
                </w:p>
              </w:tc>
              <w:tc>
                <w:tcPr>
                  <w:tcW w:w="1676" w:type="dxa"/>
                  <w:vAlign w:val="center"/>
                </w:tcPr>
                <w:p w14:paraId="19546860">
                  <w:pPr>
                    <w:widowControl w:val="0"/>
                    <w:spacing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169CFBBD">
            <w:pPr>
              <w:kinsoku/>
              <w:adjustRightInd/>
              <w:snapToGrid/>
              <w:spacing w:line="360" w:lineRule="auto"/>
              <w:rPr>
                <w:rFonts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4</w:t>
            </w:r>
            <w:r>
              <w:rPr>
                <w:rFonts w:ascii="Times New Roman" w:hAnsi="Times New Roman" w:eastAsia="宋体" w:cs="Times New Roman"/>
                <w:b/>
                <w:bCs/>
                <w:sz w:val="24"/>
                <w:lang w:val="en-US" w:eastAsia="zh-CN"/>
              </w:rPr>
              <w:t xml:space="preserve"> 、达标分析</w:t>
            </w:r>
          </w:p>
          <w:p w14:paraId="291AE2A6">
            <w:pPr>
              <w:pStyle w:val="47"/>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textAlignment w:val="baseline"/>
              <w:rPr>
                <w:rFonts w:hint="default"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切割下料及焊接烟尘经收集</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后经布袋除尘器处理后通过1</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m高排气筒（DA001）排放；</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抛丸粉尘经收集后通过布袋除尘</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处理后通过1</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m高排气筒（DA00</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1</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喷塑粉尘经收集后通过袋式除尘处理</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后通过1</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m高排气筒（DA00</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1</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固化有机废气经收集后通过二级活性炭吸附处理后</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通过1</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m高排气筒（DA00</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2</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电泳及烘干废气经收集后通过二级活性炭吸附处理后</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通过1</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m高排气筒（DA00</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3</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；酸洗废气经收集后通过碱液喷淋处理后</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通过1</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5</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m高排气筒（DA00</w:t>
            </w:r>
            <w:r>
              <w:rPr>
                <w:rFonts w:hint="eastAsia" w:ascii="Times New Roman" w:hAnsi="Times New Roman" w:cs="Times New Roman"/>
                <w:bCs/>
                <w:snapToGrid w:val="0"/>
                <w:color w:val="000000" w:themeColor="text1"/>
                <w:kern w:val="2"/>
                <w:sz w:val="24"/>
                <w:szCs w:val="24"/>
                <w:lang w:val="en-US" w:eastAsia="zh-CN" w:bidi="ar-SA"/>
                <w14:textFill>
                  <w14:solidFill>
                    <w14:schemeClr w14:val="tx1"/>
                  </w14:solidFill>
                </w14:textFill>
              </w:rPr>
              <w:t>4</w:t>
            </w:r>
            <w: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）排放</w:t>
            </w:r>
            <w:r>
              <w:rPr>
                <w:rFonts w:hint="eastAsia"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t>。</w:t>
            </w:r>
          </w:p>
          <w:p w14:paraId="0732448A">
            <w:pPr>
              <w:kinsoku/>
              <w:adjustRightInd/>
              <w:snapToGrid/>
              <w:jc w:val="center"/>
              <w:rPr>
                <w:rFonts w:ascii="Times New Roman" w:hAnsi="Times New Roman" w:eastAsia="宋体" w:cs="Times New Roman"/>
                <w:bCs/>
                <w:snapToGrid w:val="0"/>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b/>
                <w:bCs/>
                <w:sz w:val="24"/>
                <w:lang w:eastAsia="zh-CN"/>
              </w:rPr>
              <w:t>表 4-</w:t>
            </w:r>
            <w:r>
              <w:rPr>
                <w:rFonts w:hint="eastAsia" w:ascii="Times New Roman" w:hAnsi="Times New Roman" w:eastAsia="宋体" w:cs="Times New Roman"/>
                <w:b/>
                <w:bCs/>
                <w:sz w:val="24"/>
                <w:lang w:val="en-US" w:eastAsia="zh-CN"/>
              </w:rPr>
              <w:t>5</w:t>
            </w:r>
            <w:r>
              <w:rPr>
                <w:rFonts w:ascii="Times New Roman" w:hAnsi="Times New Roman" w:eastAsia="宋体" w:cs="Times New Roman"/>
                <w:b/>
                <w:bCs/>
                <w:sz w:val="24"/>
                <w:lang w:eastAsia="zh-CN"/>
              </w:rPr>
              <w:t xml:space="preserve"> 项目废气有组织排放情况一览表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487"/>
              <w:gridCol w:w="1041"/>
              <w:gridCol w:w="989"/>
              <w:gridCol w:w="1059"/>
              <w:gridCol w:w="1663"/>
              <w:gridCol w:w="827"/>
              <w:gridCol w:w="1154"/>
            </w:tblGrid>
            <w:tr w14:paraId="4699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08" w:type="dxa"/>
                  <w:vMerge w:val="restart"/>
                  <w:vAlign w:val="center"/>
                </w:tcPr>
                <w:p w14:paraId="68C9A7C7">
                  <w:pPr>
                    <w:pStyle w:val="47"/>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6"/>
                      <w:sz w:val="21"/>
                      <w:szCs w:val="21"/>
                    </w:rPr>
                    <w:t>排放口</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3"/>
                      <w:sz w:val="21"/>
                      <w:szCs w:val="21"/>
                    </w:rPr>
                    <w:t>编号</w:t>
                  </w:r>
                </w:p>
              </w:tc>
              <w:tc>
                <w:tcPr>
                  <w:tcW w:w="1487" w:type="dxa"/>
                  <w:vMerge w:val="restart"/>
                  <w:vAlign w:val="center"/>
                </w:tcPr>
                <w:p w14:paraId="6CC368C4">
                  <w:pPr>
                    <w:keepNext w:val="0"/>
                    <w:keepLines w:val="0"/>
                    <w:pageBreakBefore w:val="0"/>
                    <w:widowControl/>
                    <w:wordWrap/>
                    <w:overflowPunct/>
                    <w:topLinePunct w:val="0"/>
                    <w:autoSpaceDE w:val="0"/>
                    <w:autoSpaceDN w:val="0"/>
                    <w:bidi w:val="0"/>
                    <w:spacing w:line="240" w:lineRule="auto"/>
                    <w:ind w:left="0" w:right="0" w:firstLine="0"/>
                    <w:jc w:val="center"/>
                    <w:textAlignment w:val="baseline"/>
                    <w:rPr>
                      <w:rFonts w:hint="default" w:ascii="Times New Roman" w:hAnsi="Times New Roman" w:eastAsia="宋体" w:cs="Times New Roman"/>
                      <w:sz w:val="21"/>
                      <w:szCs w:val="21"/>
                    </w:rPr>
                  </w:pPr>
                </w:p>
                <w:p w14:paraId="7AB4E2EE">
                  <w:pPr>
                    <w:pStyle w:val="47"/>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污染物种类</w:t>
                  </w:r>
                </w:p>
              </w:tc>
              <w:tc>
                <w:tcPr>
                  <w:tcW w:w="3089" w:type="dxa"/>
                  <w:gridSpan w:val="3"/>
                  <w:vAlign w:val="center"/>
                </w:tcPr>
                <w:p w14:paraId="3AB83C7C">
                  <w:pPr>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排放情况</w:t>
                  </w:r>
                </w:p>
              </w:tc>
              <w:tc>
                <w:tcPr>
                  <w:tcW w:w="2490" w:type="dxa"/>
                  <w:gridSpan w:val="2"/>
                  <w:vAlign w:val="center"/>
                </w:tcPr>
                <w:p w14:paraId="11544C9D">
                  <w:pPr>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排放标准</w:t>
                  </w:r>
                </w:p>
              </w:tc>
              <w:tc>
                <w:tcPr>
                  <w:tcW w:w="1154" w:type="dxa"/>
                  <w:vMerge w:val="restart"/>
                  <w:vAlign w:val="center"/>
                </w:tcPr>
                <w:p w14:paraId="474B51FE">
                  <w:pPr>
                    <w:pStyle w:val="47"/>
                    <w:keepNext w:val="0"/>
                    <w:keepLines w:val="0"/>
                    <w:pageBreakBefore w:val="0"/>
                    <w:widowControl/>
                    <w:wordWrap/>
                    <w:overflowPunct/>
                    <w:topLinePunct w:val="0"/>
                    <w:autoSpaceDE w:val="0"/>
                    <w:autoSpaceDN w:val="0"/>
                    <w:bidi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p w14:paraId="349BA1CA">
                  <w:pPr>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5"/>
                      <w:sz w:val="21"/>
                      <w:szCs w:val="21"/>
                    </w:rPr>
                    <w:t>情况</w:t>
                  </w:r>
                </w:p>
              </w:tc>
            </w:tr>
            <w:tr w14:paraId="4ADF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08" w:type="dxa"/>
                  <w:vMerge w:val="continue"/>
                  <w:vAlign w:val="center"/>
                </w:tcPr>
                <w:p w14:paraId="3C7C1D09">
                  <w:pPr>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1"/>
                      <w:szCs w:val="21"/>
                    </w:rPr>
                  </w:pPr>
                </w:p>
              </w:tc>
              <w:tc>
                <w:tcPr>
                  <w:tcW w:w="1487" w:type="dxa"/>
                  <w:vMerge w:val="continue"/>
                  <w:vAlign w:val="center"/>
                </w:tcPr>
                <w:p w14:paraId="7390FD0E">
                  <w:pPr>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1"/>
                      <w:szCs w:val="21"/>
                    </w:rPr>
                  </w:pPr>
                </w:p>
              </w:tc>
              <w:tc>
                <w:tcPr>
                  <w:tcW w:w="1041" w:type="dxa"/>
                  <w:vAlign w:val="center"/>
                </w:tcPr>
                <w:p w14:paraId="1F6810B5">
                  <w:pPr>
                    <w:pStyle w:val="47"/>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4"/>
                      <w:position w:val="1"/>
                      <w:sz w:val="21"/>
                      <w:szCs w:val="21"/>
                    </w:rPr>
                    <w:t>排放量</w:t>
                  </w:r>
                  <w:r>
                    <w:rPr>
                      <w:rFonts w:hint="default" w:ascii="Times New Roman" w:hAnsi="Times New Roman" w:eastAsia="宋体" w:cs="Times New Roman"/>
                      <w:spacing w:val="-44"/>
                      <w:position w:val="1"/>
                      <w:sz w:val="21"/>
                      <w:szCs w:val="21"/>
                    </w:rPr>
                    <w:t xml:space="preserve"> </w:t>
                  </w:r>
                  <w:r>
                    <w:rPr>
                      <w:rFonts w:hint="default" w:ascii="Times New Roman" w:hAnsi="Times New Roman" w:eastAsia="宋体" w:cs="Times New Roman"/>
                      <w:spacing w:val="4"/>
                      <w:position w:val="1"/>
                      <w:sz w:val="21"/>
                      <w:szCs w:val="21"/>
                    </w:rPr>
                    <w:t>t/a</w:t>
                  </w:r>
                </w:p>
              </w:tc>
              <w:tc>
                <w:tcPr>
                  <w:tcW w:w="989" w:type="dxa"/>
                  <w:vAlign w:val="center"/>
                </w:tcPr>
                <w:p w14:paraId="0F951E62">
                  <w:pPr>
                    <w:pStyle w:val="47"/>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6"/>
                      <w:position w:val="2"/>
                      <w:sz w:val="21"/>
                      <w:szCs w:val="21"/>
                    </w:rPr>
                    <w:t>速率</w:t>
                  </w:r>
                  <w:r>
                    <w:rPr>
                      <w:rFonts w:hint="default" w:ascii="Times New Roman" w:hAnsi="Times New Roman" w:eastAsia="宋体" w:cs="Times New Roman"/>
                      <w:spacing w:val="-46"/>
                      <w:position w:val="2"/>
                      <w:sz w:val="21"/>
                      <w:szCs w:val="21"/>
                    </w:rPr>
                    <w:t xml:space="preserve"> </w:t>
                  </w:r>
                  <w:r>
                    <w:rPr>
                      <w:rFonts w:hint="default" w:ascii="Times New Roman" w:hAnsi="Times New Roman" w:eastAsia="宋体" w:cs="Times New Roman"/>
                      <w:position w:val="2"/>
                      <w:sz w:val="21"/>
                      <w:szCs w:val="21"/>
                    </w:rPr>
                    <w:t>kg</w:t>
                  </w:r>
                  <w:r>
                    <w:rPr>
                      <w:rFonts w:hint="default" w:ascii="Times New Roman" w:hAnsi="Times New Roman" w:eastAsia="宋体" w:cs="Times New Roman"/>
                      <w:spacing w:val="6"/>
                      <w:position w:val="2"/>
                      <w:sz w:val="21"/>
                      <w:szCs w:val="21"/>
                    </w:rPr>
                    <w:t>/h</w:t>
                  </w:r>
                </w:p>
              </w:tc>
              <w:tc>
                <w:tcPr>
                  <w:tcW w:w="1059" w:type="dxa"/>
                  <w:vAlign w:val="center"/>
                </w:tcPr>
                <w:p w14:paraId="6D6DBB52">
                  <w:pPr>
                    <w:pStyle w:val="47"/>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4"/>
                      <w:sz w:val="21"/>
                      <w:szCs w:val="21"/>
                    </w:rPr>
                    <w:t>浓度</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pacing w:val="9"/>
                      <w:sz w:val="21"/>
                      <w:szCs w:val="21"/>
                    </w:rPr>
                    <w:t>/m³</w:t>
                  </w:r>
                </w:p>
              </w:tc>
              <w:tc>
                <w:tcPr>
                  <w:tcW w:w="1663" w:type="dxa"/>
                  <w:vAlign w:val="center"/>
                </w:tcPr>
                <w:p w14:paraId="2397D8C7">
                  <w:pPr>
                    <w:pStyle w:val="47"/>
                    <w:keepNext w:val="0"/>
                    <w:keepLines w:val="0"/>
                    <w:pageBreakBefore w:val="0"/>
                    <w:widowControl/>
                    <w:wordWrap/>
                    <w:overflowPunct/>
                    <w:topLinePunct w:val="0"/>
                    <w:autoSpaceDE w:val="0"/>
                    <w:autoSpaceDN w:val="0"/>
                    <w:bidi w:val="0"/>
                    <w:spacing w:line="240" w:lineRule="auto"/>
                    <w:ind w:left="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position w:val="2"/>
                      <w:sz w:val="21"/>
                      <w:szCs w:val="21"/>
                    </w:rPr>
                    <w:t>浓度(</w:t>
                  </w:r>
                  <w:r>
                    <w:rPr>
                      <w:rFonts w:hint="default" w:ascii="Times New Roman" w:hAnsi="Times New Roman" w:eastAsia="宋体" w:cs="Times New Roman"/>
                      <w:position w:val="2"/>
                      <w:sz w:val="21"/>
                      <w:szCs w:val="21"/>
                    </w:rPr>
                    <w:t>mg</w:t>
                  </w:r>
                  <w:r>
                    <w:rPr>
                      <w:rFonts w:hint="default" w:ascii="Times New Roman" w:hAnsi="Times New Roman" w:eastAsia="宋体" w:cs="Times New Roman"/>
                      <w:spacing w:val="7"/>
                      <w:position w:val="2"/>
                      <w:sz w:val="21"/>
                      <w:szCs w:val="21"/>
                    </w:rPr>
                    <w:t>/m</w:t>
                  </w:r>
                  <w:r>
                    <w:rPr>
                      <w:rFonts w:hint="default" w:ascii="Times New Roman" w:hAnsi="Times New Roman" w:eastAsia="宋体" w:cs="Times New Roman"/>
                      <w:spacing w:val="1"/>
                      <w:position w:val="3"/>
                      <w:sz w:val="21"/>
                      <w:szCs w:val="21"/>
                    </w:rPr>
                    <w:t>³)</w:t>
                  </w:r>
                </w:p>
              </w:tc>
              <w:tc>
                <w:tcPr>
                  <w:tcW w:w="827" w:type="dxa"/>
                  <w:vAlign w:val="center"/>
                </w:tcPr>
                <w:p w14:paraId="13FCDF43">
                  <w:pPr>
                    <w:pStyle w:val="47"/>
                    <w:keepNext w:val="0"/>
                    <w:keepLines w:val="0"/>
                    <w:pageBreakBefore w:val="0"/>
                    <w:widowControl/>
                    <w:wordWrap/>
                    <w:overflowPunct/>
                    <w:topLinePunct w:val="0"/>
                    <w:autoSpaceDE w:val="0"/>
                    <w:autoSpaceDN w:val="0"/>
                    <w:bidi w:val="0"/>
                    <w:spacing w:line="240"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速率</w:t>
                  </w:r>
                </w:p>
                <w:p w14:paraId="4794943F">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3"/>
                      <w:position w:val="3"/>
                      <w:sz w:val="21"/>
                      <w:szCs w:val="21"/>
                    </w:rPr>
                    <w:t>(</w:t>
                  </w:r>
                  <w:r>
                    <w:rPr>
                      <w:rFonts w:hint="default" w:ascii="Times New Roman" w:hAnsi="Times New Roman" w:eastAsia="宋体" w:cs="Times New Roman"/>
                      <w:position w:val="3"/>
                      <w:sz w:val="21"/>
                      <w:szCs w:val="21"/>
                    </w:rPr>
                    <w:t>kg</w:t>
                  </w:r>
                  <w:r>
                    <w:rPr>
                      <w:rFonts w:hint="default" w:ascii="Times New Roman" w:hAnsi="Times New Roman" w:eastAsia="宋体" w:cs="Times New Roman"/>
                      <w:spacing w:val="3"/>
                      <w:position w:val="3"/>
                      <w:sz w:val="21"/>
                      <w:szCs w:val="21"/>
                    </w:rPr>
                    <w:t>/h)</w:t>
                  </w:r>
                </w:p>
              </w:tc>
              <w:tc>
                <w:tcPr>
                  <w:tcW w:w="1154" w:type="dxa"/>
                  <w:vMerge w:val="continue"/>
                  <w:vAlign w:val="center"/>
                </w:tcPr>
                <w:p w14:paraId="7B4C9290">
                  <w:pPr>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p>
              </w:tc>
            </w:tr>
            <w:tr w14:paraId="443B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67EF03C">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position w:val="2"/>
                      <w:sz w:val="21"/>
                      <w:szCs w:val="21"/>
                    </w:rPr>
                    <w:t>DA</w:t>
                  </w:r>
                  <w:r>
                    <w:rPr>
                      <w:rFonts w:hint="default" w:ascii="Times New Roman" w:hAnsi="Times New Roman" w:eastAsia="宋体" w:cs="Times New Roman"/>
                      <w:spacing w:val="8"/>
                      <w:position w:val="2"/>
                      <w:sz w:val="21"/>
                      <w:szCs w:val="21"/>
                    </w:rPr>
                    <w:t>001</w:t>
                  </w:r>
                </w:p>
              </w:tc>
              <w:tc>
                <w:tcPr>
                  <w:tcW w:w="1487" w:type="dxa"/>
                  <w:vAlign w:val="center"/>
                </w:tcPr>
                <w:p w14:paraId="34A62C6D">
                  <w:pPr>
                    <w:pStyle w:val="47"/>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7"/>
                      <w:sz w:val="21"/>
                      <w:szCs w:val="21"/>
                    </w:rPr>
                    <w:t>颗粒物</w:t>
                  </w:r>
                </w:p>
              </w:tc>
              <w:tc>
                <w:tcPr>
                  <w:tcW w:w="1041" w:type="dxa"/>
                  <w:vAlign w:val="center"/>
                </w:tcPr>
                <w:p w14:paraId="5E1DF22D">
                  <w:pPr>
                    <w:pStyle w:val="41"/>
                    <w:widowControl w:val="0"/>
                    <w:kinsoku/>
                    <w:topLinePunct/>
                    <w:autoSpaceDE/>
                    <w:autoSpaceDN/>
                    <w:ind w:firstLine="0" w:firstLineChars="0"/>
                    <w:jc w:val="center"/>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0.3128</w:t>
                  </w:r>
                </w:p>
              </w:tc>
              <w:tc>
                <w:tcPr>
                  <w:tcW w:w="989" w:type="dxa"/>
                  <w:vAlign w:val="center"/>
                </w:tcPr>
                <w:p w14:paraId="2312C1CD">
                  <w:pPr>
                    <w:pStyle w:val="41"/>
                    <w:widowControl w:val="0"/>
                    <w:kinsoku/>
                    <w:topLinePunct/>
                    <w:autoSpaceDE/>
                    <w:autoSpaceDN/>
                    <w:ind w:firstLine="0" w:firstLineChars="0"/>
                    <w:jc w:val="center"/>
                    <w:textAlignment w:val="auto"/>
                    <w:rPr>
                      <w:rFonts w:hint="default" w:ascii="Times New Roman" w:hAnsi="Times New Roman" w:eastAsia="宋体" w:cs="Times New Roman"/>
                      <w:b/>
                      <w:bCs w:val="0"/>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vertAlign w:val="baseline"/>
                      <w:lang w:val="en-US" w:eastAsia="zh-CN" w:bidi="ar-SA"/>
                      <w14:textFill>
                        <w14:solidFill>
                          <w14:schemeClr w14:val="tx1"/>
                        </w14:solidFill>
                      </w14:textFill>
                    </w:rPr>
                    <w:t>0.13</w:t>
                  </w:r>
                </w:p>
              </w:tc>
              <w:tc>
                <w:tcPr>
                  <w:tcW w:w="1059" w:type="dxa"/>
                  <w:vAlign w:val="center"/>
                </w:tcPr>
                <w:p w14:paraId="5627A6DF">
                  <w:pPr>
                    <w:pStyle w:val="41"/>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13.03</w:t>
                  </w:r>
                </w:p>
              </w:tc>
              <w:tc>
                <w:tcPr>
                  <w:tcW w:w="1663" w:type="dxa"/>
                  <w:vAlign w:val="center"/>
                </w:tcPr>
                <w:p w14:paraId="47FF0911">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120</w:t>
                  </w:r>
                </w:p>
              </w:tc>
              <w:tc>
                <w:tcPr>
                  <w:tcW w:w="827" w:type="dxa"/>
                  <w:vAlign w:val="center"/>
                </w:tcPr>
                <w:p w14:paraId="29F494D0">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3.5</w:t>
                  </w:r>
                </w:p>
              </w:tc>
              <w:tc>
                <w:tcPr>
                  <w:tcW w:w="1154" w:type="dxa"/>
                  <w:vAlign w:val="center"/>
                </w:tcPr>
                <w:p w14:paraId="3EEAE5F4">
                  <w:pPr>
                    <w:pStyle w:val="47"/>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spacing w:val="5"/>
                      <w:sz w:val="21"/>
                      <w:szCs w:val="21"/>
                    </w:rPr>
                    <w:t>达标</w:t>
                  </w:r>
                </w:p>
              </w:tc>
            </w:tr>
            <w:tr w14:paraId="0AE1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3F3071C">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eastAsia" w:ascii="Times New Roman" w:hAnsi="Times New Roman" w:eastAsia="宋体" w:cs="Times New Roman"/>
                      <w:position w:val="2"/>
                      <w:sz w:val="21"/>
                      <w:szCs w:val="21"/>
                      <w:lang w:eastAsia="zh-CN"/>
                    </w:rPr>
                  </w:pPr>
                  <w:r>
                    <w:rPr>
                      <w:rFonts w:hint="default" w:ascii="Times New Roman" w:hAnsi="Times New Roman" w:eastAsia="宋体" w:cs="Times New Roman"/>
                      <w:position w:val="2"/>
                      <w:sz w:val="21"/>
                      <w:szCs w:val="21"/>
                    </w:rPr>
                    <w:t>DA</w:t>
                  </w:r>
                  <w:r>
                    <w:rPr>
                      <w:rFonts w:hint="default" w:ascii="Times New Roman" w:hAnsi="Times New Roman" w:eastAsia="宋体" w:cs="Times New Roman"/>
                      <w:spacing w:val="8"/>
                      <w:position w:val="2"/>
                      <w:sz w:val="21"/>
                      <w:szCs w:val="21"/>
                    </w:rPr>
                    <w:t>00</w:t>
                  </w:r>
                  <w:r>
                    <w:rPr>
                      <w:rFonts w:hint="eastAsia" w:ascii="Times New Roman" w:hAnsi="Times New Roman" w:eastAsia="宋体" w:cs="Times New Roman"/>
                      <w:spacing w:val="8"/>
                      <w:position w:val="2"/>
                      <w:sz w:val="21"/>
                      <w:szCs w:val="21"/>
                      <w:lang w:val="en-US" w:eastAsia="zh-CN"/>
                    </w:rPr>
                    <w:t>2</w:t>
                  </w:r>
                </w:p>
              </w:tc>
              <w:tc>
                <w:tcPr>
                  <w:tcW w:w="1487" w:type="dxa"/>
                  <w:vAlign w:val="center"/>
                </w:tcPr>
                <w:p w14:paraId="497EB630">
                  <w:pPr>
                    <w:pStyle w:val="41"/>
                    <w:kinsoku/>
                    <w:topLinePunct/>
                    <w:autoSpaceDE/>
                    <w:autoSpaceDN/>
                    <w:ind w:firstLine="0" w:firstLineChars="0"/>
                    <w:textAlignment w:val="auto"/>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颗粒物</w:t>
                  </w:r>
                </w:p>
              </w:tc>
              <w:tc>
                <w:tcPr>
                  <w:tcW w:w="1041" w:type="dxa"/>
                  <w:vAlign w:val="center"/>
                </w:tcPr>
                <w:p w14:paraId="5E2238D7">
                  <w:pPr>
                    <w:pStyle w:val="41"/>
                    <w:widowControl w:val="0"/>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0.072</w:t>
                  </w:r>
                </w:p>
              </w:tc>
              <w:tc>
                <w:tcPr>
                  <w:tcW w:w="989" w:type="dxa"/>
                  <w:vAlign w:val="center"/>
                </w:tcPr>
                <w:p w14:paraId="7F401AFF">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0.04</w:t>
                  </w:r>
                </w:p>
              </w:tc>
              <w:tc>
                <w:tcPr>
                  <w:tcW w:w="1059" w:type="dxa"/>
                  <w:vAlign w:val="center"/>
                </w:tcPr>
                <w:p w14:paraId="4DD4AFB4">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13.33</w:t>
                  </w:r>
                </w:p>
              </w:tc>
              <w:tc>
                <w:tcPr>
                  <w:tcW w:w="1663" w:type="dxa"/>
                  <w:vAlign w:val="center"/>
                </w:tcPr>
                <w:p w14:paraId="3746A95B">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120</w:t>
                  </w:r>
                </w:p>
              </w:tc>
              <w:tc>
                <w:tcPr>
                  <w:tcW w:w="827" w:type="dxa"/>
                  <w:vAlign w:val="center"/>
                </w:tcPr>
                <w:p w14:paraId="5722391E">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3.5</w:t>
                  </w:r>
                </w:p>
              </w:tc>
              <w:tc>
                <w:tcPr>
                  <w:tcW w:w="1154" w:type="dxa"/>
                  <w:vAlign w:val="center"/>
                </w:tcPr>
                <w:p w14:paraId="1D30DB60">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达标</w:t>
                  </w:r>
                </w:p>
              </w:tc>
            </w:tr>
            <w:tr w14:paraId="3302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vAlign w:val="center"/>
                </w:tcPr>
                <w:p w14:paraId="1A653288">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position w:val="2"/>
                      <w:sz w:val="21"/>
                      <w:szCs w:val="21"/>
                    </w:rPr>
                  </w:pPr>
                  <w:r>
                    <w:rPr>
                      <w:rFonts w:hint="default" w:ascii="Times New Roman" w:hAnsi="Times New Roman" w:eastAsia="宋体" w:cs="Times New Roman"/>
                      <w:position w:val="2"/>
                      <w:sz w:val="21"/>
                      <w:szCs w:val="21"/>
                    </w:rPr>
                    <w:t>DA</w:t>
                  </w:r>
                  <w:r>
                    <w:rPr>
                      <w:rFonts w:hint="default" w:ascii="Times New Roman" w:hAnsi="Times New Roman" w:eastAsia="宋体" w:cs="Times New Roman"/>
                      <w:spacing w:val="8"/>
                      <w:position w:val="2"/>
                      <w:sz w:val="21"/>
                      <w:szCs w:val="21"/>
                    </w:rPr>
                    <w:t>00</w:t>
                  </w:r>
                  <w:r>
                    <w:rPr>
                      <w:rFonts w:hint="eastAsia" w:ascii="Times New Roman" w:hAnsi="Times New Roman" w:eastAsia="宋体" w:cs="Times New Roman"/>
                      <w:spacing w:val="8"/>
                      <w:position w:val="2"/>
                      <w:sz w:val="21"/>
                      <w:szCs w:val="21"/>
                      <w:lang w:val="en-US" w:eastAsia="zh-CN"/>
                    </w:rPr>
                    <w:t>3</w:t>
                  </w:r>
                </w:p>
              </w:tc>
              <w:tc>
                <w:tcPr>
                  <w:tcW w:w="1487" w:type="dxa"/>
                  <w:vAlign w:val="center"/>
                </w:tcPr>
                <w:p w14:paraId="5FD168CF">
                  <w:pPr>
                    <w:pStyle w:val="41"/>
                    <w:kinsoku/>
                    <w:topLinePunct/>
                    <w:autoSpaceDE/>
                    <w:autoSpaceDN/>
                    <w:ind w:firstLine="0" w:firstLineChars="0"/>
                    <w:textAlignment w:val="auto"/>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eastAsia="zh-CN"/>
                      <w14:textFill>
                        <w14:solidFill>
                          <w14:schemeClr w14:val="tx1"/>
                        </w14:solidFill>
                      </w14:textFill>
                    </w:rPr>
                    <w:t>非甲烷总烃</w:t>
                  </w:r>
                </w:p>
              </w:tc>
              <w:tc>
                <w:tcPr>
                  <w:tcW w:w="1041" w:type="dxa"/>
                  <w:vAlign w:val="center"/>
                </w:tcPr>
                <w:p w14:paraId="476CFCFA">
                  <w:pPr>
                    <w:pStyle w:val="41"/>
                    <w:widowControl w:val="0"/>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0.1352</w:t>
                  </w:r>
                </w:p>
              </w:tc>
              <w:tc>
                <w:tcPr>
                  <w:tcW w:w="989" w:type="dxa"/>
                  <w:vAlign w:val="center"/>
                </w:tcPr>
                <w:p w14:paraId="26A3981E">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0.075</w:t>
                  </w:r>
                </w:p>
              </w:tc>
              <w:tc>
                <w:tcPr>
                  <w:tcW w:w="1059" w:type="dxa"/>
                  <w:vAlign w:val="center"/>
                </w:tcPr>
                <w:p w14:paraId="64013FDC">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2.59</w:t>
                  </w:r>
                </w:p>
              </w:tc>
              <w:tc>
                <w:tcPr>
                  <w:tcW w:w="1663" w:type="dxa"/>
                  <w:vAlign w:val="center"/>
                </w:tcPr>
                <w:p w14:paraId="7115E822">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70</w:t>
                  </w:r>
                </w:p>
              </w:tc>
              <w:tc>
                <w:tcPr>
                  <w:tcW w:w="827" w:type="dxa"/>
                  <w:vAlign w:val="center"/>
                </w:tcPr>
                <w:p w14:paraId="0D6AFE88">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3.0</w:t>
                  </w:r>
                </w:p>
              </w:tc>
              <w:tc>
                <w:tcPr>
                  <w:tcW w:w="1154" w:type="dxa"/>
                  <w:vAlign w:val="center"/>
                </w:tcPr>
                <w:p w14:paraId="7A290213">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达标</w:t>
                  </w:r>
                </w:p>
              </w:tc>
            </w:tr>
            <w:tr w14:paraId="4CB5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14:paraId="784A8B7C">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position w:val="2"/>
                      <w:sz w:val="21"/>
                      <w:szCs w:val="21"/>
                    </w:rPr>
                  </w:pPr>
                </w:p>
              </w:tc>
              <w:tc>
                <w:tcPr>
                  <w:tcW w:w="1487" w:type="dxa"/>
                  <w:vAlign w:val="center"/>
                </w:tcPr>
                <w:p w14:paraId="4777A4A3">
                  <w:pPr>
                    <w:pStyle w:val="41"/>
                    <w:kinsoku/>
                    <w:topLinePunct/>
                    <w:autoSpaceDE/>
                    <w:autoSpaceDN/>
                    <w:ind w:firstLine="0" w:firstLineChars="0"/>
                    <w:textAlignment w:val="auto"/>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SO</w:t>
                  </w:r>
                  <w:r>
                    <w:rPr>
                      <w:rFonts w:hint="eastAsia" w:ascii="Times New Roman" w:hAnsi="Times New Roman" w:eastAsia="宋体"/>
                      <w:color w:val="000000" w:themeColor="text1"/>
                      <w:kern w:val="2"/>
                      <w:vertAlign w:val="subscript"/>
                      <w:lang w:val="en-US" w:eastAsia="zh-CN"/>
                      <w14:textFill>
                        <w14:solidFill>
                          <w14:schemeClr w14:val="tx1"/>
                        </w14:solidFill>
                      </w14:textFill>
                    </w:rPr>
                    <w:t>2</w:t>
                  </w:r>
                </w:p>
              </w:tc>
              <w:tc>
                <w:tcPr>
                  <w:tcW w:w="1041" w:type="dxa"/>
                  <w:vAlign w:val="center"/>
                </w:tcPr>
                <w:p w14:paraId="7F6B1664">
                  <w:pPr>
                    <w:pStyle w:val="41"/>
                    <w:widowControl w:val="0"/>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0.006</w:t>
                  </w:r>
                </w:p>
              </w:tc>
              <w:tc>
                <w:tcPr>
                  <w:tcW w:w="989" w:type="dxa"/>
                  <w:vAlign w:val="center"/>
                </w:tcPr>
                <w:p w14:paraId="52D242A7">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0.003</w:t>
                  </w:r>
                </w:p>
              </w:tc>
              <w:tc>
                <w:tcPr>
                  <w:tcW w:w="1059" w:type="dxa"/>
                  <w:vAlign w:val="center"/>
                </w:tcPr>
                <w:p w14:paraId="669A3C38">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0.115</w:t>
                  </w:r>
                </w:p>
              </w:tc>
              <w:tc>
                <w:tcPr>
                  <w:tcW w:w="1663" w:type="dxa"/>
                  <w:vAlign w:val="center"/>
                </w:tcPr>
                <w:p w14:paraId="3FC83C1C">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200</w:t>
                  </w:r>
                </w:p>
              </w:tc>
              <w:tc>
                <w:tcPr>
                  <w:tcW w:w="827" w:type="dxa"/>
                  <w:vAlign w:val="center"/>
                </w:tcPr>
                <w:p w14:paraId="095702BF">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w:t>
                  </w:r>
                </w:p>
              </w:tc>
              <w:tc>
                <w:tcPr>
                  <w:tcW w:w="1154" w:type="dxa"/>
                  <w:vAlign w:val="center"/>
                </w:tcPr>
                <w:p w14:paraId="3428A5E0">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达标</w:t>
                  </w:r>
                </w:p>
              </w:tc>
            </w:tr>
            <w:tr w14:paraId="79C8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14:paraId="3959A8D6">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position w:val="2"/>
                      <w:sz w:val="21"/>
                      <w:szCs w:val="21"/>
                    </w:rPr>
                  </w:pPr>
                </w:p>
              </w:tc>
              <w:tc>
                <w:tcPr>
                  <w:tcW w:w="1487" w:type="dxa"/>
                  <w:vAlign w:val="center"/>
                </w:tcPr>
                <w:p w14:paraId="112E9AD7">
                  <w:pPr>
                    <w:pStyle w:val="41"/>
                    <w:kinsoku/>
                    <w:topLinePunct/>
                    <w:autoSpaceDE/>
                    <w:autoSpaceDN/>
                    <w:ind w:firstLine="0" w:firstLineChars="0"/>
                    <w:textAlignment w:val="auto"/>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NO</w:t>
                  </w:r>
                  <w:r>
                    <w:rPr>
                      <w:rFonts w:hint="eastAsia" w:ascii="Times New Roman" w:hAnsi="Times New Roman" w:eastAsia="宋体"/>
                      <w:color w:val="000000" w:themeColor="text1"/>
                      <w:kern w:val="2"/>
                      <w:vertAlign w:val="subscript"/>
                      <w:lang w:val="en-US" w:eastAsia="zh-CN"/>
                      <w14:textFill>
                        <w14:solidFill>
                          <w14:schemeClr w14:val="tx1"/>
                        </w14:solidFill>
                      </w14:textFill>
                    </w:rPr>
                    <w:t>X</w:t>
                  </w:r>
                </w:p>
              </w:tc>
              <w:tc>
                <w:tcPr>
                  <w:tcW w:w="1041" w:type="dxa"/>
                  <w:vAlign w:val="center"/>
                </w:tcPr>
                <w:p w14:paraId="43F95D4F">
                  <w:pPr>
                    <w:pStyle w:val="41"/>
                    <w:widowControl w:val="0"/>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0.009</w:t>
                  </w:r>
                </w:p>
              </w:tc>
              <w:tc>
                <w:tcPr>
                  <w:tcW w:w="989" w:type="dxa"/>
                  <w:vAlign w:val="center"/>
                </w:tcPr>
                <w:p w14:paraId="00B6E012">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0.005</w:t>
                  </w:r>
                </w:p>
              </w:tc>
              <w:tc>
                <w:tcPr>
                  <w:tcW w:w="1059" w:type="dxa"/>
                  <w:vAlign w:val="center"/>
                </w:tcPr>
                <w:p w14:paraId="74C723DB">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0.172</w:t>
                  </w:r>
                </w:p>
              </w:tc>
              <w:tc>
                <w:tcPr>
                  <w:tcW w:w="1663" w:type="dxa"/>
                  <w:vAlign w:val="center"/>
                </w:tcPr>
                <w:p w14:paraId="05E32AC3">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300</w:t>
                  </w:r>
                </w:p>
              </w:tc>
              <w:tc>
                <w:tcPr>
                  <w:tcW w:w="827" w:type="dxa"/>
                  <w:vAlign w:val="center"/>
                </w:tcPr>
                <w:p w14:paraId="1D80A50F">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w:t>
                  </w:r>
                </w:p>
              </w:tc>
              <w:tc>
                <w:tcPr>
                  <w:tcW w:w="1154" w:type="dxa"/>
                  <w:vAlign w:val="center"/>
                </w:tcPr>
                <w:p w14:paraId="767EC092">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达标</w:t>
                  </w:r>
                </w:p>
              </w:tc>
            </w:tr>
            <w:tr w14:paraId="79C0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14:paraId="738FFAF6">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position w:val="2"/>
                      <w:sz w:val="21"/>
                      <w:szCs w:val="21"/>
                    </w:rPr>
                  </w:pPr>
                </w:p>
              </w:tc>
              <w:tc>
                <w:tcPr>
                  <w:tcW w:w="1487" w:type="dxa"/>
                  <w:vAlign w:val="center"/>
                </w:tcPr>
                <w:p w14:paraId="20F39466">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颗粒物</w:t>
                  </w:r>
                </w:p>
              </w:tc>
              <w:tc>
                <w:tcPr>
                  <w:tcW w:w="1041" w:type="dxa"/>
                  <w:vAlign w:val="center"/>
                </w:tcPr>
                <w:p w14:paraId="34BF657C">
                  <w:pPr>
                    <w:pStyle w:val="41"/>
                    <w:widowControl w:val="0"/>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0.0033</w:t>
                  </w:r>
                </w:p>
              </w:tc>
              <w:tc>
                <w:tcPr>
                  <w:tcW w:w="989" w:type="dxa"/>
                  <w:vAlign w:val="center"/>
                </w:tcPr>
                <w:p w14:paraId="5068F58D">
                  <w:pPr>
                    <w:pStyle w:val="41"/>
                    <w:kinsoku/>
                    <w:topLinePunct/>
                    <w:autoSpaceDE/>
                    <w:autoSpaceDN/>
                    <w:ind w:firstLine="0" w:firstLineChars="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0.002</w:t>
                  </w:r>
                </w:p>
              </w:tc>
              <w:tc>
                <w:tcPr>
                  <w:tcW w:w="1059" w:type="dxa"/>
                  <w:vAlign w:val="center"/>
                </w:tcPr>
                <w:p w14:paraId="61795A44">
                  <w:pPr>
                    <w:pStyle w:val="41"/>
                    <w:kinsoku/>
                    <w:topLinePunct/>
                    <w:autoSpaceDE/>
                    <w:autoSpaceDN/>
                    <w:ind w:firstLine="0" w:firstLineChars="0"/>
                    <w:textAlignment w:val="auto"/>
                    <w:rPr>
                      <w:rFonts w:hint="default"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0.063</w:t>
                  </w:r>
                </w:p>
              </w:tc>
              <w:tc>
                <w:tcPr>
                  <w:tcW w:w="1663" w:type="dxa"/>
                  <w:vAlign w:val="center"/>
                </w:tcPr>
                <w:p w14:paraId="5C68FF29">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120</w:t>
                  </w:r>
                </w:p>
              </w:tc>
              <w:tc>
                <w:tcPr>
                  <w:tcW w:w="827" w:type="dxa"/>
                  <w:vAlign w:val="center"/>
                </w:tcPr>
                <w:p w14:paraId="0434DDE4">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3.5</w:t>
                  </w:r>
                </w:p>
              </w:tc>
              <w:tc>
                <w:tcPr>
                  <w:tcW w:w="1154" w:type="dxa"/>
                  <w:vAlign w:val="center"/>
                </w:tcPr>
                <w:p w14:paraId="529EDBF6">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达标</w:t>
                  </w:r>
                </w:p>
              </w:tc>
            </w:tr>
            <w:tr w14:paraId="7DE4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954764E">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position w:val="2"/>
                      <w:sz w:val="21"/>
                      <w:szCs w:val="21"/>
                    </w:rPr>
                  </w:pPr>
                  <w:r>
                    <w:rPr>
                      <w:rFonts w:hint="default" w:ascii="Times New Roman" w:hAnsi="Times New Roman" w:eastAsia="宋体" w:cs="Times New Roman"/>
                      <w:position w:val="2"/>
                      <w:sz w:val="21"/>
                      <w:szCs w:val="21"/>
                    </w:rPr>
                    <w:t>DA</w:t>
                  </w:r>
                  <w:r>
                    <w:rPr>
                      <w:rFonts w:hint="default" w:ascii="Times New Roman" w:hAnsi="Times New Roman" w:eastAsia="宋体" w:cs="Times New Roman"/>
                      <w:spacing w:val="8"/>
                      <w:position w:val="2"/>
                      <w:sz w:val="21"/>
                      <w:szCs w:val="21"/>
                    </w:rPr>
                    <w:t>00</w:t>
                  </w:r>
                  <w:r>
                    <w:rPr>
                      <w:rFonts w:hint="eastAsia" w:ascii="Times New Roman" w:hAnsi="Times New Roman" w:eastAsia="宋体" w:cs="Times New Roman"/>
                      <w:spacing w:val="8"/>
                      <w:position w:val="2"/>
                      <w:sz w:val="21"/>
                      <w:szCs w:val="21"/>
                      <w:lang w:val="en-US" w:eastAsia="zh-CN"/>
                    </w:rPr>
                    <w:t>4</w:t>
                  </w:r>
                </w:p>
              </w:tc>
              <w:tc>
                <w:tcPr>
                  <w:tcW w:w="1487" w:type="dxa"/>
                  <w:vAlign w:val="center"/>
                </w:tcPr>
                <w:p w14:paraId="15F73311">
                  <w:pPr>
                    <w:pStyle w:val="47"/>
                    <w:widowControl w:val="0"/>
                    <w:spacing w:line="240" w:lineRule="auto"/>
                    <w:ind w:left="0" w:leftChars="0" w:right="0" w:rightChars="0" w:firstLine="0" w:firstLineChars="0"/>
                    <w:jc w:val="cente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napToGrid w:val="0"/>
                      <w:color w:val="000000" w:themeColor="text1"/>
                      <w:kern w:val="2"/>
                      <w:sz w:val="21"/>
                      <w:szCs w:val="21"/>
                      <w:vertAlign w:val="baseline"/>
                      <w:lang w:val="en-US" w:eastAsia="zh-CN" w:bidi="ar-SA"/>
                      <w14:textFill>
                        <w14:solidFill>
                          <w14:schemeClr w14:val="tx1"/>
                        </w14:solidFill>
                      </w14:textFill>
                    </w:rPr>
                    <w:t>硫酸雾</w:t>
                  </w:r>
                </w:p>
              </w:tc>
              <w:tc>
                <w:tcPr>
                  <w:tcW w:w="1041" w:type="dxa"/>
                  <w:vAlign w:val="center"/>
                </w:tcPr>
                <w:p w14:paraId="4671B414">
                  <w:pPr>
                    <w:pStyle w:val="41"/>
                    <w:widowControl w:val="0"/>
                    <w:kinsoku/>
                    <w:topLinePunct/>
                    <w:autoSpaceDE/>
                    <w:autoSpaceDN/>
                    <w:ind w:firstLine="0" w:firstLineChars="0"/>
                    <w:textAlignment w:val="auto"/>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0.218</w:t>
                  </w:r>
                </w:p>
              </w:tc>
              <w:tc>
                <w:tcPr>
                  <w:tcW w:w="989" w:type="dxa"/>
                  <w:vAlign w:val="center"/>
                </w:tcPr>
                <w:p w14:paraId="0BE5B507">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0.121</w:t>
                  </w:r>
                </w:p>
              </w:tc>
              <w:tc>
                <w:tcPr>
                  <w:tcW w:w="1059" w:type="dxa"/>
                  <w:vAlign w:val="center"/>
                </w:tcPr>
                <w:p w14:paraId="167F56B4">
                  <w:pPr>
                    <w:pStyle w:val="41"/>
                    <w:kinsoku/>
                    <w:topLinePunct/>
                    <w:autoSpaceDE/>
                    <w:autoSpaceDN/>
                    <w:ind w:firstLine="0" w:firstLineChars="0"/>
                    <w:textAlignment w:val="auto"/>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kern w:val="2"/>
                      <w:lang w:val="en-US" w:eastAsia="zh-CN"/>
                      <w14:textFill>
                        <w14:solidFill>
                          <w14:schemeClr w14:val="tx1"/>
                        </w14:solidFill>
                      </w14:textFill>
                    </w:rPr>
                    <w:t>3.46</w:t>
                  </w:r>
                </w:p>
              </w:tc>
              <w:tc>
                <w:tcPr>
                  <w:tcW w:w="1663" w:type="dxa"/>
                  <w:vAlign w:val="center"/>
                </w:tcPr>
                <w:p w14:paraId="2CD11A13">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45</w:t>
                  </w:r>
                </w:p>
              </w:tc>
              <w:tc>
                <w:tcPr>
                  <w:tcW w:w="827" w:type="dxa"/>
                  <w:vAlign w:val="center"/>
                </w:tcPr>
                <w:p w14:paraId="6EC3CF65">
                  <w:pPr>
                    <w:keepNext w:val="0"/>
                    <w:keepLines w:val="0"/>
                    <w:pageBreakBefore w:val="0"/>
                    <w:widowControl/>
                    <w:wordWrap/>
                    <w:overflowPunct/>
                    <w:topLinePunct w:val="0"/>
                    <w:autoSpaceDE w:val="0"/>
                    <w:autoSpaceDN w:val="0"/>
                    <w:bidi w:val="0"/>
                    <w:spacing w:line="240" w:lineRule="auto"/>
                    <w:ind w:left="0" w:leftChars="0" w:right="0" w:firstLine="0"/>
                    <w:jc w:val="center"/>
                    <w:textAlignment w:val="baseline"/>
                    <w:rPr>
                      <w:rFonts w:hint="default"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2"/>
                      <w:sz w:val="21"/>
                      <w:szCs w:val="21"/>
                      <w:vertAlign w:val="baseline"/>
                      <w:lang w:val="en-US" w:eastAsia="zh-CN" w:bidi="ar-SA"/>
                      <w14:textFill>
                        <w14:solidFill>
                          <w14:schemeClr w14:val="tx1"/>
                        </w14:solidFill>
                      </w14:textFill>
                    </w:rPr>
                    <w:t>1.5</w:t>
                  </w:r>
                </w:p>
              </w:tc>
              <w:tc>
                <w:tcPr>
                  <w:tcW w:w="1154" w:type="dxa"/>
                  <w:vAlign w:val="center"/>
                </w:tcPr>
                <w:p w14:paraId="1FE3F863">
                  <w:pPr>
                    <w:keepNext w:val="0"/>
                    <w:keepLines w:val="0"/>
                    <w:pageBreakBefore w:val="0"/>
                    <w:widowControl/>
                    <w:wordWrap/>
                    <w:overflowPunct/>
                    <w:topLinePunct w:val="0"/>
                    <w:autoSpaceDE w:val="0"/>
                    <w:autoSpaceDN w:val="0"/>
                    <w:bidi w:val="0"/>
                    <w:spacing w:line="240" w:lineRule="auto"/>
                    <w:ind w:left="0" w:leftChars="0" w:right="0" w:rightChars="0" w:firstLine="0" w:firstLineChars="0"/>
                    <w:jc w:val="center"/>
                    <w:textAlignment w:val="baseline"/>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达标</w:t>
                  </w:r>
                </w:p>
              </w:tc>
            </w:tr>
          </w:tbl>
          <w:p w14:paraId="7BCE02AE">
            <w:pPr>
              <w:pStyle w:val="33"/>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cs="Times New Roman"/>
                <w:b/>
                <w:bCs/>
                <w:color w:val="000000" w:themeColor="text1"/>
                <w:kern w:val="2"/>
                <w:szCs w:val="24"/>
                <w:lang w:eastAsia="zh-CN"/>
                <w14:textFill>
                  <w14:solidFill>
                    <w14:schemeClr w14:val="tx1"/>
                  </w14:solidFill>
                </w14:textFill>
              </w:rPr>
            </w:pPr>
            <w:r>
              <w:rPr>
                <w:rFonts w:hint="eastAsia" w:ascii="Times New Roman" w:hAnsi="Times New Roman" w:cs="Times New Roman"/>
                <w:b/>
                <w:bCs/>
                <w:color w:val="000000" w:themeColor="text1"/>
                <w:kern w:val="2"/>
                <w:szCs w:val="24"/>
                <w:lang w:val="en-US" w:eastAsia="zh-CN"/>
                <w14:textFill>
                  <w14:solidFill>
                    <w14:schemeClr w14:val="tx1"/>
                  </w14:solidFill>
                </w14:textFill>
              </w:rPr>
              <w:t>5</w:t>
            </w:r>
            <w:r>
              <w:rPr>
                <w:rFonts w:hint="eastAsia" w:ascii="Times New Roman" w:hAnsi="Times New Roman" w:cs="Times New Roman"/>
                <w:b/>
                <w:bCs/>
                <w:color w:val="000000" w:themeColor="text1"/>
                <w:kern w:val="2"/>
                <w:szCs w:val="24"/>
                <w:lang w:eastAsia="zh-CN"/>
                <w14:textFill>
                  <w14:solidFill>
                    <w14:schemeClr w14:val="tx1"/>
                  </w14:solidFill>
                </w14:textFill>
              </w:rPr>
              <w:t>、无组织废气管控措施</w:t>
            </w:r>
          </w:p>
          <w:p w14:paraId="2949C28D">
            <w:pPr>
              <w:pStyle w:val="52"/>
              <w:widowControl w:val="0"/>
              <w:kinsoku/>
              <w:autoSpaceDE/>
              <w:autoSpaceDN/>
              <w:adjustRightInd/>
              <w:snapToGrid/>
              <w:spacing w:line="360" w:lineRule="auto"/>
              <w:ind w:firstLine="480" w:firstLineChars="200"/>
              <w:jc w:val="both"/>
              <w:textAlignment w:val="auto"/>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eastAsia="宋体" w:cs="Times New Roman"/>
                <w:bCs/>
                <w:color w:val="000000" w:themeColor="text1"/>
                <w:kern w:val="2"/>
                <w:sz w:val="24"/>
                <w:szCs w:val="24"/>
                <w:lang w:eastAsia="zh-CN"/>
                <w14:textFill>
                  <w14:solidFill>
                    <w14:schemeClr w14:val="tx1"/>
                  </w14:solidFill>
                </w14:textFill>
              </w:rPr>
              <w:t>本项目无组织废气主要为各生产工序未能收集的污染物，为了减小本项目无组织有机废气、粉尘对周边环境的影响，对照</w:t>
            </w:r>
            <w:r>
              <w:rPr>
                <w:rFonts w:ascii="Times New Roman" w:hAnsi="Times New Roman" w:eastAsia="宋体" w:cs="Times New Roman"/>
                <w:color w:val="000000" w:themeColor="text1"/>
                <w:sz w:val="24"/>
                <w:szCs w:val="24"/>
                <w:lang w:eastAsia="zh-CN"/>
                <w14:textFill>
                  <w14:solidFill>
                    <w14:schemeClr w14:val="tx1"/>
                  </w14:solidFill>
                </w14:textFill>
              </w:rPr>
              <w:t>《大气污染物综合排放标准》（GB16297-1996）</w:t>
            </w:r>
            <w:r>
              <w:rPr>
                <w:rFonts w:ascii="Times New Roman" w:hAnsi="Times New Roman" w:cs="Times New Roman"/>
                <w:color w:val="000000" w:themeColor="text1"/>
                <w:sz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安徽省</w:t>
            </w:r>
            <w:r>
              <w:rPr>
                <w:rFonts w:hint="default" w:ascii="Times New Roman" w:hAnsi="Times New Roman" w:eastAsia="宋体" w:cs="Times New Roman"/>
                <w:color w:val="auto"/>
                <w:sz w:val="24"/>
              </w:rPr>
              <w:t>《固定源挥发性有机物综合排放标准第6部分：其他行业》（DB344812.6-2024）</w:t>
            </w:r>
            <w:r>
              <w:rPr>
                <w:rFonts w:ascii="Times New Roman" w:hAnsi="Times New Roman" w:cs="Times New Roman"/>
                <w:color w:val="000000" w:themeColor="text1"/>
                <w:sz w:val="24"/>
                <w:lang w:eastAsia="zh-CN"/>
                <w14:textFill>
                  <w14:solidFill>
                    <w14:schemeClr w14:val="tx1"/>
                  </w14:solidFill>
                </w14:textFill>
              </w:rPr>
              <w:t>等相关文件规定，项目采取以下防治措施从而减少对周围大气环境的不利影响：</w:t>
            </w:r>
          </w:p>
          <w:p w14:paraId="0DB96016">
            <w:pPr>
              <w:pStyle w:val="52"/>
              <w:widowControl w:val="0"/>
              <w:numPr>
                <w:ilvl w:val="0"/>
                <w:numId w:val="6"/>
              </w:numPr>
              <w:kinsoku/>
              <w:autoSpaceDE/>
              <w:autoSpaceDN/>
              <w:adjustRightInd/>
              <w:snapToGrid/>
              <w:spacing w:line="360" w:lineRule="auto"/>
              <w:ind w:firstLine="480" w:firstLineChars="200"/>
              <w:jc w:val="both"/>
              <w:textAlignment w:val="auto"/>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lang w:eastAsia="zh-CN"/>
                <w14:textFill>
                  <w14:solidFill>
                    <w14:schemeClr w14:val="tx1"/>
                  </w14:solidFill>
                </w14:textFill>
              </w:rPr>
              <w:t>含VOCs的固体废物采取加盖、封装等方式进行密闭，使用过程随取随开，用后及时密闭。日常确保贮存含VOCs原辅材料的容器材质结实、耐用、无破损、无泄漏，封闭良好；</w:t>
            </w:r>
          </w:p>
          <w:p w14:paraId="1BA7DCB3">
            <w:pPr>
              <w:pStyle w:val="52"/>
              <w:widowControl w:val="0"/>
              <w:numPr>
                <w:ilvl w:val="0"/>
                <w:numId w:val="6"/>
              </w:numPr>
              <w:kinsoku/>
              <w:autoSpaceDE/>
              <w:autoSpaceDN/>
              <w:adjustRightInd/>
              <w:snapToGrid/>
              <w:spacing w:line="360" w:lineRule="auto"/>
              <w:ind w:firstLine="480" w:firstLineChars="200"/>
              <w:jc w:val="both"/>
              <w:textAlignment w:val="auto"/>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lang w:eastAsia="zh-CN"/>
                <w14:textFill>
                  <w14:solidFill>
                    <w14:schemeClr w14:val="tx1"/>
                  </w14:solidFill>
                </w14:textFill>
              </w:rPr>
              <w:t>加强有组织废气的收集措施，废气收集系统的管道应密闭完好，加强废气收集可从源头上有效减少无组织废气的产生量；</w:t>
            </w:r>
          </w:p>
          <w:p w14:paraId="11CA750E">
            <w:pPr>
              <w:pStyle w:val="52"/>
              <w:widowControl w:val="0"/>
              <w:numPr>
                <w:ilvl w:val="0"/>
                <w:numId w:val="6"/>
              </w:numPr>
              <w:kinsoku/>
              <w:autoSpaceDE/>
              <w:autoSpaceDN/>
              <w:adjustRightInd/>
              <w:snapToGrid/>
              <w:spacing w:line="360" w:lineRule="auto"/>
              <w:ind w:firstLine="480" w:firstLineChars="200"/>
              <w:jc w:val="both"/>
              <w:textAlignment w:val="auto"/>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lang w:eastAsia="zh-CN"/>
                <w14:textFill>
                  <w14:solidFill>
                    <w14:schemeClr w14:val="tx1"/>
                  </w14:solidFill>
                </w14:textFill>
              </w:rPr>
              <w:t>车间设置通风设备，在符合安全生产、职业卫生相关规定的前提下，加强车间通风，减小车间无组织废气对车间和周围环境的影响；</w:t>
            </w:r>
          </w:p>
          <w:p w14:paraId="1EF94C24">
            <w:pPr>
              <w:pStyle w:val="52"/>
              <w:widowControl w:val="0"/>
              <w:numPr>
                <w:ilvl w:val="0"/>
                <w:numId w:val="6"/>
              </w:numPr>
              <w:kinsoku/>
              <w:autoSpaceDE/>
              <w:autoSpaceDN/>
              <w:adjustRightInd/>
              <w:snapToGrid/>
              <w:spacing w:line="360" w:lineRule="auto"/>
              <w:ind w:firstLine="480" w:firstLineChars="200"/>
              <w:jc w:val="both"/>
              <w:textAlignment w:val="auto"/>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lang w:eastAsia="zh-CN"/>
                <w14:textFill>
                  <w14:solidFill>
                    <w14:schemeClr w14:val="tx1"/>
                  </w14:solidFill>
                </w14:textFill>
              </w:rPr>
              <w:t>废气收集处理系统与生产工艺设备同步运行，当废气收集处理系统发生故障或检修时，对应的生产工艺设备应停止运行，检修完毕后同步使用。</w:t>
            </w:r>
          </w:p>
          <w:p w14:paraId="5CEAC171">
            <w:pPr>
              <w:pStyle w:val="52"/>
              <w:widowControl w:val="0"/>
              <w:numPr>
                <w:ilvl w:val="0"/>
                <w:numId w:val="6"/>
              </w:numPr>
              <w:kinsoku/>
              <w:autoSpaceDE/>
              <w:autoSpaceDN/>
              <w:adjustRightInd/>
              <w:snapToGrid/>
              <w:spacing w:line="360" w:lineRule="auto"/>
              <w:ind w:firstLine="480" w:firstLineChars="200"/>
              <w:jc w:val="both"/>
              <w:textAlignment w:val="auto"/>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lang w:eastAsia="zh-CN"/>
                <w14:textFill>
                  <w14:solidFill>
                    <w14:schemeClr w14:val="tx1"/>
                  </w14:solidFill>
                </w14:textFill>
              </w:rPr>
              <w:t>植物对大气污染物有一定的净化作用，加强厂区绿化，减少对周围环境的影响</w:t>
            </w:r>
          </w:p>
          <w:p w14:paraId="350BE704">
            <w:pPr>
              <w:kinsoku/>
              <w:adjustRightInd/>
              <w:snapToGrid/>
              <w:spacing w:line="360" w:lineRule="auto"/>
              <w:rPr>
                <w:rFonts w:ascii="Times New Roman" w:hAnsi="Times New Roman" w:eastAsia="宋体" w:cs="Times New Roman"/>
                <w:b/>
                <w:bCs/>
                <w:color w:val="000000" w:themeColor="text1"/>
                <w:sz w:val="24"/>
                <w:lang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6</w:t>
            </w:r>
            <w:r>
              <w:rPr>
                <w:rFonts w:ascii="Times New Roman" w:hAnsi="Times New Roman" w:eastAsia="宋体" w:cs="Times New Roman"/>
                <w:b/>
                <w:bCs/>
                <w:color w:val="000000" w:themeColor="text1"/>
                <w:sz w:val="24"/>
                <w:lang w:eastAsia="zh-CN"/>
                <w14:textFill>
                  <w14:solidFill>
                    <w14:schemeClr w14:val="tx1"/>
                  </w14:solidFill>
                </w14:textFill>
              </w:rPr>
              <w:t>、非正常工况</w:t>
            </w:r>
          </w:p>
          <w:p w14:paraId="24AA4B90">
            <w:pPr>
              <w:kinsoku/>
              <w:adjustRightInd/>
              <w:snapToGrid/>
              <w:spacing w:line="360" w:lineRule="auto"/>
              <w:ind w:firstLine="480" w:firstLineChars="200"/>
              <w:rPr>
                <w:rFonts w:ascii="Times New Roman" w:hAnsi="Times New Roman" w:eastAsia="宋体" w:cs="Times New Roman"/>
                <w:b/>
                <w:bCs/>
                <w:sz w:val="24"/>
                <w:lang w:eastAsia="zh-CN"/>
              </w:rPr>
            </w:pPr>
            <w:r>
              <w:rPr>
                <w:rFonts w:ascii="Times New Roman" w:hAnsi="Times New Roman" w:eastAsia="宋体" w:cs="Times New Roman"/>
                <w:sz w:val="24"/>
                <w:lang w:eastAsia="zh-CN" w:bidi="ar"/>
              </w:rPr>
              <w:t>非正常排放是指生产过程中开停车（工、炉）、设备检修、工艺设备运转异常等非正常工况下的污染物排放，以及污染物排放控制措施达不到应有效率等情况下的排放。项目废气非正常工况排放主要为</w:t>
            </w:r>
            <w:r>
              <w:rPr>
                <w:rFonts w:hint="eastAsia" w:ascii="Times New Roman" w:hAnsi="Times New Roman" w:eastAsia="宋体" w:cs="Times New Roman"/>
                <w:sz w:val="24"/>
                <w:lang w:eastAsia="zh-CN" w:bidi="ar"/>
              </w:rPr>
              <w:t>布袋</w:t>
            </w:r>
            <w:r>
              <w:rPr>
                <w:rFonts w:ascii="Times New Roman" w:hAnsi="Times New Roman" w:eastAsia="宋体" w:cs="Times New Roman"/>
                <w:sz w:val="24"/>
                <w:lang w:eastAsia="zh-CN" w:bidi="ar"/>
              </w:rPr>
              <w:t>除尘器</w:t>
            </w:r>
            <w:r>
              <w:rPr>
                <w:rFonts w:hint="eastAsia" w:ascii="Times New Roman" w:hAnsi="Times New Roman" w:eastAsia="宋体" w:cs="Times New Roman"/>
                <w:sz w:val="24"/>
                <w:lang w:eastAsia="zh-CN" w:bidi="ar"/>
              </w:rPr>
              <w:t>、</w:t>
            </w:r>
            <w:r>
              <w:rPr>
                <w:rFonts w:ascii="Times New Roman" w:hAnsi="Times New Roman" w:eastAsia="宋体" w:cs="Times New Roman"/>
                <w:sz w:val="24"/>
                <w:lang w:eastAsia="zh-CN" w:bidi="ar"/>
              </w:rPr>
              <w:t>活性炭吸附</w:t>
            </w:r>
            <w:r>
              <w:rPr>
                <w:rFonts w:hint="eastAsia" w:ascii="Times New Roman" w:hAnsi="Times New Roman" w:eastAsia="宋体" w:cs="Times New Roman"/>
                <w:sz w:val="24"/>
                <w:lang w:eastAsia="zh-CN" w:bidi="ar"/>
              </w:rPr>
              <w:t>装置及碱液喷淋装置</w:t>
            </w:r>
            <w:r>
              <w:rPr>
                <w:rFonts w:ascii="Times New Roman" w:hAnsi="Times New Roman" w:eastAsia="宋体" w:cs="Times New Roman"/>
                <w:sz w:val="24"/>
                <w:lang w:eastAsia="zh-CN" w:bidi="ar"/>
              </w:rPr>
              <w:t>发生故障时，废气处理效率仅为</w:t>
            </w:r>
            <w:r>
              <w:rPr>
                <w:rFonts w:hint="eastAsia" w:ascii="Times New Roman" w:hAnsi="Times New Roman" w:eastAsia="宋体" w:cs="Times New Roman"/>
                <w:sz w:val="24"/>
                <w:lang w:eastAsia="zh-CN" w:bidi="ar"/>
              </w:rPr>
              <w:t>50</w:t>
            </w:r>
            <w:r>
              <w:rPr>
                <w:rFonts w:ascii="Times New Roman" w:hAnsi="Times New Roman" w:eastAsia="宋体" w:cs="Times New Roman"/>
                <w:sz w:val="24"/>
                <w:lang w:eastAsia="zh-CN" w:bidi="ar"/>
              </w:rPr>
              <w:t>%的状态进行估算，但废气收集系统可以正常运行，废气通过排气筒排放等情况</w:t>
            </w:r>
            <w:r>
              <w:rPr>
                <w:rFonts w:hint="eastAsia" w:cs="Times New Roman"/>
                <w:sz w:val="24"/>
                <w:lang w:eastAsia="zh-CN" w:bidi="ar"/>
              </w:rPr>
              <w:t>。</w:t>
            </w:r>
            <w:r>
              <w:rPr>
                <w:rFonts w:ascii="Times New Roman" w:hAnsi="Times New Roman" w:eastAsia="宋体" w:cs="Times New Roman"/>
                <w:sz w:val="24"/>
                <w:lang w:eastAsia="zh-CN" w:bidi="ar"/>
              </w:rPr>
              <w:t>废气处理设施出现故障不能正常运行时，应立即停产进行维修，避免对周围环境造成污染。废气非正常工况源强情况见下表。</w:t>
            </w:r>
          </w:p>
          <w:p w14:paraId="34219540">
            <w:pPr>
              <w:kinsoku/>
              <w:adjustRightInd/>
              <w:snapToGrid/>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表4-</w:t>
            </w:r>
            <w:r>
              <w:rPr>
                <w:rFonts w:hint="eastAsia" w:ascii="Times New Roman" w:hAnsi="Times New Roman" w:eastAsia="宋体" w:cs="Times New Roman"/>
                <w:b/>
                <w:bCs/>
                <w:sz w:val="24"/>
                <w:lang w:val="en-US" w:eastAsia="zh-CN"/>
              </w:rPr>
              <w:t>6</w:t>
            </w:r>
            <w:r>
              <w:rPr>
                <w:rFonts w:ascii="Times New Roman" w:hAnsi="Times New Roman" w:eastAsia="宋体" w:cs="Times New Roman"/>
                <w:b/>
                <w:bCs/>
                <w:sz w:val="24"/>
                <w:lang w:eastAsia="zh-CN"/>
              </w:rPr>
              <w:t xml:space="preserve"> 非正常工况污染物排放情况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682"/>
              <w:gridCol w:w="926"/>
              <w:gridCol w:w="1059"/>
              <w:gridCol w:w="926"/>
              <w:gridCol w:w="1092"/>
              <w:gridCol w:w="2619"/>
            </w:tblGrid>
            <w:tr w14:paraId="4F19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4" w:type="dxa"/>
                  <w:vMerge w:val="restart"/>
                  <w:vAlign w:val="center"/>
                </w:tcPr>
                <w:p w14:paraId="07678C19">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污染源</w:t>
                  </w:r>
                </w:p>
              </w:tc>
              <w:tc>
                <w:tcPr>
                  <w:tcW w:w="1682" w:type="dxa"/>
                  <w:vMerge w:val="restart"/>
                  <w:vAlign w:val="center"/>
                </w:tcPr>
                <w:p w14:paraId="2A765860">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w:t>
                  </w:r>
                </w:p>
              </w:tc>
              <w:tc>
                <w:tcPr>
                  <w:tcW w:w="1985" w:type="dxa"/>
                  <w:gridSpan w:val="2"/>
                  <w:vAlign w:val="center"/>
                </w:tcPr>
                <w:p w14:paraId="192924AF">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产生情况</w:t>
                  </w:r>
                </w:p>
              </w:tc>
              <w:tc>
                <w:tcPr>
                  <w:tcW w:w="926" w:type="dxa"/>
                  <w:vMerge w:val="restart"/>
                  <w:vAlign w:val="center"/>
                </w:tcPr>
                <w:p w14:paraId="5A70FDD4">
                  <w:pPr>
                    <w:pStyle w:val="60"/>
                    <w:kinsoku/>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持续时间h</w:t>
                  </w:r>
                </w:p>
              </w:tc>
              <w:tc>
                <w:tcPr>
                  <w:tcW w:w="1092" w:type="dxa"/>
                  <w:vMerge w:val="restart"/>
                  <w:vAlign w:val="center"/>
                </w:tcPr>
                <w:p w14:paraId="3BC686F5">
                  <w:pPr>
                    <w:pStyle w:val="60"/>
                    <w:kinsoku/>
                    <w:rPr>
                      <w:rFonts w:ascii="Times New Roman" w:hAnsi="Times New Roman" w:eastAsia="宋体" w:cs="Times New Roman"/>
                      <w:b w:val="0"/>
                      <w:bCs w:val="0"/>
                      <w:color w:val="000000" w:themeColor="text1"/>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发生频次</w:t>
                  </w:r>
                </w:p>
              </w:tc>
              <w:tc>
                <w:tcPr>
                  <w:tcW w:w="2619" w:type="dxa"/>
                  <w:vMerge w:val="restart"/>
                  <w:vAlign w:val="center"/>
                </w:tcPr>
                <w:p w14:paraId="4A342FC8">
                  <w:pPr>
                    <w:pStyle w:val="60"/>
                    <w:kinsoku/>
                    <w:rPr>
                      <w:rFonts w:ascii="Times New Roman" w:hAnsi="Times New Roman" w:eastAsia="宋体" w:cs="Times New Roman"/>
                      <w:b w:val="0"/>
                      <w:bCs w:val="0"/>
                      <w:color w:val="000000" w:themeColor="text1"/>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措施</w:t>
                  </w:r>
                </w:p>
              </w:tc>
            </w:tr>
            <w:tr w14:paraId="41E7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4" w:type="dxa"/>
                  <w:vMerge w:val="continue"/>
                  <w:vAlign w:val="center"/>
                </w:tcPr>
                <w:p w14:paraId="311E3872">
                  <w:pPr>
                    <w:pStyle w:val="41"/>
                    <w:kinsoku/>
                    <w:rPr>
                      <w:rFonts w:ascii="Times New Roman" w:hAnsi="Times New Roman" w:eastAsia="宋体"/>
                      <w:color w:val="000000" w:themeColor="text1"/>
                      <w14:textFill>
                        <w14:solidFill>
                          <w14:schemeClr w14:val="tx1"/>
                        </w14:solidFill>
                      </w14:textFill>
                    </w:rPr>
                  </w:pPr>
                </w:p>
              </w:tc>
              <w:tc>
                <w:tcPr>
                  <w:tcW w:w="1682" w:type="dxa"/>
                  <w:vMerge w:val="continue"/>
                  <w:vAlign w:val="center"/>
                </w:tcPr>
                <w:p w14:paraId="6F683D0F">
                  <w:pPr>
                    <w:pStyle w:val="41"/>
                    <w:kinsoku/>
                    <w:rPr>
                      <w:rFonts w:ascii="Times New Roman" w:hAnsi="Times New Roman" w:eastAsia="宋体"/>
                      <w:color w:val="000000" w:themeColor="text1"/>
                      <w14:textFill>
                        <w14:solidFill>
                          <w14:schemeClr w14:val="tx1"/>
                        </w14:solidFill>
                      </w14:textFill>
                    </w:rPr>
                  </w:pPr>
                </w:p>
              </w:tc>
              <w:tc>
                <w:tcPr>
                  <w:tcW w:w="926" w:type="dxa"/>
                  <w:vAlign w:val="center"/>
                </w:tcPr>
                <w:p w14:paraId="0CFB6BE0">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浓度mg/m</w:t>
                  </w:r>
                  <w:r>
                    <w:rPr>
                      <w:rFonts w:ascii="Times New Roman" w:hAnsi="Times New Roman" w:eastAsia="宋体"/>
                      <w:color w:val="000000" w:themeColor="text1"/>
                      <w:vertAlign w:val="superscript"/>
                      <w14:textFill>
                        <w14:solidFill>
                          <w14:schemeClr w14:val="tx1"/>
                        </w14:solidFill>
                      </w14:textFill>
                    </w:rPr>
                    <w:t>3</w:t>
                  </w:r>
                </w:p>
              </w:tc>
              <w:tc>
                <w:tcPr>
                  <w:tcW w:w="1059" w:type="dxa"/>
                  <w:vAlign w:val="center"/>
                </w:tcPr>
                <w:p w14:paraId="24663AEE">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排放量kg</w:t>
                  </w:r>
                </w:p>
              </w:tc>
              <w:tc>
                <w:tcPr>
                  <w:tcW w:w="926" w:type="dxa"/>
                  <w:vMerge w:val="continue"/>
                  <w:vAlign w:val="center"/>
                </w:tcPr>
                <w:p w14:paraId="00EF8C0A">
                  <w:pPr>
                    <w:kinsoku/>
                    <w:jc w:val="center"/>
                    <w:textAlignment w:val="center"/>
                    <w:rPr>
                      <w:rFonts w:ascii="Times New Roman" w:hAnsi="Times New Roman" w:eastAsia="宋体" w:cs="Times New Roman"/>
                      <w:color w:val="000000" w:themeColor="text1"/>
                      <w14:textFill>
                        <w14:solidFill>
                          <w14:schemeClr w14:val="tx1"/>
                        </w14:solidFill>
                      </w14:textFill>
                    </w:rPr>
                  </w:pPr>
                </w:p>
              </w:tc>
              <w:tc>
                <w:tcPr>
                  <w:tcW w:w="1092" w:type="dxa"/>
                  <w:vMerge w:val="continue"/>
                  <w:vAlign w:val="center"/>
                </w:tcPr>
                <w:p w14:paraId="00DC0B5E">
                  <w:pPr>
                    <w:kinsoku/>
                    <w:jc w:val="center"/>
                    <w:textAlignment w:val="center"/>
                    <w:rPr>
                      <w:rFonts w:ascii="Times New Roman" w:hAnsi="Times New Roman" w:eastAsia="宋体" w:cs="Times New Roman"/>
                      <w:color w:val="000000" w:themeColor="text1"/>
                      <w14:textFill>
                        <w14:solidFill>
                          <w14:schemeClr w14:val="tx1"/>
                        </w14:solidFill>
                      </w14:textFill>
                    </w:rPr>
                  </w:pPr>
                </w:p>
              </w:tc>
              <w:tc>
                <w:tcPr>
                  <w:tcW w:w="2619" w:type="dxa"/>
                  <w:vMerge w:val="continue"/>
                  <w:vAlign w:val="center"/>
                </w:tcPr>
                <w:p w14:paraId="14ACBD50">
                  <w:pPr>
                    <w:kinsoku/>
                    <w:jc w:val="center"/>
                    <w:textAlignment w:val="center"/>
                    <w:rPr>
                      <w:rFonts w:ascii="Times New Roman" w:hAnsi="Times New Roman" w:eastAsia="宋体" w:cs="Times New Roman"/>
                      <w:color w:val="000000" w:themeColor="text1"/>
                      <w14:textFill>
                        <w14:solidFill>
                          <w14:schemeClr w14:val="tx1"/>
                        </w14:solidFill>
                      </w14:textFill>
                    </w:rPr>
                  </w:pPr>
                </w:p>
              </w:tc>
            </w:tr>
            <w:tr w14:paraId="49E5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24" w:type="dxa"/>
                  <w:vAlign w:val="center"/>
                </w:tcPr>
                <w:p w14:paraId="672CE227">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DA001</w:t>
                  </w:r>
                </w:p>
              </w:tc>
              <w:tc>
                <w:tcPr>
                  <w:tcW w:w="1682" w:type="dxa"/>
                  <w:vAlign w:val="center"/>
                </w:tcPr>
                <w:p w14:paraId="3FECDE11">
                  <w:pPr>
                    <w:pStyle w:val="41"/>
                    <w:kinsoku/>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颗粒物</w:t>
                  </w:r>
                </w:p>
              </w:tc>
              <w:tc>
                <w:tcPr>
                  <w:tcW w:w="926" w:type="dxa"/>
                  <w:vAlign w:val="center"/>
                </w:tcPr>
                <w:p w14:paraId="7D0FFB3A">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652.15</w:t>
                  </w:r>
                </w:p>
              </w:tc>
              <w:tc>
                <w:tcPr>
                  <w:tcW w:w="1059" w:type="dxa"/>
                  <w:vAlign w:val="center"/>
                </w:tcPr>
                <w:p w14:paraId="6925E417">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6.521</w:t>
                  </w:r>
                </w:p>
              </w:tc>
              <w:tc>
                <w:tcPr>
                  <w:tcW w:w="926" w:type="dxa"/>
                  <w:vAlign w:val="center"/>
                </w:tcPr>
                <w:p w14:paraId="6DAC48A7">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92" w:type="dxa"/>
                  <w:vAlign w:val="center"/>
                </w:tcPr>
                <w:p w14:paraId="056C2A01">
                  <w:pPr>
                    <w:kinsoku/>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1次/年</w:t>
                  </w:r>
                </w:p>
              </w:tc>
              <w:tc>
                <w:tcPr>
                  <w:tcW w:w="2619" w:type="dxa"/>
                  <w:vMerge w:val="restart"/>
                  <w:vAlign w:val="center"/>
                </w:tcPr>
                <w:p w14:paraId="21941B3E">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定期进行设备维护，当工艺废气处理装置出现故障且不能短时间恢复时停止生产</w:t>
                  </w:r>
                </w:p>
              </w:tc>
            </w:tr>
            <w:tr w14:paraId="1B93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24" w:type="dxa"/>
                  <w:vAlign w:val="center"/>
                </w:tcPr>
                <w:p w14:paraId="3BBEA29E">
                  <w:pPr>
                    <w:pStyle w:val="41"/>
                    <w:kinsoku/>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DA00</w:t>
                  </w:r>
                  <w:r>
                    <w:rPr>
                      <w:rFonts w:hint="eastAsia" w:ascii="Times New Roman" w:hAnsi="Times New Roman" w:eastAsia="宋体"/>
                      <w:color w:val="000000" w:themeColor="text1"/>
                      <w:lang w:val="en-US" w:eastAsia="zh-CN"/>
                      <w14:textFill>
                        <w14:solidFill>
                          <w14:schemeClr w14:val="tx1"/>
                        </w14:solidFill>
                      </w14:textFill>
                    </w:rPr>
                    <w:t>2</w:t>
                  </w:r>
                </w:p>
              </w:tc>
              <w:tc>
                <w:tcPr>
                  <w:tcW w:w="1682" w:type="dxa"/>
                  <w:vAlign w:val="center"/>
                </w:tcPr>
                <w:p w14:paraId="072AAE44">
                  <w:pPr>
                    <w:pStyle w:val="41"/>
                    <w:kinsoku/>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颗粒物</w:t>
                  </w:r>
                </w:p>
              </w:tc>
              <w:tc>
                <w:tcPr>
                  <w:tcW w:w="926" w:type="dxa"/>
                  <w:vAlign w:val="center"/>
                </w:tcPr>
                <w:p w14:paraId="25BE1C26">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132</w:t>
                  </w:r>
                </w:p>
              </w:tc>
              <w:tc>
                <w:tcPr>
                  <w:tcW w:w="1059" w:type="dxa"/>
                  <w:vAlign w:val="center"/>
                </w:tcPr>
                <w:p w14:paraId="170CA227">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0.396</w:t>
                  </w:r>
                </w:p>
              </w:tc>
              <w:tc>
                <w:tcPr>
                  <w:tcW w:w="926" w:type="dxa"/>
                  <w:vAlign w:val="center"/>
                </w:tcPr>
                <w:p w14:paraId="45C644CD">
                  <w:pPr>
                    <w:kinsoku/>
                    <w:jc w:val="center"/>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92" w:type="dxa"/>
                  <w:vAlign w:val="center"/>
                </w:tcPr>
                <w:p w14:paraId="5245430C">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1次/年</w:t>
                  </w:r>
                </w:p>
              </w:tc>
              <w:tc>
                <w:tcPr>
                  <w:tcW w:w="2619" w:type="dxa"/>
                  <w:vMerge w:val="continue"/>
                  <w:vAlign w:val="center"/>
                </w:tcPr>
                <w:p w14:paraId="73B7784A">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p>
              </w:tc>
            </w:tr>
            <w:tr w14:paraId="3789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24" w:type="dxa"/>
                  <w:vMerge w:val="restart"/>
                  <w:vAlign w:val="center"/>
                </w:tcPr>
                <w:p w14:paraId="50E99F22">
                  <w:pPr>
                    <w:pStyle w:val="41"/>
                    <w:kinsoku/>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DA00</w:t>
                  </w:r>
                  <w:r>
                    <w:rPr>
                      <w:rFonts w:hint="eastAsia" w:ascii="Times New Roman" w:hAnsi="Times New Roman" w:eastAsia="宋体"/>
                      <w:color w:val="000000" w:themeColor="text1"/>
                      <w:lang w:val="en-US" w:eastAsia="zh-CN"/>
                      <w14:textFill>
                        <w14:solidFill>
                          <w14:schemeClr w14:val="tx1"/>
                        </w14:solidFill>
                      </w14:textFill>
                    </w:rPr>
                    <w:t>3</w:t>
                  </w:r>
                </w:p>
              </w:tc>
              <w:tc>
                <w:tcPr>
                  <w:tcW w:w="1682" w:type="dxa"/>
                  <w:vAlign w:val="center"/>
                </w:tcPr>
                <w:p w14:paraId="19E4DAAA">
                  <w:pPr>
                    <w:pStyle w:val="41"/>
                    <w:kinsoku/>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非甲烷总烃</w:t>
                  </w:r>
                </w:p>
              </w:tc>
              <w:tc>
                <w:tcPr>
                  <w:tcW w:w="926" w:type="dxa"/>
                  <w:vAlign w:val="center"/>
                </w:tcPr>
                <w:p w14:paraId="01FAA7D7">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15.724</w:t>
                  </w:r>
                </w:p>
              </w:tc>
              <w:tc>
                <w:tcPr>
                  <w:tcW w:w="1059" w:type="dxa"/>
                  <w:vAlign w:val="center"/>
                </w:tcPr>
                <w:p w14:paraId="6D337C42">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0.456</w:t>
                  </w:r>
                </w:p>
              </w:tc>
              <w:tc>
                <w:tcPr>
                  <w:tcW w:w="926" w:type="dxa"/>
                  <w:vAlign w:val="center"/>
                </w:tcPr>
                <w:p w14:paraId="25E7BC07">
                  <w:pPr>
                    <w:kinsoku/>
                    <w:jc w:val="center"/>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92" w:type="dxa"/>
                  <w:vAlign w:val="center"/>
                </w:tcPr>
                <w:p w14:paraId="7891AEF2">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1次/年</w:t>
                  </w:r>
                </w:p>
              </w:tc>
              <w:tc>
                <w:tcPr>
                  <w:tcW w:w="2619" w:type="dxa"/>
                  <w:vMerge w:val="continue"/>
                  <w:vAlign w:val="center"/>
                </w:tcPr>
                <w:p w14:paraId="3F6BBD45">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p>
              </w:tc>
            </w:tr>
            <w:tr w14:paraId="5CF3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24" w:type="dxa"/>
                  <w:vMerge w:val="continue"/>
                  <w:vAlign w:val="center"/>
                </w:tcPr>
                <w:p w14:paraId="1C268284">
                  <w:pPr>
                    <w:pStyle w:val="41"/>
                    <w:kinsoku/>
                    <w:rPr>
                      <w:rFonts w:hint="eastAsia" w:ascii="Times New Roman" w:hAnsi="Times New Roman" w:eastAsia="宋体"/>
                      <w:color w:val="000000" w:themeColor="text1"/>
                      <w:lang w:eastAsia="zh-CN"/>
                      <w14:textFill>
                        <w14:solidFill>
                          <w14:schemeClr w14:val="tx1"/>
                        </w14:solidFill>
                      </w14:textFill>
                    </w:rPr>
                  </w:pPr>
                </w:p>
              </w:tc>
              <w:tc>
                <w:tcPr>
                  <w:tcW w:w="1682" w:type="dxa"/>
                  <w:vAlign w:val="center"/>
                </w:tcPr>
                <w:p w14:paraId="2D9294C0">
                  <w:pPr>
                    <w:pStyle w:val="41"/>
                    <w:kinsoku/>
                    <w:ind w:firstLine="0" w:firstLineChars="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SO</w:t>
                  </w:r>
                  <w:r>
                    <w:rPr>
                      <w:rFonts w:hint="eastAsia" w:ascii="Times New Roman" w:hAnsi="Times New Roman" w:eastAsia="宋体"/>
                      <w:color w:val="000000" w:themeColor="text1"/>
                      <w:vertAlign w:val="subscript"/>
                      <w:lang w:val="en-US" w:eastAsia="zh-CN"/>
                      <w14:textFill>
                        <w14:solidFill>
                          <w14:schemeClr w14:val="tx1"/>
                        </w14:solidFill>
                      </w14:textFill>
                    </w:rPr>
                    <w:t>2</w:t>
                  </w:r>
                </w:p>
              </w:tc>
              <w:tc>
                <w:tcPr>
                  <w:tcW w:w="926" w:type="dxa"/>
                  <w:vAlign w:val="center"/>
                </w:tcPr>
                <w:p w14:paraId="403FA71A">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0.115</w:t>
                  </w:r>
                </w:p>
              </w:tc>
              <w:tc>
                <w:tcPr>
                  <w:tcW w:w="1059" w:type="dxa"/>
                  <w:vAlign w:val="center"/>
                </w:tcPr>
                <w:p w14:paraId="7A6C9297">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0.003</w:t>
                  </w:r>
                </w:p>
              </w:tc>
              <w:tc>
                <w:tcPr>
                  <w:tcW w:w="926" w:type="dxa"/>
                  <w:vAlign w:val="center"/>
                </w:tcPr>
                <w:p w14:paraId="265CCDA1">
                  <w:pPr>
                    <w:kinsoku/>
                    <w:jc w:val="center"/>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92" w:type="dxa"/>
                  <w:vAlign w:val="center"/>
                </w:tcPr>
                <w:p w14:paraId="3251FD83">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1次/年</w:t>
                  </w:r>
                </w:p>
              </w:tc>
              <w:tc>
                <w:tcPr>
                  <w:tcW w:w="2619" w:type="dxa"/>
                  <w:vMerge w:val="continue"/>
                  <w:vAlign w:val="center"/>
                </w:tcPr>
                <w:p w14:paraId="78C4C98A">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p>
              </w:tc>
            </w:tr>
            <w:tr w14:paraId="20D1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24" w:type="dxa"/>
                  <w:vMerge w:val="continue"/>
                  <w:vAlign w:val="center"/>
                </w:tcPr>
                <w:p w14:paraId="38F70313">
                  <w:pPr>
                    <w:pStyle w:val="41"/>
                    <w:kinsoku/>
                    <w:rPr>
                      <w:rFonts w:hint="eastAsia" w:ascii="Times New Roman" w:hAnsi="Times New Roman" w:eastAsia="宋体"/>
                      <w:color w:val="000000" w:themeColor="text1"/>
                      <w:lang w:eastAsia="zh-CN"/>
                      <w14:textFill>
                        <w14:solidFill>
                          <w14:schemeClr w14:val="tx1"/>
                        </w14:solidFill>
                      </w14:textFill>
                    </w:rPr>
                  </w:pPr>
                </w:p>
              </w:tc>
              <w:tc>
                <w:tcPr>
                  <w:tcW w:w="1682" w:type="dxa"/>
                  <w:vAlign w:val="center"/>
                </w:tcPr>
                <w:p w14:paraId="35BA3342">
                  <w:pPr>
                    <w:pStyle w:val="41"/>
                    <w:kinsoku/>
                    <w:ind w:firstLine="0" w:firstLineChars="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NO</w:t>
                  </w:r>
                  <w:r>
                    <w:rPr>
                      <w:rFonts w:hint="eastAsia" w:ascii="Times New Roman" w:hAnsi="Times New Roman" w:eastAsia="宋体"/>
                      <w:color w:val="000000" w:themeColor="text1"/>
                      <w:vertAlign w:val="subscript"/>
                      <w:lang w:val="en-US" w:eastAsia="zh-CN"/>
                      <w14:textFill>
                        <w14:solidFill>
                          <w14:schemeClr w14:val="tx1"/>
                        </w14:solidFill>
                      </w14:textFill>
                    </w:rPr>
                    <w:t>X</w:t>
                  </w:r>
                </w:p>
              </w:tc>
              <w:tc>
                <w:tcPr>
                  <w:tcW w:w="926" w:type="dxa"/>
                  <w:vAlign w:val="center"/>
                </w:tcPr>
                <w:p w14:paraId="03A7028D">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0.172</w:t>
                  </w:r>
                </w:p>
              </w:tc>
              <w:tc>
                <w:tcPr>
                  <w:tcW w:w="1059" w:type="dxa"/>
                  <w:vAlign w:val="center"/>
                </w:tcPr>
                <w:p w14:paraId="7E17AD10">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0.005</w:t>
                  </w:r>
                </w:p>
              </w:tc>
              <w:tc>
                <w:tcPr>
                  <w:tcW w:w="926" w:type="dxa"/>
                  <w:vAlign w:val="center"/>
                </w:tcPr>
                <w:p w14:paraId="3F3C8632">
                  <w:pPr>
                    <w:kinsoku/>
                    <w:jc w:val="center"/>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92" w:type="dxa"/>
                  <w:vAlign w:val="center"/>
                </w:tcPr>
                <w:p w14:paraId="7A4ED6FC">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1次/年</w:t>
                  </w:r>
                </w:p>
              </w:tc>
              <w:tc>
                <w:tcPr>
                  <w:tcW w:w="2619" w:type="dxa"/>
                  <w:vMerge w:val="continue"/>
                  <w:vAlign w:val="center"/>
                </w:tcPr>
                <w:p w14:paraId="3601A55A">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p>
              </w:tc>
            </w:tr>
            <w:tr w14:paraId="128A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24" w:type="dxa"/>
                  <w:vAlign w:val="center"/>
                </w:tcPr>
                <w:p w14:paraId="6776B927">
                  <w:pPr>
                    <w:pStyle w:val="41"/>
                    <w:kinsoku/>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DA00</w:t>
                  </w:r>
                  <w:r>
                    <w:rPr>
                      <w:rFonts w:hint="eastAsia" w:ascii="Times New Roman" w:hAnsi="Times New Roman" w:eastAsia="宋体"/>
                      <w:color w:val="000000" w:themeColor="text1"/>
                      <w:lang w:val="en-US" w:eastAsia="zh-CN"/>
                      <w14:textFill>
                        <w14:solidFill>
                          <w14:schemeClr w14:val="tx1"/>
                        </w14:solidFill>
                      </w14:textFill>
                    </w:rPr>
                    <w:t>4</w:t>
                  </w:r>
                </w:p>
              </w:tc>
              <w:tc>
                <w:tcPr>
                  <w:tcW w:w="1682" w:type="dxa"/>
                  <w:vAlign w:val="center"/>
                </w:tcPr>
                <w:p w14:paraId="62A26CBB">
                  <w:pPr>
                    <w:pStyle w:val="41"/>
                    <w:kinsoku/>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硫酸雾</w:t>
                  </w:r>
                </w:p>
              </w:tc>
              <w:tc>
                <w:tcPr>
                  <w:tcW w:w="926" w:type="dxa"/>
                  <w:vAlign w:val="center"/>
                </w:tcPr>
                <w:p w14:paraId="097D2143">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17.429</w:t>
                  </w:r>
                </w:p>
              </w:tc>
              <w:tc>
                <w:tcPr>
                  <w:tcW w:w="1059" w:type="dxa"/>
                  <w:vAlign w:val="center"/>
                </w:tcPr>
                <w:p w14:paraId="7624D988">
                  <w:pPr>
                    <w:pStyle w:val="41"/>
                    <w:kinsoku/>
                    <w:topLinePunct/>
                    <w:autoSpaceDE/>
                    <w:autoSpaceDN/>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0.61</w:t>
                  </w:r>
                </w:p>
              </w:tc>
              <w:tc>
                <w:tcPr>
                  <w:tcW w:w="926" w:type="dxa"/>
                  <w:vAlign w:val="center"/>
                </w:tcPr>
                <w:p w14:paraId="0D4915FC">
                  <w:pPr>
                    <w:kinsoku/>
                    <w:jc w:val="center"/>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92" w:type="dxa"/>
                  <w:vAlign w:val="center"/>
                </w:tcPr>
                <w:p w14:paraId="75BEC761">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1次/年</w:t>
                  </w:r>
                </w:p>
              </w:tc>
              <w:tc>
                <w:tcPr>
                  <w:tcW w:w="2619" w:type="dxa"/>
                  <w:vMerge w:val="continue"/>
                  <w:vAlign w:val="center"/>
                </w:tcPr>
                <w:p w14:paraId="1A61EBF5">
                  <w:pPr>
                    <w:kinsoku/>
                    <w:jc w:val="center"/>
                    <w:textAlignment w:val="center"/>
                    <w:rPr>
                      <w:rFonts w:ascii="Times New Roman" w:hAnsi="Times New Roman" w:eastAsia="宋体" w:cs="Times New Roman"/>
                      <w:color w:val="000000" w:themeColor="text1"/>
                      <w:lang w:eastAsia="zh-CN"/>
                      <w14:textFill>
                        <w14:solidFill>
                          <w14:schemeClr w14:val="tx1"/>
                        </w14:solidFill>
                      </w14:textFill>
                    </w:rPr>
                  </w:pPr>
                </w:p>
              </w:tc>
            </w:tr>
          </w:tbl>
          <w:p w14:paraId="6DB14FF0">
            <w:pPr>
              <w:kinsoku/>
              <w:adjustRightInd/>
              <w:snapToGrid/>
              <w:spacing w:line="360" w:lineRule="auto"/>
              <w:rPr>
                <w:rFonts w:ascii="Times New Roman" w:hAnsi="Times New Roman" w:eastAsia="宋体" w:cs="Times New Roman"/>
                <w:b/>
                <w:sz w:val="24"/>
                <w:lang w:eastAsia="zh-CN"/>
              </w:rPr>
            </w:pPr>
            <w:r>
              <w:rPr>
                <w:rFonts w:ascii="Times New Roman" w:hAnsi="Times New Roman" w:eastAsia="宋体" w:cs="Times New Roman"/>
                <w:b/>
                <w:sz w:val="24"/>
                <w:lang w:eastAsia="zh-CN"/>
              </w:rPr>
              <w:t>二、水污染</w:t>
            </w:r>
          </w:p>
          <w:p w14:paraId="4654A632">
            <w:pPr>
              <w:kinsoku/>
              <w:adjustRightInd/>
              <w:snapToGrid/>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1、废水污染源强</w:t>
            </w:r>
          </w:p>
          <w:p w14:paraId="38789751">
            <w:pPr>
              <w:pStyle w:val="48"/>
              <w:kinsoku/>
              <w:adjustRightInd/>
              <w:snapToGrid/>
              <w:spacing w:line="360" w:lineRule="auto"/>
              <w:ind w:firstLine="480" w:firstLineChars="2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1、</w:t>
            </w:r>
            <w:r>
              <w:rPr>
                <w:rFonts w:ascii="Times New Roman" w:hAnsi="Times New Roman" w:eastAsia="宋体" w:cs="Times New Roman"/>
                <w:sz w:val="24"/>
                <w:szCs w:val="24"/>
                <w:lang w:eastAsia="zh-CN"/>
              </w:rPr>
              <w:t>项目用水主要是职工生活</w:t>
            </w:r>
            <w:r>
              <w:rPr>
                <w:rFonts w:hint="eastAsia" w:ascii="Times New Roman" w:hAnsi="Times New Roman" w:eastAsia="宋体" w:cs="Times New Roman"/>
                <w:sz w:val="24"/>
                <w:szCs w:val="24"/>
                <w:lang w:eastAsia="zh-CN"/>
              </w:rPr>
              <w:t>废水及生产废水。</w:t>
            </w:r>
          </w:p>
          <w:p w14:paraId="16ED70C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①</w:t>
            </w:r>
            <w:r>
              <w:rPr>
                <w:rFonts w:hint="default" w:ascii="Times New Roman" w:hAnsi="Times New Roman" w:eastAsia="宋体" w:cs="Times New Roman"/>
                <w:sz w:val="24"/>
                <w:szCs w:val="24"/>
                <w:lang w:val="en-US" w:eastAsia="zh-CN"/>
              </w:rPr>
              <w:t>生活用水：</w:t>
            </w:r>
            <w:r>
              <w:rPr>
                <w:rFonts w:hint="default" w:ascii="Times New Roman" w:hAnsi="Times New Roman" w:eastAsia="宋体" w:cs="Times New Roman"/>
                <w:sz w:val="24"/>
                <w:szCs w:val="24"/>
                <w:lang w:eastAsia="zh-CN"/>
              </w:rPr>
              <w:t>本项目劳动定员</w:t>
            </w:r>
            <w:r>
              <w:rPr>
                <w:rFonts w:hint="default"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eastAsia="zh-CN"/>
              </w:rPr>
              <w:t>人，项目运营期生活污水主要来源于员工日常生活过程产生，《安徽省行业用水定额》（DB34/T679-2019），按60L/(人·d)计，项目年工作日300天，则用水量约</w:t>
            </w:r>
            <w:r>
              <w:rPr>
                <w:rFonts w:hint="default" w:ascii="Times New Roman" w:hAnsi="Times New Roman" w:eastAsia="宋体" w:cs="Times New Roman"/>
                <w:sz w:val="24"/>
                <w:szCs w:val="24"/>
                <w:lang w:val="en-US" w:eastAsia="zh-CN"/>
              </w:rPr>
              <w:t>为1.8m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/d，年用水量为540m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/a。废水产生量按用水量的80%计算，</w:t>
            </w:r>
            <w:r>
              <w:rPr>
                <w:rFonts w:hint="default" w:ascii="Times New Roman" w:hAnsi="Times New Roman" w:eastAsia="宋体" w:cs="Times New Roman"/>
                <w:sz w:val="24"/>
                <w:szCs w:val="24"/>
                <w:lang w:val="en-US" w:eastAsia="zh-CN"/>
              </w:rPr>
              <w:t>则废水产生量约为1.44m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lang w:eastAsia="zh-CN"/>
              </w:rPr>
              <w:t>年产生废水量约为</w:t>
            </w:r>
            <w:r>
              <w:rPr>
                <w:rFonts w:hint="default" w:ascii="Times New Roman" w:hAnsi="Times New Roman" w:eastAsia="宋体" w:cs="Times New Roman"/>
                <w:sz w:val="24"/>
                <w:szCs w:val="24"/>
                <w:lang w:val="en-US" w:eastAsia="zh-CN"/>
              </w:rPr>
              <w:t>432m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/a。生活污水经化粪池处理后，排入宿州市埇桥区曹村污水处理有限公司</w:t>
            </w:r>
            <w:r>
              <w:rPr>
                <w:rFonts w:hint="default" w:ascii="Times New Roman" w:hAnsi="Times New Roman" w:eastAsia="宋体" w:cs="Times New Roman"/>
                <w:sz w:val="24"/>
                <w:szCs w:val="24"/>
                <w:lang w:val="en-US" w:eastAsia="zh-CN"/>
              </w:rPr>
              <w:t>处理</w:t>
            </w:r>
            <w:r>
              <w:rPr>
                <w:rFonts w:hint="default" w:ascii="Times New Roman" w:hAnsi="Times New Roman" w:eastAsia="宋体" w:cs="Times New Roman"/>
                <w:sz w:val="24"/>
                <w:szCs w:val="24"/>
                <w:lang w:eastAsia="zh-CN"/>
              </w:rPr>
              <w:t>，处理后尾水排入</w:t>
            </w:r>
            <w:r>
              <w:rPr>
                <w:rFonts w:hint="eastAsia" w:ascii="Times New Roman" w:hAnsi="Times New Roman" w:eastAsia="宋体" w:cs="Times New Roman"/>
                <w:sz w:val="24"/>
                <w:szCs w:val="24"/>
                <w:lang w:val="en-US" w:eastAsia="zh-CN"/>
              </w:rPr>
              <w:t>淝河</w:t>
            </w:r>
            <w:r>
              <w:rPr>
                <w:rFonts w:hint="default" w:ascii="Times New Roman" w:hAnsi="Times New Roman" w:eastAsia="宋体" w:cs="Times New Roman"/>
                <w:sz w:val="24"/>
                <w:szCs w:val="24"/>
                <w:lang w:eastAsia="zh-CN"/>
              </w:rPr>
              <w:t>。</w:t>
            </w:r>
          </w:p>
          <w:p w14:paraId="5CAC2B7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②酸洗</w:t>
            </w:r>
            <w:r>
              <w:rPr>
                <w:rFonts w:hint="default" w:ascii="Times New Roman" w:hAnsi="Times New Roman" w:eastAsia="宋体" w:cs="Times New Roman"/>
                <w:sz w:val="24"/>
                <w:szCs w:val="24"/>
                <w:lang w:val="en-US" w:eastAsia="zh-CN"/>
              </w:rPr>
              <w:t>后水洗</w:t>
            </w:r>
            <w:r>
              <w:rPr>
                <w:rFonts w:hint="eastAsia"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酸洗</w:t>
            </w:r>
            <w:r>
              <w:rPr>
                <w:rFonts w:hint="default" w:ascii="Times New Roman" w:hAnsi="Times New Roman" w:eastAsia="宋体" w:cs="Times New Roman"/>
                <w:sz w:val="24"/>
                <w:szCs w:val="24"/>
                <w:lang w:val="en-US" w:eastAsia="zh-CN"/>
              </w:rPr>
              <w:t>后需进行清水洗，设置</w:t>
            </w: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酸洗水洗池，容积共86.5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酸洗水洗池</w:t>
            </w:r>
            <w:r>
              <w:rPr>
                <w:rFonts w:hint="default" w:ascii="Times New Roman" w:hAnsi="Times New Roman" w:eastAsia="宋体" w:cs="Times New Roman"/>
                <w:sz w:val="24"/>
                <w:szCs w:val="24"/>
                <w:lang w:val="en-US" w:eastAsia="zh-CN"/>
              </w:rPr>
              <w:t>按照容积的80%计，则一次性补充清水为</w:t>
            </w:r>
            <w:r>
              <w:rPr>
                <w:rFonts w:hint="eastAsia" w:ascii="Times New Roman" w:hAnsi="Times New Roman" w:eastAsia="宋体" w:cs="Times New Roman"/>
                <w:sz w:val="24"/>
                <w:szCs w:val="24"/>
                <w:lang w:val="en-US" w:eastAsia="zh-CN"/>
              </w:rPr>
              <w:t>69.2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。另外因自然蒸发和物料带走每天按10%计，水的补充量为</w:t>
            </w:r>
            <w:r>
              <w:rPr>
                <w:rFonts w:hint="eastAsia" w:ascii="Times New Roman" w:hAnsi="Times New Roman" w:eastAsia="宋体" w:cs="Times New Roman"/>
                <w:sz w:val="24"/>
                <w:szCs w:val="24"/>
                <w:lang w:val="en-US" w:eastAsia="zh-CN"/>
              </w:rPr>
              <w:t>6.92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2076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酸洗</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69.2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4.61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1384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，则废水排放量为4.61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1384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。酸洗</w:t>
            </w:r>
            <w:r>
              <w:rPr>
                <w:rFonts w:hint="default" w:ascii="Times New Roman" w:hAnsi="Times New Roman" w:eastAsia="宋体" w:cs="Times New Roman"/>
                <w:sz w:val="24"/>
                <w:szCs w:val="24"/>
                <w:lang w:val="en-US" w:eastAsia="zh-CN"/>
              </w:rPr>
              <w:t>后水洗</w:t>
            </w:r>
            <w:r>
              <w:rPr>
                <w:rFonts w:hint="eastAsia" w:ascii="Times New Roman" w:hAnsi="Times New Roman" w:eastAsia="宋体" w:cs="Times New Roman"/>
                <w:sz w:val="24"/>
                <w:szCs w:val="24"/>
                <w:lang w:val="en-US" w:eastAsia="zh-CN"/>
              </w:rPr>
              <w:t>废水经自建污水处理站处理后排入宿州市埇桥区曹村污水处理有限公司，最终排入淝河。</w:t>
            </w:r>
          </w:p>
          <w:p w14:paraId="613D877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w:t>
            </w:r>
            <w:r>
              <w:rPr>
                <w:rFonts w:hint="default" w:ascii="Times New Roman" w:hAnsi="Times New Roman" w:eastAsia="宋体" w:cs="Times New Roman"/>
                <w:sz w:val="24"/>
                <w:szCs w:val="24"/>
                <w:lang w:val="en-US" w:eastAsia="zh-CN"/>
              </w:rPr>
              <w:t>磷化后水洗</w:t>
            </w:r>
            <w:r>
              <w:rPr>
                <w:rFonts w:hint="eastAsia"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lang w:val="en-US" w:eastAsia="zh-CN"/>
              </w:rPr>
              <w:t>：项目设置</w:t>
            </w: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磷化水池，容积共86.5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其中，两座5.5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池子使用纯水洗。</w:t>
            </w:r>
            <w:r>
              <w:rPr>
                <w:rFonts w:hint="default" w:ascii="Times New Roman" w:hAnsi="Times New Roman" w:eastAsia="宋体" w:cs="Times New Roman"/>
                <w:sz w:val="24"/>
                <w:szCs w:val="24"/>
                <w:lang w:val="en-US" w:eastAsia="zh-CN"/>
              </w:rPr>
              <w:t>磷化</w:t>
            </w:r>
            <w:r>
              <w:rPr>
                <w:rFonts w:hint="eastAsia" w:ascii="Times New Roman" w:hAnsi="Times New Roman" w:eastAsia="宋体" w:cs="Times New Roman"/>
                <w:sz w:val="24"/>
                <w:szCs w:val="24"/>
                <w:lang w:val="en-US" w:eastAsia="zh-CN"/>
              </w:rPr>
              <w:t>水洗按池子</w:t>
            </w:r>
            <w:r>
              <w:rPr>
                <w:rFonts w:hint="default" w:ascii="Times New Roman" w:hAnsi="Times New Roman" w:eastAsia="宋体" w:cs="Times New Roman"/>
                <w:sz w:val="24"/>
                <w:szCs w:val="24"/>
                <w:lang w:val="en-US" w:eastAsia="zh-CN"/>
              </w:rPr>
              <w:t>容积的80%计，则一次性补充</w:t>
            </w:r>
            <w:r>
              <w:rPr>
                <w:rFonts w:hint="eastAsia" w:ascii="Times New Roman" w:hAnsi="Times New Roman" w:eastAsia="宋体" w:cs="Times New Roman"/>
                <w:sz w:val="24"/>
                <w:szCs w:val="24"/>
                <w:lang w:val="en-US" w:eastAsia="zh-CN"/>
              </w:rPr>
              <w:t>纯水为55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清水为</w:t>
            </w:r>
            <w:r>
              <w:rPr>
                <w:rFonts w:hint="eastAsia" w:ascii="Times New Roman" w:hAnsi="Times New Roman" w:eastAsia="宋体" w:cs="Times New Roman"/>
                <w:sz w:val="24"/>
                <w:szCs w:val="24"/>
                <w:lang w:val="en-US" w:eastAsia="zh-CN"/>
              </w:rPr>
              <w:t>25.2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。另外因自然蒸发和物料带走每天按10%计，</w:t>
            </w:r>
            <w:r>
              <w:rPr>
                <w:rFonts w:hint="eastAsia" w:ascii="Times New Roman" w:hAnsi="Times New Roman" w:eastAsia="宋体" w:cs="Times New Roman"/>
                <w:sz w:val="24"/>
                <w:szCs w:val="24"/>
                <w:lang w:val="en-US" w:eastAsia="zh-CN"/>
              </w:rPr>
              <w:t>纯</w:t>
            </w:r>
            <w:r>
              <w:rPr>
                <w:rFonts w:hint="default" w:ascii="Times New Roman" w:hAnsi="Times New Roman" w:eastAsia="宋体" w:cs="Times New Roman"/>
                <w:sz w:val="24"/>
                <w:szCs w:val="24"/>
                <w:lang w:val="en-US" w:eastAsia="zh-CN"/>
              </w:rPr>
              <w:t>水的补充量为</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1650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，清水的补充量为2.52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756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磷化</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纯水55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3.66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1100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，清水25.2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504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35E0702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lang w:val="en-US" w:eastAsia="zh-CN"/>
              </w:rPr>
              <w:t>④电泳后纯水洗废水：</w:t>
            </w:r>
            <w:r>
              <w:rPr>
                <w:rFonts w:hint="default" w:ascii="Times New Roman" w:hAnsi="Times New Roman" w:eastAsia="宋体" w:cs="Times New Roman"/>
                <w:sz w:val="24"/>
                <w:szCs w:val="24"/>
                <w:lang w:val="en-US" w:eastAsia="zh-CN"/>
              </w:rPr>
              <w:t>项目设置</w:t>
            </w:r>
            <w:r>
              <w:rPr>
                <w:rFonts w:hint="eastAsia" w:ascii="Times New Roman" w:hAnsi="Times New Roman" w:eastAsia="宋体" w:cs="Times New Roman"/>
                <w:sz w:val="24"/>
                <w:szCs w:val="24"/>
                <w:lang w:val="en-US" w:eastAsia="zh-CN"/>
              </w:rPr>
              <w:t>两</w:t>
            </w:r>
            <w:r>
              <w:rPr>
                <w:rFonts w:hint="default" w:ascii="Times New Roman" w:hAnsi="Times New Roman" w:eastAsia="宋体" w:cs="Times New Roman"/>
                <w:sz w:val="24"/>
                <w:szCs w:val="24"/>
                <w:lang w:val="en-US" w:eastAsia="zh-CN"/>
              </w:rPr>
              <w:t>座</w:t>
            </w:r>
            <w:r>
              <w:rPr>
                <w:rFonts w:hint="eastAsia" w:ascii="Times New Roman" w:hAnsi="Times New Roman" w:eastAsia="宋体" w:cs="Times New Roman"/>
                <w:sz w:val="24"/>
                <w:szCs w:val="24"/>
                <w:lang w:val="en-US" w:eastAsia="zh-CN"/>
              </w:rPr>
              <w:t>电泳水洗，容积共27.5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均为5.5</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电泳水洗池按池子</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，则一次性补充</w:t>
            </w:r>
            <w:r>
              <w:rPr>
                <w:rFonts w:hint="eastAsia" w:ascii="Times New Roman" w:hAnsi="Times New Roman" w:eastAsia="宋体" w:cs="Times New Roman"/>
                <w:sz w:val="24"/>
                <w:szCs w:val="24"/>
                <w:lang w:val="en-US" w:eastAsia="zh-CN"/>
              </w:rPr>
              <w:t>纯水</w:t>
            </w:r>
            <w:r>
              <w:rPr>
                <w:rFonts w:hint="default" w:ascii="Times New Roman" w:hAnsi="Times New Roman" w:eastAsia="宋体" w:cs="Times New Roman"/>
                <w:sz w:val="24"/>
                <w:szCs w:val="24"/>
                <w:lang w:val="en-US" w:eastAsia="zh-CN"/>
              </w:rPr>
              <w:t>为</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。另外因自然蒸发和物料带走每天按10%计，</w:t>
            </w:r>
            <w:r>
              <w:rPr>
                <w:rFonts w:hint="eastAsia" w:ascii="Times New Roman" w:hAnsi="Times New Roman" w:eastAsia="宋体" w:cs="Times New Roman"/>
                <w:sz w:val="24"/>
                <w:szCs w:val="24"/>
                <w:lang w:val="en-US" w:eastAsia="zh-CN"/>
              </w:rPr>
              <w:t>纯</w:t>
            </w:r>
            <w:r>
              <w:rPr>
                <w:rFonts w:hint="default" w:ascii="Times New Roman" w:hAnsi="Times New Roman" w:eastAsia="宋体" w:cs="Times New Roman"/>
                <w:sz w:val="24"/>
                <w:szCs w:val="24"/>
                <w:lang w:val="en-US" w:eastAsia="zh-CN"/>
              </w:rPr>
              <w:t>水的补充量为</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2076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电泳</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1.47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440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则废水排放量为1.47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440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。电泳</w:t>
            </w:r>
            <w:r>
              <w:rPr>
                <w:rFonts w:hint="default" w:ascii="Times New Roman" w:hAnsi="Times New Roman" w:eastAsia="宋体" w:cs="Times New Roman"/>
                <w:sz w:val="24"/>
                <w:szCs w:val="24"/>
                <w:lang w:val="en-US" w:eastAsia="zh-CN"/>
              </w:rPr>
              <w:t>后水洗</w:t>
            </w:r>
            <w:r>
              <w:rPr>
                <w:rFonts w:hint="eastAsia" w:ascii="Times New Roman" w:hAnsi="Times New Roman" w:eastAsia="宋体" w:cs="Times New Roman"/>
                <w:sz w:val="24"/>
                <w:szCs w:val="24"/>
                <w:lang w:val="en-US" w:eastAsia="zh-CN"/>
              </w:rPr>
              <w:t>废水经自建污水处理站处理后排入宿州市埇桥区曹村污水处理有限公司，最终排入淝河。</w:t>
            </w:r>
          </w:p>
          <w:p w14:paraId="754FBD30">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⑤表调后水洗废水：</w:t>
            </w:r>
            <w:r>
              <w:rPr>
                <w:rFonts w:hint="default" w:ascii="Times New Roman" w:hAnsi="Times New Roman" w:eastAsia="宋体" w:cs="Times New Roman"/>
                <w:sz w:val="24"/>
                <w:szCs w:val="24"/>
                <w:lang w:val="en-US" w:eastAsia="zh-CN"/>
              </w:rPr>
              <w:t>项目设置</w:t>
            </w:r>
            <w:r>
              <w:rPr>
                <w:rFonts w:hint="eastAsia" w:ascii="Times New Roman" w:hAnsi="Times New Roman" w:eastAsia="宋体" w:cs="Times New Roman"/>
                <w:sz w:val="24"/>
                <w:szCs w:val="24"/>
                <w:lang w:val="en-US" w:eastAsia="zh-CN"/>
              </w:rPr>
              <w:t>一座表调水洗池，容积共21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m×2m），</w:t>
            </w:r>
            <w:r>
              <w:rPr>
                <w:rFonts w:hint="eastAsia" w:ascii="Times New Roman" w:hAnsi="Times New Roman" w:eastAsia="宋体" w:cs="Times New Roman"/>
                <w:sz w:val="24"/>
                <w:szCs w:val="24"/>
                <w:lang w:val="en-US" w:eastAsia="zh-CN"/>
              </w:rPr>
              <w:t>表调水池按池子</w:t>
            </w:r>
            <w:r>
              <w:rPr>
                <w:rFonts w:hint="default" w:ascii="Times New Roman" w:hAnsi="Times New Roman" w:eastAsia="宋体" w:cs="Times New Roman"/>
                <w:sz w:val="24"/>
                <w:szCs w:val="24"/>
                <w:lang w:val="en-US" w:eastAsia="zh-CN"/>
              </w:rPr>
              <w:t>容积的80%计，约</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则一次性补充清水为16.8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另外因自然蒸发和物料带走每天按10%计，水的补充量为</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504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表调</w:t>
            </w:r>
            <w:r>
              <w:rPr>
                <w:rFonts w:hint="default" w:ascii="Times New Roman" w:hAnsi="Times New Roman" w:eastAsia="宋体" w:cs="Times New Roman"/>
                <w:sz w:val="24"/>
                <w:szCs w:val="24"/>
                <w:lang w:val="en-US" w:eastAsia="zh-CN"/>
              </w:rPr>
              <w:t>清洗水15天更换一次，更换量为</w:t>
            </w:r>
            <w:r>
              <w:rPr>
                <w:rFonts w:hint="eastAsia" w:ascii="Times New Roman" w:hAnsi="Times New Roman" w:eastAsia="宋体" w:cs="Times New Roman"/>
                <w:sz w:val="24"/>
                <w:szCs w:val="24"/>
                <w:lang w:val="en-US" w:eastAsia="zh-CN"/>
              </w:rPr>
              <w:t>16.8</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1.12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336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则废水排放量为1.12</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336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。表调</w:t>
            </w:r>
            <w:r>
              <w:rPr>
                <w:rFonts w:hint="default" w:ascii="Times New Roman" w:hAnsi="Times New Roman" w:eastAsia="宋体" w:cs="Times New Roman"/>
                <w:sz w:val="24"/>
                <w:szCs w:val="24"/>
                <w:lang w:val="en-US" w:eastAsia="zh-CN"/>
              </w:rPr>
              <w:t>后水洗</w:t>
            </w:r>
            <w:r>
              <w:rPr>
                <w:rFonts w:hint="eastAsia" w:ascii="Times New Roman" w:hAnsi="Times New Roman" w:eastAsia="宋体" w:cs="Times New Roman"/>
                <w:sz w:val="24"/>
                <w:szCs w:val="24"/>
                <w:lang w:val="en-US" w:eastAsia="zh-CN"/>
              </w:rPr>
              <w:t>废水经自建污水处理站处理后排入宿州市埇桥区曹村污水处理有限公司，最终排入淝河。</w:t>
            </w:r>
          </w:p>
          <w:p w14:paraId="68ADC5E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lang w:val="en-US" w:eastAsia="zh-CN"/>
              </w:rPr>
              <w:t>⑥碱喷淋废水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项目酸洗废气治理设施设置1套碱液喷淋塔，喷淋塔设1个</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循环水箱，循环水量</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/h</w:t>
            </w:r>
            <w:r>
              <w:rPr>
                <w:rFonts w:hint="default" w:ascii="Times New Roman" w:hAnsi="Times New Roman" w:eastAsia="宋体" w:cs="Times New Roman"/>
                <w:sz w:val="24"/>
                <w:szCs w:val="24"/>
                <w:lang w:val="en-US" w:eastAsia="zh-CN"/>
              </w:rPr>
              <w:t>，项目喷淋塔由于水分蒸发需定期补充，日耗散的水量约为循环量的1%，则日平均需补充新鲜水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，年需补充蒸发损耗新鲜水量为</w:t>
            </w:r>
            <w:r>
              <w:rPr>
                <w:rFonts w:hint="eastAsia" w:ascii="Times New Roman" w:hAnsi="Times New Roman" w:eastAsia="宋体" w:cs="Times New Roman"/>
                <w:sz w:val="24"/>
                <w:szCs w:val="24"/>
                <w:lang w:val="en-US" w:eastAsia="zh-CN"/>
              </w:rPr>
              <w:t>120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循环水箱</w:t>
            </w:r>
            <w:r>
              <w:rPr>
                <w:rFonts w:hint="default" w:ascii="Times New Roman" w:hAnsi="Times New Roman" w:eastAsia="宋体" w:cs="Times New Roman"/>
                <w:sz w:val="24"/>
                <w:szCs w:val="24"/>
                <w:lang w:val="en-US" w:eastAsia="zh-CN"/>
              </w:rPr>
              <w:t>15天更换一次，更换量为</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/次（</w:t>
            </w:r>
            <w:r>
              <w:rPr>
                <w:rFonts w:hint="eastAsia" w:ascii="Times New Roman" w:hAnsi="Times New Roman" w:eastAsia="宋体" w:cs="Times New Roman"/>
                <w:sz w:val="24"/>
                <w:szCs w:val="24"/>
                <w:lang w:val="en-US" w:eastAsia="zh-CN"/>
              </w:rPr>
              <w:t>0.067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则废水排放量为0.067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。喷淋塔废水经自建污水处理站处理后排入宿州市埇桥区曹村污水处理有限公司，最终排入淝河。</w:t>
            </w:r>
          </w:p>
          <w:p w14:paraId="4F4963B5">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⑦纯水制备废水：项目配置一台纯水制备机，采用过滤+反渗透+离子交换树脂组合工艺</w:t>
            </w:r>
            <w:r>
              <w:rPr>
                <w:rFonts w:hint="default" w:ascii="Times New Roman" w:hAnsi="Times New Roman" w:eastAsia="宋体" w:cs="Times New Roman"/>
                <w:color w:val="auto"/>
                <w:sz w:val="24"/>
                <w:szCs w:val="24"/>
                <w:lang w:val="en-US" w:eastAsia="zh-CN"/>
              </w:rPr>
              <w:t>制备纯水</w:t>
            </w:r>
            <w:r>
              <w:rPr>
                <w:rFonts w:hint="eastAsia" w:ascii="Times New Roman" w:hAnsi="Times New Roman" w:eastAsia="宋体" w:cs="Times New Roman"/>
                <w:color w:val="auto"/>
                <w:sz w:val="24"/>
                <w:szCs w:val="24"/>
                <w:lang w:val="en-US" w:eastAsia="zh-CN"/>
              </w:rPr>
              <w:t>，根据上文纯水用量核算，项目一年共需纯水5361.33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color w:val="auto"/>
                <w:sz w:val="24"/>
                <w:szCs w:val="24"/>
                <w:lang w:val="en-US" w:eastAsia="zh-CN"/>
              </w:rPr>
              <w:t>制水系统纯水制备率70%，则本项目制备纯水年消耗新鲜水量为25.53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/d（7653</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/a），纯水制备浓水产生7.64</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/d（2291.67</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sz w:val="24"/>
                <w:szCs w:val="24"/>
                <w:lang w:val="en-US" w:eastAsia="zh-CN"/>
              </w:rPr>
              <w:t>浓水经自建污水处理站处理后排入宿州市埇桥区曹村污水处理有限公司，最终排入淝河。</w:t>
            </w:r>
          </w:p>
          <w:p w14:paraId="24323CE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⑧电泳纯水洗后沥干废水：项目工件在电泳后需经两次纯水洗后在沥干池上方悬挂沥干后再进入烘干工序，根据行业经验，沥干过程约会沥干工件75%的便面携带水量。根据前文水量分析可知，工件经单个纯水洗后每日携带走的水量约为1.1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/d，则沥干工序每日产生0.825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（247.5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/a）废水。</w:t>
            </w:r>
            <w:r>
              <w:rPr>
                <w:rFonts w:hint="eastAsia" w:ascii="Times New Roman" w:hAnsi="Times New Roman" w:eastAsia="宋体" w:cs="Times New Roman"/>
                <w:sz w:val="24"/>
                <w:szCs w:val="24"/>
                <w:lang w:val="en-US" w:eastAsia="zh-CN"/>
              </w:rPr>
              <w:t>沥干废水经自建污水处理站处理后排入宿州市埇桥区曹村污水处理有限公司，最终排入淝河。</w:t>
            </w:r>
          </w:p>
          <w:p w14:paraId="767EFCD5">
            <w:pPr>
              <w:pStyle w:val="48"/>
              <w:kinsoku/>
              <w:adjustRightInd/>
              <w:snapToGrid/>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sz w:val="24"/>
                <w:szCs w:val="24"/>
                <w:lang w:val="en-US" w:eastAsia="zh-CN"/>
              </w:rPr>
              <w:t>⑨</w:t>
            </w:r>
            <w:r>
              <w:rPr>
                <w:rFonts w:hint="default" w:ascii="Times New Roman" w:hAnsi="Times New Roman" w:eastAsia="宋体" w:cs="Times New Roman"/>
                <w:sz w:val="24"/>
                <w:szCs w:val="24"/>
                <w:lang w:val="en-US" w:eastAsia="zh-CN"/>
              </w:rPr>
              <w:t>车间保洁废水：厂区地面清洁以拖把拖洗或扫地机器人清扫为主，所产生的废水较少，不做定量分析。</w:t>
            </w:r>
          </w:p>
          <w:p w14:paraId="0A9ED9E2">
            <w:pPr>
              <w:kinsoku/>
              <w:adjustRightInd/>
              <w:snapToGrid/>
              <w:jc w:val="center"/>
              <w:rPr>
                <w:rFonts w:ascii="Times New Roman" w:hAnsi="Times New Roman" w:eastAsia="宋体" w:cs="Times New Roman"/>
                <w:b/>
                <w:bCs/>
                <w:lang w:eastAsia="zh-CN"/>
              </w:rPr>
            </w:pPr>
            <w:r>
              <w:rPr>
                <w:rFonts w:ascii="Times New Roman" w:hAnsi="Times New Roman" w:eastAsia="宋体" w:cs="Times New Roman"/>
                <w:b/>
                <w:bCs/>
                <w:sz w:val="24"/>
                <w:lang w:eastAsia="zh-CN"/>
              </w:rPr>
              <w:t>表4-</w:t>
            </w:r>
            <w:r>
              <w:rPr>
                <w:rFonts w:hint="eastAsia" w:ascii="Times New Roman" w:hAnsi="Times New Roman" w:eastAsia="宋体" w:cs="Times New Roman"/>
                <w:b/>
                <w:bCs/>
                <w:sz w:val="24"/>
                <w:lang w:val="en-US" w:eastAsia="zh-CN"/>
              </w:rPr>
              <w:t xml:space="preserve">7 </w:t>
            </w:r>
            <w:r>
              <w:rPr>
                <w:rFonts w:ascii="Times New Roman" w:hAnsi="Times New Roman" w:eastAsia="宋体" w:cs="Times New Roman"/>
                <w:b/>
                <w:bCs/>
                <w:sz w:val="24"/>
                <w:lang w:eastAsia="zh-CN"/>
              </w:rPr>
              <w:t>废水类别、污染物种类、排放方式及污染治理设施一览表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910"/>
              <w:gridCol w:w="2134"/>
              <w:gridCol w:w="619"/>
              <w:gridCol w:w="1389"/>
              <w:gridCol w:w="619"/>
              <w:gridCol w:w="999"/>
              <w:gridCol w:w="683"/>
            </w:tblGrid>
            <w:tr w14:paraId="4BF1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Merge w:val="restart"/>
                  <w:vAlign w:val="center"/>
                </w:tcPr>
                <w:p w14:paraId="0B195832">
                  <w:pPr>
                    <w:kinsoku/>
                    <w:jc w:val="center"/>
                    <w:rPr>
                      <w:rFonts w:ascii="Times New Roman" w:hAnsi="Times New Roman" w:eastAsia="宋体" w:cs="Times New Roman"/>
                    </w:rPr>
                  </w:pPr>
                  <w:r>
                    <w:rPr>
                      <w:rFonts w:ascii="Times New Roman" w:hAnsi="Times New Roman" w:eastAsia="宋体" w:cs="Times New Roman"/>
                    </w:rPr>
                    <w:t>废水类别</w:t>
                  </w:r>
                </w:p>
              </w:tc>
              <w:tc>
                <w:tcPr>
                  <w:tcW w:w="0" w:type="auto"/>
                  <w:vMerge w:val="restart"/>
                  <w:vAlign w:val="center"/>
                </w:tcPr>
                <w:p w14:paraId="66592644">
                  <w:pPr>
                    <w:kinsoku/>
                    <w:jc w:val="center"/>
                    <w:rPr>
                      <w:rFonts w:ascii="Times New Roman" w:hAnsi="Times New Roman" w:eastAsia="宋体" w:cs="Times New Roman"/>
                    </w:rPr>
                  </w:pPr>
                  <w:r>
                    <w:rPr>
                      <w:rFonts w:ascii="Times New Roman" w:hAnsi="Times New Roman" w:eastAsia="宋体" w:cs="Times New Roman"/>
                    </w:rPr>
                    <w:t>污染物种类</w:t>
                  </w:r>
                </w:p>
              </w:tc>
              <w:tc>
                <w:tcPr>
                  <w:tcW w:w="0" w:type="auto"/>
                  <w:gridSpan w:val="2"/>
                  <w:vAlign w:val="center"/>
                </w:tcPr>
                <w:p w14:paraId="051DF013">
                  <w:pPr>
                    <w:kinsoku/>
                    <w:jc w:val="center"/>
                    <w:rPr>
                      <w:rFonts w:ascii="Times New Roman" w:hAnsi="Times New Roman" w:eastAsia="宋体" w:cs="Times New Roman"/>
                    </w:rPr>
                  </w:pPr>
                  <w:r>
                    <w:rPr>
                      <w:rFonts w:ascii="Times New Roman" w:hAnsi="Times New Roman" w:eastAsia="宋体" w:cs="Times New Roman"/>
                    </w:rPr>
                    <w:t>污染治理工艺</w:t>
                  </w:r>
                </w:p>
              </w:tc>
              <w:tc>
                <w:tcPr>
                  <w:tcW w:w="0" w:type="auto"/>
                  <w:vMerge w:val="restart"/>
                  <w:vAlign w:val="center"/>
                </w:tcPr>
                <w:p w14:paraId="688FB58F">
                  <w:pPr>
                    <w:kinsoku/>
                    <w:jc w:val="center"/>
                    <w:rPr>
                      <w:rFonts w:ascii="Times New Roman" w:hAnsi="Times New Roman" w:eastAsia="宋体" w:cs="Times New Roman"/>
                    </w:rPr>
                  </w:pPr>
                  <w:r>
                    <w:rPr>
                      <w:rFonts w:ascii="Times New Roman" w:hAnsi="Times New Roman" w:eastAsia="宋体" w:cs="Times New Roman"/>
                    </w:rPr>
                    <w:t>排放去向</w:t>
                  </w:r>
                </w:p>
              </w:tc>
              <w:tc>
                <w:tcPr>
                  <w:tcW w:w="0" w:type="auto"/>
                  <w:vMerge w:val="restart"/>
                  <w:vAlign w:val="center"/>
                </w:tcPr>
                <w:p w14:paraId="6C3512AD">
                  <w:pPr>
                    <w:kinsoku/>
                    <w:jc w:val="center"/>
                    <w:rPr>
                      <w:rFonts w:ascii="Times New Roman" w:hAnsi="Times New Roman" w:eastAsia="宋体" w:cs="Times New Roman"/>
                    </w:rPr>
                  </w:pPr>
                  <w:r>
                    <w:rPr>
                      <w:rFonts w:ascii="Times New Roman" w:hAnsi="Times New Roman" w:eastAsia="宋体" w:cs="Times New Roman"/>
                    </w:rPr>
                    <w:t>排放方式</w:t>
                  </w:r>
                </w:p>
              </w:tc>
              <w:tc>
                <w:tcPr>
                  <w:tcW w:w="0" w:type="auto"/>
                  <w:vMerge w:val="restart"/>
                  <w:vAlign w:val="center"/>
                </w:tcPr>
                <w:p w14:paraId="4B1A6DFC">
                  <w:pPr>
                    <w:kinsoku/>
                    <w:jc w:val="center"/>
                    <w:rPr>
                      <w:rFonts w:ascii="Times New Roman" w:hAnsi="Times New Roman" w:eastAsia="宋体" w:cs="Times New Roman"/>
                    </w:rPr>
                  </w:pPr>
                  <w:r>
                    <w:rPr>
                      <w:rFonts w:ascii="Times New Roman" w:hAnsi="Times New Roman" w:eastAsia="宋体" w:cs="Times New Roman"/>
                    </w:rPr>
                    <w:t>排放口编号</w:t>
                  </w:r>
                </w:p>
              </w:tc>
              <w:tc>
                <w:tcPr>
                  <w:tcW w:w="0" w:type="auto"/>
                  <w:vMerge w:val="restart"/>
                  <w:vAlign w:val="center"/>
                </w:tcPr>
                <w:p w14:paraId="4FFA2F31">
                  <w:pPr>
                    <w:kinsoku/>
                    <w:jc w:val="center"/>
                    <w:rPr>
                      <w:rFonts w:ascii="Times New Roman" w:hAnsi="Times New Roman" w:eastAsia="宋体" w:cs="Times New Roman"/>
                    </w:rPr>
                  </w:pPr>
                  <w:r>
                    <w:rPr>
                      <w:rFonts w:ascii="Times New Roman" w:hAnsi="Times New Roman" w:eastAsia="宋体" w:cs="Times New Roman"/>
                    </w:rPr>
                    <w:t>排放口类型</w:t>
                  </w:r>
                </w:p>
              </w:tc>
            </w:tr>
            <w:tr w14:paraId="086A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Merge w:val="continue"/>
                  <w:vAlign w:val="center"/>
                </w:tcPr>
                <w:p w14:paraId="03E5A21B">
                  <w:pPr>
                    <w:kinsoku/>
                    <w:jc w:val="center"/>
                    <w:rPr>
                      <w:rFonts w:ascii="Times New Roman" w:hAnsi="Times New Roman" w:eastAsia="宋体" w:cs="Times New Roman"/>
                    </w:rPr>
                  </w:pPr>
                </w:p>
              </w:tc>
              <w:tc>
                <w:tcPr>
                  <w:tcW w:w="0" w:type="auto"/>
                  <w:vMerge w:val="continue"/>
                  <w:vAlign w:val="center"/>
                </w:tcPr>
                <w:p w14:paraId="1B889012">
                  <w:pPr>
                    <w:kinsoku/>
                    <w:jc w:val="center"/>
                    <w:rPr>
                      <w:rFonts w:ascii="Times New Roman" w:hAnsi="Times New Roman" w:eastAsia="宋体" w:cs="Times New Roman"/>
                    </w:rPr>
                  </w:pPr>
                </w:p>
              </w:tc>
              <w:tc>
                <w:tcPr>
                  <w:tcW w:w="0" w:type="auto"/>
                  <w:vAlign w:val="center"/>
                </w:tcPr>
                <w:p w14:paraId="610BC719">
                  <w:pPr>
                    <w:kinsoku/>
                    <w:jc w:val="center"/>
                    <w:rPr>
                      <w:rFonts w:ascii="Times New Roman" w:hAnsi="Times New Roman" w:eastAsia="宋体" w:cs="Times New Roman"/>
                    </w:rPr>
                  </w:pPr>
                  <w:r>
                    <w:rPr>
                      <w:rFonts w:ascii="Times New Roman" w:hAnsi="Times New Roman" w:eastAsia="宋体" w:cs="Times New Roman"/>
                    </w:rPr>
                    <w:t>治理工艺</w:t>
                  </w:r>
                </w:p>
              </w:tc>
              <w:tc>
                <w:tcPr>
                  <w:tcW w:w="0" w:type="auto"/>
                  <w:vAlign w:val="center"/>
                </w:tcPr>
                <w:p w14:paraId="1BE1EBA4">
                  <w:pPr>
                    <w:kinsoku/>
                    <w:jc w:val="center"/>
                    <w:rPr>
                      <w:rFonts w:ascii="Times New Roman" w:hAnsi="Times New Roman" w:eastAsia="宋体" w:cs="Times New Roman"/>
                    </w:rPr>
                  </w:pPr>
                  <w:r>
                    <w:rPr>
                      <w:rFonts w:ascii="Times New Roman" w:hAnsi="Times New Roman" w:eastAsia="宋体" w:cs="Times New Roman"/>
                    </w:rPr>
                    <w:t>是否可行</w:t>
                  </w:r>
                </w:p>
              </w:tc>
              <w:tc>
                <w:tcPr>
                  <w:tcW w:w="0" w:type="auto"/>
                  <w:vMerge w:val="continue"/>
                  <w:vAlign w:val="center"/>
                </w:tcPr>
                <w:p w14:paraId="4519B916">
                  <w:pPr>
                    <w:kinsoku/>
                    <w:jc w:val="center"/>
                    <w:rPr>
                      <w:rFonts w:ascii="Times New Roman" w:hAnsi="Times New Roman" w:eastAsia="宋体" w:cs="Times New Roman"/>
                    </w:rPr>
                  </w:pPr>
                </w:p>
              </w:tc>
              <w:tc>
                <w:tcPr>
                  <w:tcW w:w="0" w:type="auto"/>
                  <w:vMerge w:val="continue"/>
                  <w:vAlign w:val="center"/>
                </w:tcPr>
                <w:p w14:paraId="06DE57EA">
                  <w:pPr>
                    <w:kinsoku/>
                    <w:jc w:val="center"/>
                    <w:rPr>
                      <w:rFonts w:ascii="Times New Roman" w:hAnsi="Times New Roman" w:eastAsia="宋体" w:cs="Times New Roman"/>
                    </w:rPr>
                  </w:pPr>
                </w:p>
              </w:tc>
              <w:tc>
                <w:tcPr>
                  <w:tcW w:w="0" w:type="auto"/>
                  <w:vMerge w:val="continue"/>
                  <w:vAlign w:val="center"/>
                </w:tcPr>
                <w:p w14:paraId="1ADF5419">
                  <w:pPr>
                    <w:kinsoku/>
                    <w:jc w:val="center"/>
                    <w:rPr>
                      <w:rFonts w:ascii="Times New Roman" w:hAnsi="Times New Roman" w:eastAsia="宋体" w:cs="Times New Roman"/>
                    </w:rPr>
                  </w:pPr>
                </w:p>
              </w:tc>
              <w:tc>
                <w:tcPr>
                  <w:tcW w:w="0" w:type="auto"/>
                  <w:vMerge w:val="continue"/>
                  <w:vAlign w:val="center"/>
                </w:tcPr>
                <w:p w14:paraId="04A9FD61">
                  <w:pPr>
                    <w:kinsoku/>
                    <w:jc w:val="center"/>
                    <w:rPr>
                      <w:rFonts w:ascii="Times New Roman" w:hAnsi="Times New Roman" w:eastAsia="宋体" w:cs="Times New Roman"/>
                    </w:rPr>
                  </w:pPr>
                </w:p>
              </w:tc>
            </w:tr>
            <w:tr w14:paraId="23A0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6D075A33">
                  <w:pPr>
                    <w:kinsoku/>
                    <w:jc w:val="center"/>
                    <w:rPr>
                      <w:rFonts w:ascii="Times New Roman" w:hAnsi="Times New Roman" w:eastAsia="宋体" w:cs="Times New Roman"/>
                    </w:rPr>
                  </w:pPr>
                  <w:r>
                    <w:rPr>
                      <w:rFonts w:ascii="Times New Roman" w:hAnsi="Times New Roman" w:eastAsia="宋体" w:cs="Times New Roman"/>
                      <w:lang w:eastAsia="zh-CN"/>
                    </w:rPr>
                    <w:t>生活污水</w:t>
                  </w:r>
                </w:p>
              </w:tc>
              <w:tc>
                <w:tcPr>
                  <w:tcW w:w="0" w:type="auto"/>
                  <w:vAlign w:val="center"/>
                </w:tcPr>
                <w:p w14:paraId="4E1C46D8">
                  <w:pPr>
                    <w:kinsoku/>
                    <w:jc w:val="center"/>
                    <w:rPr>
                      <w:rFonts w:ascii="Times New Roman" w:hAnsi="Times New Roman" w:eastAsia="宋体" w:cs="Times New Roman"/>
                      <w:lang w:eastAsia="zh-C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、SS、NH</w:t>
                  </w:r>
                  <w:r>
                    <w:rPr>
                      <w:rFonts w:ascii="Times New Roman" w:hAnsi="Times New Roman" w:eastAsia="宋体" w:cs="Times New Roman"/>
                      <w:vertAlign w:val="subscript"/>
                    </w:rPr>
                    <w:t>3</w:t>
                  </w:r>
                  <w:r>
                    <w:rPr>
                      <w:rFonts w:ascii="Times New Roman" w:hAnsi="Times New Roman" w:eastAsia="宋体" w:cs="Times New Roman"/>
                    </w:rPr>
                    <w:t>-N</w:t>
                  </w:r>
                </w:p>
              </w:tc>
              <w:tc>
                <w:tcPr>
                  <w:tcW w:w="0" w:type="auto"/>
                  <w:vAlign w:val="center"/>
                </w:tcPr>
                <w:p w14:paraId="2DD6B119">
                  <w:pPr>
                    <w:kinsoku/>
                    <w:jc w:val="center"/>
                    <w:rPr>
                      <w:rFonts w:ascii="Times New Roman" w:hAnsi="Times New Roman" w:eastAsia="宋体" w:cs="Times New Roman"/>
                    </w:rPr>
                  </w:pPr>
                  <w:r>
                    <w:rPr>
                      <w:rFonts w:ascii="Times New Roman" w:hAnsi="Times New Roman" w:eastAsia="宋体" w:cs="Times New Roman"/>
                    </w:rPr>
                    <w:t>化粪池</w:t>
                  </w:r>
                </w:p>
              </w:tc>
              <w:tc>
                <w:tcPr>
                  <w:tcW w:w="0" w:type="auto"/>
                  <w:vAlign w:val="center"/>
                </w:tcPr>
                <w:p w14:paraId="2054E3C0">
                  <w:pPr>
                    <w:kinsoku/>
                    <w:jc w:val="center"/>
                    <w:rPr>
                      <w:rFonts w:ascii="Times New Roman" w:hAnsi="Times New Roman" w:eastAsia="宋体" w:cs="Times New Roman"/>
                    </w:rPr>
                  </w:pPr>
                  <w:r>
                    <w:rPr>
                      <w:rFonts w:ascii="Times New Roman" w:hAnsi="Times New Roman" w:eastAsia="宋体" w:cs="Times New Roman"/>
                    </w:rPr>
                    <w:t>是</w:t>
                  </w:r>
                </w:p>
              </w:tc>
              <w:tc>
                <w:tcPr>
                  <w:tcW w:w="0" w:type="auto"/>
                  <w:vMerge w:val="restart"/>
                  <w:vAlign w:val="center"/>
                </w:tcPr>
                <w:p w14:paraId="73B20427">
                  <w:pPr>
                    <w:kinsoku/>
                    <w:jc w:val="center"/>
                    <w:rPr>
                      <w:rFonts w:ascii="Times New Roman" w:hAnsi="Times New Roman" w:eastAsia="宋体" w:cs="Times New Roman"/>
                      <w:lang w:eastAsia="zh-CN"/>
                    </w:rPr>
                  </w:pPr>
                  <w:r>
                    <w:rPr>
                      <w:rFonts w:hint="eastAsia" w:ascii="Times New Roman" w:hAnsi="Times New Roman" w:eastAsia="宋体" w:cs="Times New Roman"/>
                      <w:lang w:eastAsia="zh-CN"/>
                    </w:rPr>
                    <w:t>宿州市埇桥区曹村污水处理有限公司</w:t>
                  </w:r>
                </w:p>
              </w:tc>
              <w:tc>
                <w:tcPr>
                  <w:tcW w:w="0" w:type="auto"/>
                  <w:vMerge w:val="restart"/>
                  <w:vAlign w:val="center"/>
                </w:tcPr>
                <w:p w14:paraId="0F565058">
                  <w:pPr>
                    <w:kinsoku/>
                    <w:jc w:val="center"/>
                    <w:rPr>
                      <w:rFonts w:ascii="Times New Roman" w:hAnsi="Times New Roman" w:eastAsia="宋体" w:cs="Times New Roman"/>
                      <w:lang w:eastAsia="zh-CN"/>
                    </w:rPr>
                  </w:pPr>
                  <w:r>
                    <w:rPr>
                      <w:rFonts w:ascii="Times New Roman" w:hAnsi="Times New Roman" w:eastAsia="宋体" w:cs="Times New Roman"/>
                      <w:lang w:eastAsia="zh-CN"/>
                    </w:rPr>
                    <w:t>间接排放</w:t>
                  </w:r>
                </w:p>
              </w:tc>
              <w:tc>
                <w:tcPr>
                  <w:tcW w:w="0" w:type="auto"/>
                  <w:vMerge w:val="restart"/>
                  <w:vAlign w:val="center"/>
                </w:tcPr>
                <w:p w14:paraId="7D550353">
                  <w:pPr>
                    <w:kinsoku/>
                    <w:jc w:val="center"/>
                    <w:rPr>
                      <w:rFonts w:ascii="Times New Roman" w:hAnsi="Times New Roman" w:eastAsia="宋体" w:cs="Times New Roman"/>
                      <w:lang w:eastAsia="zh-CN"/>
                    </w:rPr>
                  </w:pPr>
                  <w:r>
                    <w:rPr>
                      <w:rFonts w:ascii="Times New Roman" w:hAnsi="Times New Roman" w:eastAsia="宋体" w:cs="Times New Roman"/>
                      <w:lang w:eastAsia="zh-CN"/>
                    </w:rPr>
                    <w:t>DW001</w:t>
                  </w:r>
                </w:p>
              </w:tc>
              <w:tc>
                <w:tcPr>
                  <w:tcW w:w="0" w:type="auto"/>
                  <w:vMerge w:val="restart"/>
                  <w:vAlign w:val="center"/>
                </w:tcPr>
                <w:p w14:paraId="416D92AB">
                  <w:pPr>
                    <w:kinsoku/>
                    <w:jc w:val="center"/>
                    <w:rPr>
                      <w:rFonts w:ascii="Times New Roman" w:hAnsi="Times New Roman" w:eastAsia="宋体" w:cs="Times New Roman"/>
                      <w:lang w:eastAsia="zh-CN"/>
                    </w:rPr>
                  </w:pPr>
                  <w:r>
                    <w:rPr>
                      <w:rFonts w:hint="eastAsia" w:ascii="Times New Roman" w:hAnsi="Times New Roman" w:eastAsia="宋体" w:cs="Times New Roman"/>
                      <w:lang w:eastAsia="zh-CN"/>
                    </w:rPr>
                    <w:t>厂区总排口</w:t>
                  </w:r>
                </w:p>
              </w:tc>
            </w:tr>
            <w:tr w14:paraId="5066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3363323D">
                  <w:pPr>
                    <w:kinsoku/>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酸洗</w:t>
                  </w:r>
                  <w:r>
                    <w:rPr>
                      <w:rFonts w:hint="default" w:ascii="Times New Roman" w:hAnsi="Times New Roman" w:eastAsia="宋体" w:cs="Times New Roman"/>
                      <w:lang w:val="en-US" w:eastAsia="zh-CN"/>
                    </w:rPr>
                    <w:t>后水洗</w:t>
                  </w:r>
                  <w:r>
                    <w:rPr>
                      <w:rFonts w:hint="eastAsia" w:ascii="Times New Roman" w:hAnsi="Times New Roman" w:eastAsia="宋体" w:cs="Times New Roman"/>
                      <w:lang w:val="en-US" w:eastAsia="zh-CN"/>
                    </w:rPr>
                    <w:t>废水</w:t>
                  </w:r>
                </w:p>
              </w:tc>
              <w:tc>
                <w:tcPr>
                  <w:tcW w:w="0" w:type="auto"/>
                  <w:vAlign w:val="center"/>
                </w:tcPr>
                <w:p w14:paraId="27A5D58E">
                  <w:pPr>
                    <w:kinsoku/>
                    <w:jc w:val="center"/>
                    <w:rPr>
                      <w:rFonts w:hint="default" w:ascii="Times New Roman" w:hAnsi="Times New Roman" w:eastAsia="宋体" w:cs="Times New Roman"/>
                      <w:lang w:val="en-US" w:eastAsia="zh-CN"/>
                    </w:rPr>
                  </w:pPr>
                  <w:r>
                    <w:rPr>
                      <w:rFonts w:hint="eastAsia" w:ascii="Times New Roman" w:hAnsi="Times New Roman" w:eastAsia="宋体" w:cs="Times New Roman"/>
                    </w:rPr>
                    <w:t>pH、COD、SS、石油类、</w:t>
                  </w:r>
                  <w:r>
                    <w:rPr>
                      <w:rFonts w:hint="eastAsia" w:ascii="Times New Roman" w:hAnsi="Times New Roman" w:eastAsia="宋体" w:cs="Times New Roman"/>
                      <w:lang w:val="en-US" w:eastAsia="zh-CN"/>
                    </w:rPr>
                    <w:t>Fe</w:t>
                  </w:r>
                  <w:r>
                    <w:rPr>
                      <w:rFonts w:hint="eastAsia" w:ascii="Times New Roman" w:hAnsi="Times New Roman" w:eastAsia="宋体" w:cs="Times New Roman"/>
                    </w:rPr>
                    <w:t>、</w:t>
                  </w:r>
                  <w:r>
                    <w:rPr>
                      <w:rFonts w:hint="eastAsia" w:ascii="Times New Roman" w:hAnsi="Times New Roman" w:eastAsia="宋体" w:cs="Times New Roman"/>
                      <w:lang w:val="en-US" w:eastAsia="zh-CN"/>
                    </w:rPr>
                    <w:t>Zn</w:t>
                  </w:r>
                </w:p>
              </w:tc>
              <w:tc>
                <w:tcPr>
                  <w:tcW w:w="0" w:type="auto"/>
                  <w:vMerge w:val="restart"/>
                  <w:vAlign w:val="center"/>
                </w:tcPr>
                <w:p w14:paraId="1CEDEEF0">
                  <w:pPr>
                    <w:kinsoku/>
                    <w:jc w:val="center"/>
                    <w:rPr>
                      <w:rFonts w:hint="eastAsia" w:ascii="Times New Roman" w:hAnsi="Times New Roman" w:eastAsia="宋体" w:cs="Times New Roman"/>
                      <w:lang w:eastAsia="zh-CN"/>
                    </w:rPr>
                  </w:pPr>
                  <w:r>
                    <w:rPr>
                      <w:rFonts w:hint="default" w:ascii="Times New Roman" w:hAnsi="Times New Roman" w:eastAsia="宋体" w:cs="Times New Roman"/>
                      <w:lang w:eastAsia="zh-CN"/>
                    </w:rPr>
                    <w:t>自建污水处理站：</w:t>
                  </w:r>
                  <w:r>
                    <w:rPr>
                      <w:rFonts w:hint="default" w:ascii="Times New Roman" w:hAnsi="Times New Roman" w:eastAsia="宋体" w:cs="Times New Roman"/>
                      <w:bCs/>
                      <w:szCs w:val="21"/>
                    </w:rPr>
                    <w:t>调节池+混凝沉淀+芬顿氧化+A/O工艺</w:t>
                  </w:r>
                </w:p>
              </w:tc>
              <w:tc>
                <w:tcPr>
                  <w:tcW w:w="0" w:type="auto"/>
                  <w:vMerge w:val="restart"/>
                  <w:vAlign w:val="center"/>
                </w:tcPr>
                <w:p w14:paraId="24DADA25">
                  <w:pPr>
                    <w:kinsoku/>
                    <w:jc w:val="center"/>
                    <w:rPr>
                      <w:rFonts w:ascii="Times New Roman" w:hAnsi="Times New Roman" w:eastAsia="宋体" w:cs="Times New Roman"/>
                    </w:rPr>
                  </w:pPr>
                  <w:r>
                    <w:rPr>
                      <w:rFonts w:ascii="Times New Roman" w:hAnsi="Times New Roman" w:eastAsia="宋体" w:cs="Times New Roman"/>
                    </w:rPr>
                    <w:t>是</w:t>
                  </w:r>
                </w:p>
              </w:tc>
              <w:tc>
                <w:tcPr>
                  <w:tcW w:w="0" w:type="auto"/>
                  <w:vMerge w:val="continue"/>
                  <w:vAlign w:val="center"/>
                </w:tcPr>
                <w:p w14:paraId="2B3E200A">
                  <w:pPr>
                    <w:kinsoku/>
                    <w:jc w:val="center"/>
                    <w:rPr>
                      <w:rFonts w:hint="eastAsia" w:ascii="Times New Roman" w:hAnsi="Times New Roman" w:eastAsia="宋体" w:cs="Times New Roman"/>
                      <w:lang w:eastAsia="zh-CN"/>
                    </w:rPr>
                  </w:pPr>
                </w:p>
              </w:tc>
              <w:tc>
                <w:tcPr>
                  <w:tcW w:w="0" w:type="auto"/>
                  <w:vMerge w:val="continue"/>
                  <w:vAlign w:val="center"/>
                </w:tcPr>
                <w:p w14:paraId="02580DF2">
                  <w:pPr>
                    <w:kinsoku/>
                    <w:jc w:val="center"/>
                    <w:rPr>
                      <w:rFonts w:ascii="Times New Roman" w:hAnsi="Times New Roman" w:eastAsia="宋体" w:cs="Times New Roman"/>
                      <w:lang w:eastAsia="zh-CN"/>
                    </w:rPr>
                  </w:pPr>
                </w:p>
              </w:tc>
              <w:tc>
                <w:tcPr>
                  <w:tcW w:w="0" w:type="auto"/>
                  <w:vMerge w:val="continue"/>
                  <w:vAlign w:val="center"/>
                </w:tcPr>
                <w:p w14:paraId="05BF6517">
                  <w:pPr>
                    <w:kinsoku/>
                    <w:jc w:val="center"/>
                    <w:rPr>
                      <w:rFonts w:ascii="Times New Roman" w:hAnsi="Times New Roman" w:eastAsia="宋体" w:cs="Times New Roman"/>
                      <w:lang w:eastAsia="zh-CN"/>
                    </w:rPr>
                  </w:pPr>
                </w:p>
              </w:tc>
              <w:tc>
                <w:tcPr>
                  <w:tcW w:w="0" w:type="auto"/>
                  <w:vMerge w:val="continue"/>
                  <w:vAlign w:val="center"/>
                </w:tcPr>
                <w:p w14:paraId="194055A4">
                  <w:pPr>
                    <w:kinsoku/>
                    <w:jc w:val="center"/>
                    <w:rPr>
                      <w:rFonts w:ascii="Times New Roman" w:hAnsi="Times New Roman" w:eastAsia="宋体" w:cs="Times New Roman"/>
                      <w:lang w:eastAsia="zh-CN"/>
                    </w:rPr>
                  </w:pPr>
                </w:p>
              </w:tc>
            </w:tr>
            <w:tr w14:paraId="01D1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015AD022">
                  <w:pPr>
                    <w:kinsoku/>
                    <w:jc w:val="center"/>
                    <w:rPr>
                      <w:rFonts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磷化后水洗</w:t>
                  </w:r>
                  <w:r>
                    <w:rPr>
                      <w:rFonts w:hint="eastAsia" w:ascii="Times New Roman" w:hAnsi="Times New Roman" w:eastAsia="宋体" w:cs="Times New Roman"/>
                      <w:sz w:val="21"/>
                      <w:szCs w:val="21"/>
                      <w:lang w:val="en-US" w:eastAsia="zh-CN"/>
                    </w:rPr>
                    <w:t>废水</w:t>
                  </w:r>
                </w:p>
              </w:tc>
              <w:tc>
                <w:tcPr>
                  <w:tcW w:w="0" w:type="auto"/>
                  <w:vAlign w:val="center"/>
                </w:tcPr>
                <w:p w14:paraId="5AF27697">
                  <w:pPr>
                    <w:kinsoku/>
                    <w:jc w:val="center"/>
                    <w:rPr>
                      <w:rFonts w:hint="default" w:ascii="Times New Roman" w:hAnsi="Times New Roman" w:eastAsia="宋体" w:cs="Times New Roman"/>
                      <w:lang w:val="en-US" w:eastAsia="zh-CN"/>
                    </w:rPr>
                  </w:pPr>
                  <w:r>
                    <w:rPr>
                      <w:rFonts w:hint="eastAsia" w:ascii="Times New Roman" w:hAnsi="Times New Roman" w:eastAsia="宋体" w:cs="Times New Roman"/>
                    </w:rPr>
                    <w:t>pH、COD、SS、石油类、</w:t>
                  </w:r>
                  <w:r>
                    <w:rPr>
                      <w:rFonts w:hint="eastAsia" w:ascii="Times New Roman" w:hAnsi="Times New Roman" w:eastAsia="宋体" w:cs="Times New Roman"/>
                      <w:lang w:val="en-US" w:eastAsia="zh-CN"/>
                    </w:rPr>
                    <w:t>Zn</w:t>
                  </w:r>
                  <w:r>
                    <w:rPr>
                      <w:rFonts w:hint="eastAsia" w:ascii="Times New Roman" w:hAnsi="Times New Roman" w:eastAsia="宋体" w:cs="Times New Roman"/>
                    </w:rPr>
                    <w:t>、</w:t>
                  </w:r>
                  <w:r>
                    <w:rPr>
                      <w:rFonts w:hint="eastAsia" w:ascii="Times New Roman" w:hAnsi="Times New Roman" w:eastAsia="宋体" w:cs="Times New Roman"/>
                      <w:lang w:val="en-US" w:eastAsia="zh-CN"/>
                    </w:rPr>
                    <w:t>Tp</w:t>
                  </w:r>
                </w:p>
              </w:tc>
              <w:tc>
                <w:tcPr>
                  <w:tcW w:w="0" w:type="auto"/>
                  <w:vMerge w:val="continue"/>
                  <w:vAlign w:val="center"/>
                </w:tcPr>
                <w:p w14:paraId="08D06E20">
                  <w:pPr>
                    <w:kinsoku/>
                    <w:jc w:val="center"/>
                    <w:rPr>
                      <w:rFonts w:ascii="Times New Roman" w:hAnsi="Times New Roman" w:eastAsia="宋体" w:cs="Times New Roman"/>
                    </w:rPr>
                  </w:pPr>
                </w:p>
              </w:tc>
              <w:tc>
                <w:tcPr>
                  <w:tcW w:w="0" w:type="auto"/>
                  <w:vMerge w:val="continue"/>
                  <w:vAlign w:val="center"/>
                </w:tcPr>
                <w:p w14:paraId="6628D30B">
                  <w:pPr>
                    <w:kinsoku/>
                    <w:jc w:val="center"/>
                    <w:rPr>
                      <w:rFonts w:ascii="Times New Roman" w:hAnsi="Times New Roman" w:eastAsia="宋体" w:cs="Times New Roman"/>
                    </w:rPr>
                  </w:pPr>
                </w:p>
              </w:tc>
              <w:tc>
                <w:tcPr>
                  <w:tcW w:w="0" w:type="auto"/>
                  <w:vMerge w:val="continue"/>
                  <w:vAlign w:val="center"/>
                </w:tcPr>
                <w:p w14:paraId="03FB3458">
                  <w:pPr>
                    <w:kinsoku/>
                    <w:jc w:val="center"/>
                    <w:rPr>
                      <w:rFonts w:hint="eastAsia" w:ascii="Times New Roman" w:hAnsi="Times New Roman" w:eastAsia="宋体" w:cs="Times New Roman"/>
                      <w:lang w:eastAsia="zh-CN"/>
                    </w:rPr>
                  </w:pPr>
                </w:p>
              </w:tc>
              <w:tc>
                <w:tcPr>
                  <w:tcW w:w="0" w:type="auto"/>
                  <w:vMerge w:val="continue"/>
                  <w:vAlign w:val="center"/>
                </w:tcPr>
                <w:p w14:paraId="79A4D16E">
                  <w:pPr>
                    <w:kinsoku/>
                    <w:jc w:val="center"/>
                    <w:rPr>
                      <w:rFonts w:ascii="Times New Roman" w:hAnsi="Times New Roman" w:eastAsia="宋体" w:cs="Times New Roman"/>
                      <w:lang w:eastAsia="zh-CN"/>
                    </w:rPr>
                  </w:pPr>
                </w:p>
              </w:tc>
              <w:tc>
                <w:tcPr>
                  <w:tcW w:w="0" w:type="auto"/>
                  <w:vMerge w:val="continue"/>
                  <w:vAlign w:val="center"/>
                </w:tcPr>
                <w:p w14:paraId="5AB0140F">
                  <w:pPr>
                    <w:kinsoku/>
                    <w:jc w:val="center"/>
                    <w:rPr>
                      <w:rFonts w:ascii="Times New Roman" w:hAnsi="Times New Roman" w:eastAsia="宋体" w:cs="Times New Roman"/>
                      <w:lang w:eastAsia="zh-CN"/>
                    </w:rPr>
                  </w:pPr>
                </w:p>
              </w:tc>
              <w:tc>
                <w:tcPr>
                  <w:tcW w:w="0" w:type="auto"/>
                  <w:vMerge w:val="continue"/>
                  <w:vAlign w:val="center"/>
                </w:tcPr>
                <w:p w14:paraId="68E36923">
                  <w:pPr>
                    <w:kinsoku/>
                    <w:jc w:val="center"/>
                    <w:rPr>
                      <w:rFonts w:ascii="Times New Roman" w:hAnsi="Times New Roman" w:eastAsia="宋体" w:cs="Times New Roman"/>
                      <w:lang w:eastAsia="zh-CN"/>
                    </w:rPr>
                  </w:pPr>
                </w:p>
              </w:tc>
            </w:tr>
            <w:tr w14:paraId="174F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36A14CD0">
                  <w:pPr>
                    <w:kinsoku/>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电泳后纯水洗废水</w:t>
                  </w:r>
                </w:p>
              </w:tc>
              <w:tc>
                <w:tcPr>
                  <w:tcW w:w="0" w:type="auto"/>
                  <w:vAlign w:val="center"/>
                </w:tcPr>
                <w:p w14:paraId="4F4DFD81">
                  <w:pPr>
                    <w:kinsoku/>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、SS、NH</w:t>
                  </w:r>
                  <w:r>
                    <w:rPr>
                      <w:rFonts w:ascii="Times New Roman" w:hAnsi="Times New Roman" w:eastAsia="宋体" w:cs="Times New Roman"/>
                      <w:vertAlign w:val="subscript"/>
                    </w:rPr>
                    <w:t>3</w:t>
                  </w:r>
                  <w:r>
                    <w:rPr>
                      <w:rFonts w:ascii="Times New Roman" w:hAnsi="Times New Roman" w:eastAsia="宋体" w:cs="Times New Roman"/>
                    </w:rPr>
                    <w:t>-N</w:t>
                  </w:r>
                </w:p>
              </w:tc>
              <w:tc>
                <w:tcPr>
                  <w:tcW w:w="0" w:type="auto"/>
                  <w:vMerge w:val="continue"/>
                  <w:vAlign w:val="center"/>
                </w:tcPr>
                <w:p w14:paraId="02A89B68">
                  <w:pPr>
                    <w:kinsoku/>
                    <w:jc w:val="center"/>
                    <w:rPr>
                      <w:rFonts w:ascii="Times New Roman" w:hAnsi="Times New Roman" w:eastAsia="宋体" w:cs="Times New Roman"/>
                    </w:rPr>
                  </w:pPr>
                </w:p>
              </w:tc>
              <w:tc>
                <w:tcPr>
                  <w:tcW w:w="0" w:type="auto"/>
                  <w:vMerge w:val="continue"/>
                  <w:vAlign w:val="center"/>
                </w:tcPr>
                <w:p w14:paraId="0CC6809C">
                  <w:pPr>
                    <w:kinsoku/>
                    <w:jc w:val="center"/>
                    <w:rPr>
                      <w:rFonts w:ascii="Times New Roman" w:hAnsi="Times New Roman" w:eastAsia="宋体" w:cs="Times New Roman"/>
                    </w:rPr>
                  </w:pPr>
                </w:p>
              </w:tc>
              <w:tc>
                <w:tcPr>
                  <w:tcW w:w="0" w:type="auto"/>
                  <w:vMerge w:val="continue"/>
                  <w:vAlign w:val="center"/>
                </w:tcPr>
                <w:p w14:paraId="33C992D3">
                  <w:pPr>
                    <w:kinsoku/>
                    <w:jc w:val="center"/>
                    <w:rPr>
                      <w:rFonts w:hint="eastAsia" w:ascii="Times New Roman" w:hAnsi="Times New Roman" w:eastAsia="宋体" w:cs="Times New Roman"/>
                      <w:lang w:eastAsia="zh-CN"/>
                    </w:rPr>
                  </w:pPr>
                </w:p>
              </w:tc>
              <w:tc>
                <w:tcPr>
                  <w:tcW w:w="0" w:type="auto"/>
                  <w:vMerge w:val="continue"/>
                  <w:vAlign w:val="center"/>
                </w:tcPr>
                <w:p w14:paraId="64452CA7">
                  <w:pPr>
                    <w:kinsoku/>
                    <w:jc w:val="center"/>
                    <w:rPr>
                      <w:rFonts w:ascii="Times New Roman" w:hAnsi="Times New Roman" w:eastAsia="宋体" w:cs="Times New Roman"/>
                      <w:lang w:eastAsia="zh-CN"/>
                    </w:rPr>
                  </w:pPr>
                </w:p>
              </w:tc>
              <w:tc>
                <w:tcPr>
                  <w:tcW w:w="0" w:type="auto"/>
                  <w:vMerge w:val="continue"/>
                  <w:vAlign w:val="center"/>
                </w:tcPr>
                <w:p w14:paraId="5697F955">
                  <w:pPr>
                    <w:kinsoku/>
                    <w:jc w:val="center"/>
                    <w:rPr>
                      <w:rFonts w:ascii="Times New Roman" w:hAnsi="Times New Roman" w:eastAsia="宋体" w:cs="Times New Roman"/>
                      <w:lang w:eastAsia="zh-CN"/>
                    </w:rPr>
                  </w:pPr>
                </w:p>
              </w:tc>
              <w:tc>
                <w:tcPr>
                  <w:tcW w:w="0" w:type="auto"/>
                  <w:vMerge w:val="continue"/>
                  <w:vAlign w:val="center"/>
                </w:tcPr>
                <w:p w14:paraId="55098E2B">
                  <w:pPr>
                    <w:kinsoku/>
                    <w:jc w:val="center"/>
                    <w:rPr>
                      <w:rFonts w:ascii="Times New Roman" w:hAnsi="Times New Roman" w:eastAsia="宋体" w:cs="Times New Roman"/>
                      <w:lang w:eastAsia="zh-CN"/>
                    </w:rPr>
                  </w:pPr>
                </w:p>
              </w:tc>
            </w:tr>
            <w:tr w14:paraId="6494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57FFFDB3">
                  <w:pPr>
                    <w:kinsoku/>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表调后水洗废水</w:t>
                  </w:r>
                </w:p>
              </w:tc>
              <w:tc>
                <w:tcPr>
                  <w:tcW w:w="0" w:type="auto"/>
                  <w:vAlign w:val="center"/>
                </w:tcPr>
                <w:p w14:paraId="7848A127">
                  <w:pPr>
                    <w:kinsoku/>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、SS、NH</w:t>
                  </w:r>
                  <w:r>
                    <w:rPr>
                      <w:rFonts w:ascii="Times New Roman" w:hAnsi="Times New Roman" w:eastAsia="宋体" w:cs="Times New Roman"/>
                      <w:vertAlign w:val="subscript"/>
                    </w:rPr>
                    <w:t>3</w:t>
                  </w:r>
                  <w:r>
                    <w:rPr>
                      <w:rFonts w:ascii="Times New Roman" w:hAnsi="Times New Roman" w:eastAsia="宋体" w:cs="Times New Roman"/>
                    </w:rPr>
                    <w:t>-N</w:t>
                  </w:r>
                </w:p>
              </w:tc>
              <w:tc>
                <w:tcPr>
                  <w:tcW w:w="0" w:type="auto"/>
                  <w:vMerge w:val="continue"/>
                  <w:vAlign w:val="center"/>
                </w:tcPr>
                <w:p w14:paraId="79629B12">
                  <w:pPr>
                    <w:kinsoku/>
                    <w:jc w:val="center"/>
                    <w:rPr>
                      <w:rFonts w:ascii="Times New Roman" w:hAnsi="Times New Roman" w:eastAsia="宋体" w:cs="Times New Roman"/>
                    </w:rPr>
                  </w:pPr>
                </w:p>
              </w:tc>
              <w:tc>
                <w:tcPr>
                  <w:tcW w:w="0" w:type="auto"/>
                  <w:vMerge w:val="continue"/>
                  <w:vAlign w:val="center"/>
                </w:tcPr>
                <w:p w14:paraId="23C8B190">
                  <w:pPr>
                    <w:kinsoku/>
                    <w:jc w:val="center"/>
                    <w:rPr>
                      <w:rFonts w:ascii="Times New Roman" w:hAnsi="Times New Roman" w:eastAsia="宋体" w:cs="Times New Roman"/>
                    </w:rPr>
                  </w:pPr>
                </w:p>
              </w:tc>
              <w:tc>
                <w:tcPr>
                  <w:tcW w:w="0" w:type="auto"/>
                  <w:vMerge w:val="continue"/>
                  <w:vAlign w:val="center"/>
                </w:tcPr>
                <w:p w14:paraId="7B18D323">
                  <w:pPr>
                    <w:kinsoku/>
                    <w:jc w:val="center"/>
                    <w:rPr>
                      <w:rFonts w:hint="eastAsia" w:ascii="Times New Roman" w:hAnsi="Times New Roman" w:eastAsia="宋体" w:cs="Times New Roman"/>
                      <w:lang w:eastAsia="zh-CN"/>
                    </w:rPr>
                  </w:pPr>
                </w:p>
              </w:tc>
              <w:tc>
                <w:tcPr>
                  <w:tcW w:w="0" w:type="auto"/>
                  <w:vMerge w:val="continue"/>
                  <w:vAlign w:val="center"/>
                </w:tcPr>
                <w:p w14:paraId="5B85BB3F">
                  <w:pPr>
                    <w:kinsoku/>
                    <w:jc w:val="center"/>
                    <w:rPr>
                      <w:rFonts w:ascii="Times New Roman" w:hAnsi="Times New Roman" w:eastAsia="宋体" w:cs="Times New Roman"/>
                      <w:lang w:eastAsia="zh-CN"/>
                    </w:rPr>
                  </w:pPr>
                </w:p>
              </w:tc>
              <w:tc>
                <w:tcPr>
                  <w:tcW w:w="0" w:type="auto"/>
                  <w:vMerge w:val="continue"/>
                  <w:vAlign w:val="center"/>
                </w:tcPr>
                <w:p w14:paraId="17FE2DFB">
                  <w:pPr>
                    <w:kinsoku/>
                    <w:jc w:val="center"/>
                    <w:rPr>
                      <w:rFonts w:ascii="Times New Roman" w:hAnsi="Times New Roman" w:eastAsia="宋体" w:cs="Times New Roman"/>
                      <w:lang w:eastAsia="zh-CN"/>
                    </w:rPr>
                  </w:pPr>
                </w:p>
              </w:tc>
              <w:tc>
                <w:tcPr>
                  <w:tcW w:w="0" w:type="auto"/>
                  <w:vMerge w:val="continue"/>
                  <w:vAlign w:val="center"/>
                </w:tcPr>
                <w:p w14:paraId="22A29541">
                  <w:pPr>
                    <w:kinsoku/>
                    <w:jc w:val="center"/>
                    <w:rPr>
                      <w:rFonts w:ascii="Times New Roman" w:hAnsi="Times New Roman" w:eastAsia="宋体" w:cs="Times New Roman"/>
                      <w:lang w:eastAsia="zh-CN"/>
                    </w:rPr>
                  </w:pPr>
                </w:p>
              </w:tc>
            </w:tr>
            <w:tr w14:paraId="7451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139DFD5D">
                  <w:pPr>
                    <w:kinsoku/>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碱喷淋废水</w:t>
                  </w:r>
                </w:p>
              </w:tc>
              <w:tc>
                <w:tcPr>
                  <w:tcW w:w="0" w:type="auto"/>
                  <w:vAlign w:val="center"/>
                </w:tcPr>
                <w:p w14:paraId="386CCD0D">
                  <w:pPr>
                    <w:kinsoku/>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、SS、NH</w:t>
                  </w:r>
                  <w:r>
                    <w:rPr>
                      <w:rFonts w:ascii="Times New Roman" w:hAnsi="Times New Roman" w:eastAsia="宋体" w:cs="Times New Roman"/>
                      <w:vertAlign w:val="subscript"/>
                    </w:rPr>
                    <w:t>3</w:t>
                  </w:r>
                  <w:r>
                    <w:rPr>
                      <w:rFonts w:ascii="Times New Roman" w:hAnsi="Times New Roman" w:eastAsia="宋体" w:cs="Times New Roman"/>
                    </w:rPr>
                    <w:t>-N</w:t>
                  </w:r>
                  <w:r>
                    <w:rPr>
                      <w:rFonts w:hint="eastAsia" w:ascii="Times New Roman" w:hAnsi="Times New Roman" w:eastAsia="宋体" w:cs="Times New Roman"/>
                      <w:lang w:eastAsia="zh-CN"/>
                    </w:rPr>
                    <w:t>、</w:t>
                  </w:r>
                  <w:r>
                    <w:rPr>
                      <w:rFonts w:hint="eastAsia" w:ascii="Times New Roman" w:hAnsi="Times New Roman" w:eastAsia="宋体" w:cs="Times New Roman"/>
                    </w:rPr>
                    <w:t>硫酸盐</w:t>
                  </w:r>
                </w:p>
              </w:tc>
              <w:tc>
                <w:tcPr>
                  <w:tcW w:w="0" w:type="auto"/>
                  <w:vMerge w:val="continue"/>
                  <w:vAlign w:val="center"/>
                </w:tcPr>
                <w:p w14:paraId="25D0109B">
                  <w:pPr>
                    <w:kinsoku/>
                    <w:jc w:val="center"/>
                    <w:rPr>
                      <w:rFonts w:ascii="Times New Roman" w:hAnsi="Times New Roman" w:eastAsia="宋体" w:cs="Times New Roman"/>
                    </w:rPr>
                  </w:pPr>
                </w:p>
              </w:tc>
              <w:tc>
                <w:tcPr>
                  <w:tcW w:w="0" w:type="auto"/>
                  <w:vMerge w:val="continue"/>
                  <w:vAlign w:val="center"/>
                </w:tcPr>
                <w:p w14:paraId="6550B0B6">
                  <w:pPr>
                    <w:kinsoku/>
                    <w:jc w:val="center"/>
                    <w:rPr>
                      <w:rFonts w:ascii="Times New Roman" w:hAnsi="Times New Roman" w:eastAsia="宋体" w:cs="Times New Roman"/>
                    </w:rPr>
                  </w:pPr>
                </w:p>
              </w:tc>
              <w:tc>
                <w:tcPr>
                  <w:tcW w:w="0" w:type="auto"/>
                  <w:vMerge w:val="continue"/>
                  <w:vAlign w:val="center"/>
                </w:tcPr>
                <w:p w14:paraId="4455282E">
                  <w:pPr>
                    <w:kinsoku/>
                    <w:jc w:val="center"/>
                    <w:rPr>
                      <w:rFonts w:hint="eastAsia" w:ascii="Times New Roman" w:hAnsi="Times New Roman" w:eastAsia="宋体" w:cs="Times New Roman"/>
                      <w:lang w:eastAsia="zh-CN"/>
                    </w:rPr>
                  </w:pPr>
                </w:p>
              </w:tc>
              <w:tc>
                <w:tcPr>
                  <w:tcW w:w="0" w:type="auto"/>
                  <w:vMerge w:val="continue"/>
                  <w:vAlign w:val="center"/>
                </w:tcPr>
                <w:p w14:paraId="7E7F8D27">
                  <w:pPr>
                    <w:kinsoku/>
                    <w:jc w:val="center"/>
                    <w:rPr>
                      <w:rFonts w:ascii="Times New Roman" w:hAnsi="Times New Roman" w:eastAsia="宋体" w:cs="Times New Roman"/>
                      <w:lang w:eastAsia="zh-CN"/>
                    </w:rPr>
                  </w:pPr>
                </w:p>
              </w:tc>
              <w:tc>
                <w:tcPr>
                  <w:tcW w:w="0" w:type="auto"/>
                  <w:vMerge w:val="continue"/>
                  <w:vAlign w:val="center"/>
                </w:tcPr>
                <w:p w14:paraId="226F00B2">
                  <w:pPr>
                    <w:kinsoku/>
                    <w:jc w:val="center"/>
                    <w:rPr>
                      <w:rFonts w:ascii="Times New Roman" w:hAnsi="Times New Roman" w:eastAsia="宋体" w:cs="Times New Roman"/>
                      <w:lang w:eastAsia="zh-CN"/>
                    </w:rPr>
                  </w:pPr>
                </w:p>
              </w:tc>
              <w:tc>
                <w:tcPr>
                  <w:tcW w:w="0" w:type="auto"/>
                  <w:vMerge w:val="continue"/>
                  <w:vAlign w:val="center"/>
                </w:tcPr>
                <w:p w14:paraId="284D8C28">
                  <w:pPr>
                    <w:kinsoku/>
                    <w:jc w:val="center"/>
                    <w:rPr>
                      <w:rFonts w:ascii="Times New Roman" w:hAnsi="Times New Roman" w:eastAsia="宋体" w:cs="Times New Roman"/>
                      <w:lang w:eastAsia="zh-CN"/>
                    </w:rPr>
                  </w:pPr>
                </w:p>
              </w:tc>
            </w:tr>
            <w:tr w14:paraId="4F86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20017394">
                  <w:pPr>
                    <w:kinsoku/>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纯水制备废水</w:t>
                  </w:r>
                </w:p>
              </w:tc>
              <w:tc>
                <w:tcPr>
                  <w:tcW w:w="0" w:type="auto"/>
                  <w:vAlign w:val="center"/>
                </w:tcPr>
                <w:p w14:paraId="0E9E8E77">
                  <w:pPr>
                    <w:kinsoku/>
                    <w:jc w:val="center"/>
                    <w:rPr>
                      <w:rFonts w:ascii="Times New Roman" w:hAnsi="Times New Roman" w:eastAsia="宋体" w:cs="Times New Roman"/>
                    </w:rPr>
                  </w:pPr>
                  <w:r>
                    <w:rPr>
                      <w:rFonts w:ascii="Times New Roman" w:hAnsi="Times New Roman" w:eastAsia="宋体" w:cs="Times New Roman"/>
                    </w:rPr>
                    <w:t>pH、COD、BOD</w:t>
                  </w:r>
                  <w:r>
                    <w:rPr>
                      <w:rFonts w:ascii="Times New Roman" w:hAnsi="Times New Roman" w:eastAsia="宋体" w:cs="Times New Roman"/>
                      <w:vertAlign w:val="subscript"/>
                    </w:rPr>
                    <w:t>5</w:t>
                  </w:r>
                  <w:r>
                    <w:rPr>
                      <w:rFonts w:ascii="Times New Roman" w:hAnsi="Times New Roman" w:eastAsia="宋体" w:cs="Times New Roman"/>
                    </w:rPr>
                    <w:t>、SS、NH</w:t>
                  </w:r>
                  <w:r>
                    <w:rPr>
                      <w:rFonts w:ascii="Times New Roman" w:hAnsi="Times New Roman" w:eastAsia="宋体" w:cs="Times New Roman"/>
                      <w:vertAlign w:val="subscript"/>
                    </w:rPr>
                    <w:t>3</w:t>
                  </w:r>
                  <w:r>
                    <w:rPr>
                      <w:rFonts w:ascii="Times New Roman" w:hAnsi="Times New Roman" w:eastAsia="宋体" w:cs="Times New Roman"/>
                    </w:rPr>
                    <w:t>-N</w:t>
                  </w:r>
                </w:p>
              </w:tc>
              <w:tc>
                <w:tcPr>
                  <w:tcW w:w="0" w:type="auto"/>
                  <w:vMerge w:val="continue"/>
                  <w:vAlign w:val="center"/>
                </w:tcPr>
                <w:p w14:paraId="2BCE1B4B">
                  <w:pPr>
                    <w:kinsoku/>
                    <w:jc w:val="center"/>
                    <w:rPr>
                      <w:rFonts w:ascii="Times New Roman" w:hAnsi="Times New Roman" w:eastAsia="宋体" w:cs="Times New Roman"/>
                    </w:rPr>
                  </w:pPr>
                </w:p>
              </w:tc>
              <w:tc>
                <w:tcPr>
                  <w:tcW w:w="0" w:type="auto"/>
                  <w:vMerge w:val="continue"/>
                  <w:vAlign w:val="center"/>
                </w:tcPr>
                <w:p w14:paraId="0CFB0E15">
                  <w:pPr>
                    <w:kinsoku/>
                    <w:jc w:val="center"/>
                    <w:rPr>
                      <w:rFonts w:ascii="Times New Roman" w:hAnsi="Times New Roman" w:eastAsia="宋体" w:cs="Times New Roman"/>
                    </w:rPr>
                  </w:pPr>
                </w:p>
              </w:tc>
              <w:tc>
                <w:tcPr>
                  <w:tcW w:w="0" w:type="auto"/>
                  <w:vMerge w:val="continue"/>
                  <w:vAlign w:val="center"/>
                </w:tcPr>
                <w:p w14:paraId="491022D2">
                  <w:pPr>
                    <w:kinsoku/>
                    <w:jc w:val="center"/>
                    <w:rPr>
                      <w:rFonts w:hint="eastAsia" w:ascii="Times New Roman" w:hAnsi="Times New Roman" w:eastAsia="宋体" w:cs="Times New Roman"/>
                      <w:lang w:eastAsia="zh-CN"/>
                    </w:rPr>
                  </w:pPr>
                </w:p>
              </w:tc>
              <w:tc>
                <w:tcPr>
                  <w:tcW w:w="0" w:type="auto"/>
                  <w:vMerge w:val="continue"/>
                  <w:vAlign w:val="center"/>
                </w:tcPr>
                <w:p w14:paraId="3E8C01A7">
                  <w:pPr>
                    <w:kinsoku/>
                    <w:jc w:val="center"/>
                    <w:rPr>
                      <w:rFonts w:ascii="Times New Roman" w:hAnsi="Times New Roman" w:eastAsia="宋体" w:cs="Times New Roman"/>
                      <w:lang w:eastAsia="zh-CN"/>
                    </w:rPr>
                  </w:pPr>
                </w:p>
              </w:tc>
              <w:tc>
                <w:tcPr>
                  <w:tcW w:w="0" w:type="auto"/>
                  <w:vMerge w:val="continue"/>
                  <w:vAlign w:val="center"/>
                </w:tcPr>
                <w:p w14:paraId="6F66D058">
                  <w:pPr>
                    <w:kinsoku/>
                    <w:jc w:val="center"/>
                    <w:rPr>
                      <w:rFonts w:ascii="Times New Roman" w:hAnsi="Times New Roman" w:eastAsia="宋体" w:cs="Times New Roman"/>
                      <w:lang w:eastAsia="zh-CN"/>
                    </w:rPr>
                  </w:pPr>
                </w:p>
              </w:tc>
              <w:tc>
                <w:tcPr>
                  <w:tcW w:w="0" w:type="auto"/>
                  <w:vMerge w:val="continue"/>
                  <w:vAlign w:val="center"/>
                </w:tcPr>
                <w:p w14:paraId="52631C68">
                  <w:pPr>
                    <w:kinsoku/>
                    <w:jc w:val="center"/>
                    <w:rPr>
                      <w:rFonts w:ascii="Times New Roman" w:hAnsi="Times New Roman" w:eastAsia="宋体" w:cs="Times New Roman"/>
                      <w:lang w:eastAsia="zh-CN"/>
                    </w:rPr>
                  </w:pPr>
                </w:p>
              </w:tc>
            </w:tr>
          </w:tbl>
          <w:p w14:paraId="138EEF10">
            <w:pPr>
              <w:pStyle w:val="7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项目实行雨污分流制，雨水排入市政雨水管网。本项目营运期用水主要有员工生活用水</w:t>
            </w:r>
            <w:r>
              <w:rPr>
                <w:rFonts w:hint="eastAsia" w:ascii="Times New Roman" w:hAnsi="Times New Roman" w:eastAsia="宋体" w:cs="Times New Roman"/>
                <w:color w:val="auto"/>
                <w:lang w:eastAsia="zh-CN"/>
              </w:rPr>
              <w:t>及生产用水</w:t>
            </w:r>
            <w:r>
              <w:rPr>
                <w:rFonts w:hint="default" w:ascii="Times New Roman" w:hAnsi="Times New Roman" w:cs="Times New Roman"/>
                <w:color w:val="auto"/>
              </w:rPr>
              <w:t>。生活污水主要污染物</w:t>
            </w:r>
            <w:r>
              <w:rPr>
                <w:rFonts w:hint="eastAsia" w:ascii="Times New Roman" w:hAnsi="Times New Roman" w:eastAsia="宋体" w:cs="Times New Roman"/>
                <w:color w:val="auto"/>
                <w:lang w:val="en-US" w:eastAsia="zh-CN"/>
              </w:rPr>
              <w:t>pH、</w:t>
            </w:r>
            <w:r>
              <w:rPr>
                <w:rFonts w:hint="default" w:ascii="Times New Roman" w:hAnsi="Times New Roman" w:cs="Times New Roman"/>
                <w:color w:val="auto"/>
              </w:rPr>
              <w:t>COD、BOD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-N；生产废水主要污染物pH、COD、BOD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-N、TP、石油类</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Fe、Zn</w:t>
            </w:r>
            <w:r>
              <w:rPr>
                <w:rFonts w:hint="default" w:ascii="Times New Roman" w:hAnsi="Times New Roman" w:cs="Times New Roman"/>
                <w:color w:val="auto"/>
              </w:rPr>
              <w:t>。项目生活污水经化粪池预处理后，生产废水经自建污水处理站处理，预处理达到</w:t>
            </w:r>
            <w:r>
              <w:rPr>
                <w:rFonts w:hint="default" w:ascii="Times New Roman" w:hAnsi="Times New Roman" w:cs="Times New Roman"/>
                <w:color w:val="auto"/>
                <w:kern w:val="0"/>
              </w:rPr>
              <w:t>宿州市埇桥区曹村污水处理有限公司</w:t>
            </w:r>
            <w:r>
              <w:rPr>
                <w:rFonts w:hint="default" w:ascii="Times New Roman" w:hAnsi="Times New Roman" w:cs="Times New Roman"/>
                <w:color w:val="auto"/>
              </w:rPr>
              <w:t>接管标准及《污水综合排放标准》（GB8978-1996）表4中三级标准限值要求后纳管进入宿州市埇桥区曹村污水处理有限公司处理，</w:t>
            </w:r>
            <w:r>
              <w:rPr>
                <w:rFonts w:hint="default" w:ascii="Times New Roman" w:hAnsi="Times New Roman" w:cs="Times New Roman"/>
                <w:color w:val="auto"/>
                <w:kern w:val="0"/>
              </w:rPr>
              <w:t>处理尾水满足《城镇污水处理厂污染物排放标准》（GB18918-2002）中一级A标准排入淝河</w:t>
            </w:r>
            <w:r>
              <w:rPr>
                <w:rFonts w:hint="default" w:ascii="Times New Roman" w:hAnsi="Times New Roman" w:cs="Times New Roman"/>
                <w:color w:val="auto"/>
              </w:rPr>
              <w:t>。因此，项目废水对周围地表水环境影响较小。</w:t>
            </w:r>
          </w:p>
          <w:p w14:paraId="29F48629">
            <w:pPr>
              <w:pStyle w:val="72"/>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default" w:ascii="Times New Roman" w:hAnsi="Times New Roman" w:cs="Times New Roman"/>
                <w:color w:val="auto"/>
              </w:rPr>
              <w:t>自建污水处理站处理工艺如下：</w:t>
            </w:r>
          </w:p>
          <w:p w14:paraId="154088DB">
            <w:pPr>
              <w:spacing w:line="360" w:lineRule="auto"/>
              <w:jc w:val="center"/>
              <w:rPr>
                <w:rFonts w:hint="eastAsia"/>
                <w:sz w:val="24"/>
              </w:rPr>
            </w:pPr>
            <w:r>
              <w:rPr>
                <w:rFonts w:hint="eastAsia"/>
                <w:sz w:val="24"/>
              </w:rPr>
              <w:drawing>
                <wp:inline distT="0" distB="0" distL="114300" distR="114300">
                  <wp:extent cx="5357495" cy="3696970"/>
                  <wp:effectExtent l="0" t="0" r="14605" b="17780"/>
                  <wp:docPr id="20" name="图片 9" descr="污水处理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污水处理站"/>
                          <pic:cNvPicPr>
                            <a:picLocks noChangeAspect="1"/>
                          </pic:cNvPicPr>
                        </pic:nvPicPr>
                        <pic:blipFill>
                          <a:blip r:embed="rId15"/>
                          <a:stretch>
                            <a:fillRect/>
                          </a:stretch>
                        </pic:blipFill>
                        <pic:spPr>
                          <a:xfrm>
                            <a:off x="0" y="0"/>
                            <a:ext cx="5357495" cy="3696970"/>
                          </a:xfrm>
                          <a:prstGeom prst="rect">
                            <a:avLst/>
                          </a:prstGeom>
                          <a:noFill/>
                          <a:ln>
                            <a:noFill/>
                          </a:ln>
                        </pic:spPr>
                      </pic:pic>
                    </a:graphicData>
                  </a:graphic>
                </wp:inline>
              </w:drawing>
            </w:r>
          </w:p>
          <w:p w14:paraId="0FC4D478">
            <w:pPr>
              <w:spacing w:line="360" w:lineRule="auto"/>
              <w:jc w:val="center"/>
              <w:rPr>
                <w:b/>
                <w:sz w:val="24"/>
              </w:rPr>
            </w:pPr>
            <w:r>
              <w:rPr>
                <w:rFonts w:hint="default" w:ascii="Times New Roman" w:hAnsi="Times New Roman" w:eastAsia="宋体" w:cs="Times New Roman"/>
                <w:b/>
                <w:sz w:val="24"/>
              </w:rPr>
              <w:t>图4</w:t>
            </w:r>
            <w:r>
              <w:rPr>
                <w:rFonts w:hint="default" w:ascii="Times New Roman" w:hAnsi="Times New Roman" w:eastAsia="宋体" w:cs="Times New Roman"/>
                <w:b/>
                <w:sz w:val="24"/>
                <w:lang w:val="en-US" w:eastAsia="zh-CN"/>
              </w:rPr>
              <w:t>-2</w:t>
            </w:r>
            <w:r>
              <w:rPr>
                <w:rFonts w:hint="default" w:ascii="Times New Roman" w:hAnsi="Times New Roman" w:eastAsia="宋体" w:cs="Times New Roman"/>
                <w:b/>
                <w:sz w:val="24"/>
              </w:rPr>
              <w:t xml:space="preserve"> 本项目自建污水处理站工艺流程图</w:t>
            </w:r>
            <w:r>
              <w:rPr>
                <w:b/>
                <w:sz w:val="24"/>
              </w:rPr>
              <w:t xml:space="preserve"> </w:t>
            </w:r>
          </w:p>
          <w:p w14:paraId="64158215">
            <w:pPr>
              <w:spacing w:line="360" w:lineRule="auto"/>
              <w:ind w:firstLine="480" w:firstLineChars="200"/>
              <w:rPr>
                <w:b/>
                <w:sz w:val="24"/>
              </w:rPr>
            </w:pPr>
            <w:r>
              <w:rPr>
                <w:rFonts w:hint="eastAsia"/>
                <w:b/>
                <w:sz w:val="24"/>
              </w:rPr>
              <w:t>工艺原理简述如下：</w:t>
            </w:r>
          </w:p>
          <w:p w14:paraId="582DC83B">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①pH调节原理：将废水导入调节池进行水量和水质的均和调节处理，使其水量和水质都比较稳定，同时通过加药剂来调节水质的pH。</w:t>
            </w:r>
            <w:r>
              <w:rPr>
                <w:rFonts w:hint="default" w:ascii="Times New Roman" w:hAnsi="Times New Roman" w:cs="Times New Roman"/>
                <w:sz w:val="24"/>
              </w:rPr>
              <w:t>药剂主要成分为CaCl</w:t>
            </w:r>
            <w:r>
              <w:rPr>
                <w:rFonts w:hint="default" w:ascii="Times New Roman" w:hAnsi="Times New Roman" w:cs="Times New Roman"/>
                <w:sz w:val="24"/>
                <w:vertAlign w:val="subscript"/>
              </w:rPr>
              <w:t>2</w:t>
            </w:r>
            <w:r>
              <w:rPr>
                <w:rFonts w:hint="default" w:ascii="Times New Roman" w:hAnsi="Times New Roman" w:cs="Times New Roman"/>
                <w:sz w:val="24"/>
              </w:rPr>
              <w:t>、片碱。</w:t>
            </w:r>
          </w:p>
          <w:p w14:paraId="6E5B1DF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②混凝沉淀原理：通过混凝剂将废水中悬浮物、胶体和可絮凝的其他物质凝聚成“絮团”，絮团沉入沉降设备底部而成为泥浆，顶部流出的则为色度和浊度较低的废水；混凝沉淀不但可以去除废水中的粒径为10</w:t>
            </w:r>
            <w:r>
              <w:rPr>
                <w:rFonts w:hint="default" w:ascii="Times New Roman" w:hAnsi="Times New Roman" w:cs="Times New Roman"/>
                <w:sz w:val="24"/>
                <w:vertAlign w:val="superscript"/>
              </w:rPr>
              <w:t>-3</w:t>
            </w:r>
            <w:r>
              <w:rPr>
                <w:rFonts w:hint="default" w:ascii="Times New Roman" w:hAnsi="Times New Roman" w:cs="Times New Roman"/>
                <w:sz w:val="24"/>
              </w:rPr>
              <w:t>~10</w:t>
            </w:r>
            <w:r>
              <w:rPr>
                <w:rFonts w:hint="default" w:ascii="Times New Roman" w:hAnsi="Times New Roman" w:cs="Times New Roman"/>
                <w:sz w:val="24"/>
                <w:vertAlign w:val="superscript"/>
              </w:rPr>
              <w:t>-6</w:t>
            </w:r>
            <w:r>
              <w:rPr>
                <w:rFonts w:hint="default" w:ascii="Times New Roman" w:hAnsi="Times New Roman" w:cs="Times New Roman"/>
                <w:sz w:val="24"/>
              </w:rPr>
              <w:t>mm的细小悬浮颗粒，而且还能够去除色度、油分、微生物、氮和磷等富营养物质、重金属以及有机物等。药剂主要成分为PAC（聚合氯化铝）、PAM（聚丙烯酰胺）。</w:t>
            </w:r>
          </w:p>
          <w:p w14:paraId="6D5686E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③芬顿氧化原理：是以亚铁离子Fe</w:t>
            </w:r>
            <w:r>
              <w:rPr>
                <w:rFonts w:hint="default" w:ascii="Times New Roman" w:hAnsi="Times New Roman" w:cs="Times New Roman"/>
                <w:sz w:val="24"/>
                <w:vertAlign w:val="superscript"/>
              </w:rPr>
              <w:t>2+</w:t>
            </w:r>
            <w:r>
              <w:rPr>
                <w:rFonts w:hint="default" w:ascii="Times New Roman" w:hAnsi="Times New Roman" w:cs="Times New Roman"/>
                <w:sz w:val="24"/>
              </w:rPr>
              <w:t>为催化剂用过氧化氢H</w:t>
            </w:r>
            <w:r>
              <w:rPr>
                <w:rFonts w:hint="default" w:ascii="Times New Roman" w:hAnsi="Times New Roman" w:cs="Times New Roman"/>
                <w:sz w:val="24"/>
                <w:vertAlign w:val="subscript"/>
              </w:rPr>
              <w:t>2</w:t>
            </w:r>
            <w:r>
              <w:rPr>
                <w:rFonts w:hint="default" w:ascii="Times New Roman" w:hAnsi="Times New Roman" w:cs="Times New Roman"/>
                <w:sz w:val="24"/>
              </w:rPr>
              <w:t>O</w:t>
            </w:r>
            <w:r>
              <w:rPr>
                <w:rFonts w:hint="default" w:ascii="Times New Roman" w:hAnsi="Times New Roman" w:cs="Times New Roman"/>
                <w:sz w:val="24"/>
                <w:vertAlign w:val="subscript"/>
              </w:rPr>
              <w:t>2</w:t>
            </w:r>
            <w:r>
              <w:rPr>
                <w:rFonts w:hint="default" w:ascii="Times New Roman" w:hAnsi="Times New Roman" w:cs="Times New Roman"/>
                <w:sz w:val="24"/>
              </w:rPr>
              <w:t>进行化学氧化的废水处理方法。由亚铁离子与过氧化氢组成的体系，也称芬顿（Fenton）试剂，它能生成强氧化性的羟基自由基，在水溶液中与难降解有机物生成有机自由基使之结构破坏，最终氧化分解；Fenton试剂具有极强的氧化能力，特别适用于难降解有机废水的治理。</w:t>
            </w:r>
          </w:p>
          <w:p w14:paraId="48B5274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④AO生化处理原理：采用水解酸化A+接触氧化O工艺，是传统活性污泥法的改进型，使有机污染物得到降解之外，还具有一定的脱氮除磷功能。保留了传统活性污泥法有机物处理效率高且稳定的优点，同时生化池内采用生物膜系统，可以保证微生物停留时间，在生物膜系统中，有机质可能引起大部分微生物死亡，但在冲击过后，生物膜可以重新生长；在生物膜系统中可以更有效地进行细菌接种，以便去除目标污染物；生物膜系统抗冲击负荷好，系统弹性高，且剩余污泥量少、沉降性能好。</w:t>
            </w:r>
          </w:p>
          <w:p w14:paraId="5BB902E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⑤污泥压滤：采用正压过滤，使污泥水强制滤过介质的污泥脱水方法。压滤液返回调节池，压滤后干泥委托有危废资质公司处理。</w:t>
            </w:r>
          </w:p>
          <w:p w14:paraId="2AAA18F5">
            <w:pPr>
              <w:spacing w:line="360" w:lineRule="auto"/>
              <w:ind w:firstLine="480" w:firstLineChars="200"/>
              <w:rPr>
                <w:sz w:val="24"/>
              </w:rPr>
            </w:pPr>
            <w:r>
              <w:rPr>
                <w:rFonts w:hint="default" w:ascii="Times New Roman" w:hAnsi="Times New Roman" w:cs="Times New Roman"/>
                <w:sz w:val="24"/>
              </w:rPr>
              <w:t>根据处理工艺设计技术参数，污水处理站废水处理各工段的进出水水质及处理效率一览表见下表。</w:t>
            </w:r>
          </w:p>
          <w:p w14:paraId="25C3F1EC">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表4-</w:t>
            </w:r>
            <w:r>
              <w:rPr>
                <w:rFonts w:hint="eastAsia" w:ascii="Times New Roman" w:hAnsi="Times New Roman" w:eastAsia="宋体" w:cs="Times New Roman"/>
                <w:b/>
                <w:sz w:val="24"/>
                <w:lang w:val="en-US" w:eastAsia="zh-CN"/>
              </w:rPr>
              <w:t>8</w:t>
            </w:r>
            <w:r>
              <w:rPr>
                <w:rFonts w:hint="default" w:ascii="Times New Roman" w:hAnsi="Times New Roman" w:eastAsia="宋体" w:cs="Times New Roman"/>
                <w:b/>
                <w:sz w:val="24"/>
              </w:rPr>
              <w:t xml:space="preserve"> 污水处理站各工段的进出水水质及处理效率一览表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8"/>
              <w:gridCol w:w="859"/>
              <w:gridCol w:w="1044"/>
              <w:gridCol w:w="1341"/>
              <w:gridCol w:w="908"/>
              <w:gridCol w:w="1118"/>
            </w:tblGrid>
            <w:tr w14:paraId="5A0C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vMerge w:val="restart"/>
                  <w:noWrap w:val="0"/>
                  <w:vAlign w:val="center"/>
                </w:tcPr>
                <w:p w14:paraId="30050B63">
                  <w:pPr>
                    <w:spacing w:line="276" w:lineRule="auto"/>
                    <w:jc w:val="center"/>
                    <w:rPr>
                      <w:rFonts w:hint="default" w:ascii="Times New Roman" w:hAnsi="Times New Roman" w:cs="Times New Roman"/>
                      <w:szCs w:val="21"/>
                    </w:rPr>
                  </w:pPr>
                  <w:r>
                    <w:rPr>
                      <w:rFonts w:hint="default" w:ascii="Times New Roman" w:hAnsi="Times New Roman" w:cs="Times New Roman"/>
                      <w:szCs w:val="21"/>
                    </w:rPr>
                    <w:t>项目</w:t>
                  </w:r>
                </w:p>
              </w:tc>
              <w:tc>
                <w:tcPr>
                  <w:tcW w:w="4903" w:type="dxa"/>
                  <w:gridSpan w:val="5"/>
                  <w:noWrap w:val="0"/>
                  <w:vAlign w:val="center"/>
                </w:tcPr>
                <w:p w14:paraId="46D1BF90">
                  <w:pPr>
                    <w:spacing w:line="276" w:lineRule="auto"/>
                    <w:jc w:val="center"/>
                    <w:rPr>
                      <w:rFonts w:hint="default" w:ascii="Times New Roman" w:hAnsi="Times New Roman" w:cs="Times New Roman"/>
                      <w:szCs w:val="21"/>
                    </w:rPr>
                  </w:pPr>
                  <w:r>
                    <w:rPr>
                      <w:rFonts w:hint="default" w:ascii="Times New Roman" w:hAnsi="Times New Roman" w:cs="Times New Roman"/>
                      <w:szCs w:val="21"/>
                    </w:rPr>
                    <w:t>污染因子（mg/l）</w:t>
                  </w:r>
                </w:p>
              </w:tc>
            </w:tr>
            <w:tr w14:paraId="2EAE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vMerge w:val="continue"/>
                  <w:noWrap w:val="0"/>
                  <w:vAlign w:val="center"/>
                </w:tcPr>
                <w:p w14:paraId="635986B7">
                  <w:pPr>
                    <w:spacing w:line="276" w:lineRule="auto"/>
                    <w:jc w:val="center"/>
                    <w:rPr>
                      <w:rFonts w:hint="default" w:ascii="Times New Roman" w:hAnsi="Times New Roman" w:cs="Times New Roman"/>
                      <w:szCs w:val="21"/>
                      <w:highlight w:val="yellow"/>
                    </w:rPr>
                  </w:pPr>
                </w:p>
              </w:tc>
              <w:tc>
                <w:tcPr>
                  <w:tcW w:w="799" w:type="dxa"/>
                  <w:noWrap w:val="0"/>
                  <w:vAlign w:val="center"/>
                </w:tcPr>
                <w:p w14:paraId="4A3CA283">
                  <w:pPr>
                    <w:spacing w:line="276" w:lineRule="auto"/>
                    <w:jc w:val="center"/>
                    <w:rPr>
                      <w:rFonts w:hint="default" w:ascii="Times New Roman" w:hAnsi="Times New Roman" w:cs="Times New Roman"/>
                      <w:szCs w:val="21"/>
                    </w:rPr>
                  </w:pPr>
                  <w:r>
                    <w:rPr>
                      <w:rFonts w:hint="default" w:ascii="Times New Roman" w:hAnsi="Times New Roman" w:cs="Times New Roman"/>
                      <w:szCs w:val="21"/>
                    </w:rPr>
                    <w:t>COD</w:t>
                  </w:r>
                </w:p>
              </w:tc>
              <w:tc>
                <w:tcPr>
                  <w:tcW w:w="971" w:type="dxa"/>
                  <w:noWrap w:val="0"/>
                  <w:vAlign w:val="center"/>
                </w:tcPr>
                <w:p w14:paraId="7A9B8DE1">
                  <w:pPr>
                    <w:spacing w:line="276" w:lineRule="auto"/>
                    <w:jc w:val="center"/>
                    <w:rPr>
                      <w:rFonts w:hint="default" w:ascii="Times New Roman" w:hAnsi="Times New Roman" w:cs="Times New Roman"/>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1248" w:type="dxa"/>
                  <w:noWrap w:val="0"/>
                  <w:vAlign w:val="center"/>
                </w:tcPr>
                <w:p w14:paraId="2D784AF1">
                  <w:pPr>
                    <w:spacing w:line="276" w:lineRule="auto"/>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845" w:type="dxa"/>
                  <w:noWrap w:val="0"/>
                  <w:vAlign w:val="center"/>
                </w:tcPr>
                <w:p w14:paraId="1C1D7672">
                  <w:pPr>
                    <w:spacing w:line="276" w:lineRule="auto"/>
                    <w:jc w:val="center"/>
                    <w:rPr>
                      <w:rFonts w:hint="default" w:ascii="Times New Roman" w:hAnsi="Times New Roman" w:cs="Times New Roman"/>
                      <w:szCs w:val="21"/>
                    </w:rPr>
                  </w:pPr>
                  <w:r>
                    <w:rPr>
                      <w:rFonts w:hint="default" w:ascii="Times New Roman" w:hAnsi="Times New Roman" w:cs="Times New Roman"/>
                      <w:szCs w:val="21"/>
                    </w:rPr>
                    <w:t>SS</w:t>
                  </w:r>
                </w:p>
              </w:tc>
              <w:tc>
                <w:tcPr>
                  <w:tcW w:w="1040" w:type="dxa"/>
                  <w:noWrap w:val="0"/>
                  <w:vAlign w:val="center"/>
                </w:tcPr>
                <w:p w14:paraId="0371E1F2">
                  <w:pPr>
                    <w:spacing w:line="276" w:lineRule="auto"/>
                    <w:jc w:val="center"/>
                    <w:rPr>
                      <w:rFonts w:hint="default" w:ascii="Times New Roman" w:hAnsi="Times New Roman" w:cs="Times New Roman"/>
                      <w:szCs w:val="21"/>
                    </w:rPr>
                  </w:pPr>
                  <w:r>
                    <w:rPr>
                      <w:rFonts w:hint="default" w:ascii="Times New Roman" w:hAnsi="Times New Roman" w:cs="Times New Roman"/>
                      <w:szCs w:val="21"/>
                    </w:rPr>
                    <w:t>石油类</w:t>
                  </w:r>
                </w:p>
              </w:tc>
            </w:tr>
            <w:tr w14:paraId="3579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5B28BA55">
                  <w:pPr>
                    <w:spacing w:line="276" w:lineRule="auto"/>
                    <w:jc w:val="center"/>
                    <w:rPr>
                      <w:rFonts w:hint="default" w:ascii="Times New Roman" w:hAnsi="Times New Roman" w:cs="Times New Roman"/>
                      <w:szCs w:val="21"/>
                    </w:rPr>
                  </w:pPr>
                  <w:r>
                    <w:rPr>
                      <w:rFonts w:hint="default" w:ascii="Times New Roman" w:hAnsi="Times New Roman" w:cs="Times New Roman"/>
                      <w:szCs w:val="21"/>
                    </w:rPr>
                    <w:t>生产废水进水</w:t>
                  </w:r>
                </w:p>
              </w:tc>
              <w:tc>
                <w:tcPr>
                  <w:tcW w:w="799" w:type="dxa"/>
                  <w:noWrap w:val="0"/>
                  <w:vAlign w:val="center"/>
                </w:tcPr>
                <w:p w14:paraId="55C56B21">
                  <w:pPr>
                    <w:spacing w:line="276" w:lineRule="auto"/>
                    <w:jc w:val="center"/>
                    <w:rPr>
                      <w:rFonts w:hint="default" w:ascii="Times New Roman" w:hAnsi="Times New Roman" w:cs="Times New Roman"/>
                      <w:szCs w:val="21"/>
                    </w:rPr>
                  </w:pPr>
                  <w:r>
                    <w:rPr>
                      <w:rFonts w:hint="default" w:ascii="Times New Roman" w:hAnsi="Times New Roman" w:cs="Times New Roman"/>
                      <w:szCs w:val="21"/>
                    </w:rPr>
                    <w:t>800</w:t>
                  </w:r>
                </w:p>
              </w:tc>
              <w:tc>
                <w:tcPr>
                  <w:tcW w:w="971" w:type="dxa"/>
                  <w:noWrap w:val="0"/>
                  <w:vAlign w:val="center"/>
                </w:tcPr>
                <w:p w14:paraId="6209BEF5">
                  <w:pPr>
                    <w:spacing w:line="276" w:lineRule="auto"/>
                    <w:jc w:val="center"/>
                    <w:rPr>
                      <w:rFonts w:hint="default" w:ascii="Times New Roman" w:hAnsi="Times New Roman" w:cs="Times New Roman"/>
                      <w:szCs w:val="21"/>
                    </w:rPr>
                  </w:pPr>
                  <w:r>
                    <w:rPr>
                      <w:rFonts w:hint="default" w:ascii="Times New Roman" w:hAnsi="Times New Roman" w:cs="Times New Roman"/>
                      <w:szCs w:val="21"/>
                    </w:rPr>
                    <w:t>400</w:t>
                  </w:r>
                </w:p>
              </w:tc>
              <w:tc>
                <w:tcPr>
                  <w:tcW w:w="1248" w:type="dxa"/>
                  <w:noWrap w:val="0"/>
                  <w:vAlign w:val="center"/>
                </w:tcPr>
                <w:p w14:paraId="11A479A0">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845" w:type="dxa"/>
                  <w:noWrap w:val="0"/>
                  <w:vAlign w:val="center"/>
                </w:tcPr>
                <w:p w14:paraId="2B85F3CD">
                  <w:pPr>
                    <w:spacing w:line="276" w:lineRule="auto"/>
                    <w:jc w:val="center"/>
                    <w:rPr>
                      <w:rFonts w:hint="default" w:ascii="Times New Roman" w:hAnsi="Times New Roman" w:cs="Times New Roman"/>
                      <w:szCs w:val="21"/>
                    </w:rPr>
                  </w:pPr>
                  <w:r>
                    <w:rPr>
                      <w:rFonts w:hint="default" w:ascii="Times New Roman" w:hAnsi="Times New Roman" w:cs="Times New Roman"/>
                      <w:szCs w:val="21"/>
                    </w:rPr>
                    <w:t>600</w:t>
                  </w:r>
                </w:p>
              </w:tc>
              <w:tc>
                <w:tcPr>
                  <w:tcW w:w="1040" w:type="dxa"/>
                  <w:noWrap w:val="0"/>
                  <w:vAlign w:val="center"/>
                </w:tcPr>
                <w:p w14:paraId="40E50D9F">
                  <w:pPr>
                    <w:spacing w:line="276" w:lineRule="auto"/>
                    <w:jc w:val="center"/>
                    <w:rPr>
                      <w:rFonts w:hint="default" w:ascii="Times New Roman" w:hAnsi="Times New Roman" w:cs="Times New Roman"/>
                      <w:szCs w:val="21"/>
                    </w:rPr>
                  </w:pPr>
                  <w:r>
                    <w:rPr>
                      <w:rFonts w:hint="default" w:ascii="Times New Roman" w:hAnsi="Times New Roman" w:cs="Times New Roman"/>
                      <w:szCs w:val="21"/>
                    </w:rPr>
                    <w:t>50</w:t>
                  </w:r>
                </w:p>
              </w:tc>
            </w:tr>
            <w:tr w14:paraId="2EA5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049A5603">
                  <w:pPr>
                    <w:spacing w:line="276" w:lineRule="auto"/>
                    <w:jc w:val="center"/>
                    <w:rPr>
                      <w:rFonts w:hint="default" w:ascii="Times New Roman" w:hAnsi="Times New Roman" w:cs="Times New Roman"/>
                      <w:szCs w:val="21"/>
                    </w:rPr>
                  </w:pPr>
                  <w:r>
                    <w:rPr>
                      <w:rFonts w:hint="default" w:ascii="Times New Roman" w:hAnsi="Times New Roman" w:cs="Times New Roman"/>
                      <w:szCs w:val="21"/>
                    </w:rPr>
                    <w:t>格栅+调节池出水</w:t>
                  </w:r>
                </w:p>
              </w:tc>
              <w:tc>
                <w:tcPr>
                  <w:tcW w:w="799" w:type="dxa"/>
                  <w:noWrap w:val="0"/>
                  <w:vAlign w:val="center"/>
                </w:tcPr>
                <w:p w14:paraId="3EC1748B">
                  <w:pPr>
                    <w:spacing w:line="276" w:lineRule="auto"/>
                    <w:jc w:val="center"/>
                    <w:rPr>
                      <w:rFonts w:hint="default" w:ascii="Times New Roman" w:hAnsi="Times New Roman" w:cs="Times New Roman"/>
                      <w:szCs w:val="21"/>
                    </w:rPr>
                  </w:pPr>
                  <w:r>
                    <w:rPr>
                      <w:rFonts w:hint="default" w:ascii="Times New Roman" w:hAnsi="Times New Roman" w:cs="Times New Roman"/>
                      <w:szCs w:val="21"/>
                    </w:rPr>
                    <w:t>800</w:t>
                  </w:r>
                </w:p>
              </w:tc>
              <w:tc>
                <w:tcPr>
                  <w:tcW w:w="971" w:type="dxa"/>
                  <w:noWrap w:val="0"/>
                  <w:vAlign w:val="center"/>
                </w:tcPr>
                <w:p w14:paraId="2C9B72EE">
                  <w:pPr>
                    <w:spacing w:line="276" w:lineRule="auto"/>
                    <w:jc w:val="center"/>
                    <w:rPr>
                      <w:rFonts w:hint="default" w:ascii="Times New Roman" w:hAnsi="Times New Roman" w:cs="Times New Roman"/>
                      <w:szCs w:val="21"/>
                    </w:rPr>
                  </w:pPr>
                  <w:r>
                    <w:rPr>
                      <w:rFonts w:hint="default" w:ascii="Times New Roman" w:hAnsi="Times New Roman" w:cs="Times New Roman"/>
                      <w:szCs w:val="21"/>
                    </w:rPr>
                    <w:t>400</w:t>
                  </w:r>
                </w:p>
              </w:tc>
              <w:tc>
                <w:tcPr>
                  <w:tcW w:w="1248" w:type="dxa"/>
                  <w:noWrap w:val="0"/>
                  <w:vAlign w:val="center"/>
                </w:tcPr>
                <w:p w14:paraId="213506C8">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845" w:type="dxa"/>
                  <w:noWrap w:val="0"/>
                  <w:vAlign w:val="center"/>
                </w:tcPr>
                <w:p w14:paraId="53D982FF">
                  <w:pPr>
                    <w:spacing w:line="276" w:lineRule="auto"/>
                    <w:jc w:val="center"/>
                    <w:rPr>
                      <w:rFonts w:hint="default" w:ascii="Times New Roman" w:hAnsi="Times New Roman" w:cs="Times New Roman"/>
                      <w:szCs w:val="21"/>
                    </w:rPr>
                  </w:pPr>
                  <w:r>
                    <w:rPr>
                      <w:rFonts w:hint="default" w:ascii="Times New Roman" w:hAnsi="Times New Roman" w:cs="Times New Roman"/>
                      <w:szCs w:val="21"/>
                    </w:rPr>
                    <w:t>600</w:t>
                  </w:r>
                </w:p>
              </w:tc>
              <w:tc>
                <w:tcPr>
                  <w:tcW w:w="1040" w:type="dxa"/>
                  <w:noWrap w:val="0"/>
                  <w:vAlign w:val="center"/>
                </w:tcPr>
                <w:p w14:paraId="12F7D632">
                  <w:pPr>
                    <w:spacing w:line="276" w:lineRule="auto"/>
                    <w:jc w:val="center"/>
                    <w:rPr>
                      <w:rFonts w:hint="default" w:ascii="Times New Roman" w:hAnsi="Times New Roman" w:cs="Times New Roman"/>
                      <w:szCs w:val="21"/>
                    </w:rPr>
                  </w:pPr>
                  <w:r>
                    <w:rPr>
                      <w:rFonts w:hint="default" w:ascii="Times New Roman" w:hAnsi="Times New Roman" w:cs="Times New Roman"/>
                      <w:szCs w:val="21"/>
                    </w:rPr>
                    <w:t>50</w:t>
                  </w:r>
                </w:p>
              </w:tc>
            </w:tr>
            <w:tr w14:paraId="1EAE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3682" w:type="dxa"/>
                  <w:noWrap w:val="0"/>
                  <w:vAlign w:val="center"/>
                </w:tcPr>
                <w:p w14:paraId="0D3BC2E1">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混凝沉淀</w:t>
                  </w:r>
                  <w:r>
                    <w:rPr>
                      <w:rFonts w:hint="default" w:ascii="Times New Roman" w:hAnsi="Times New Roman" w:cs="Times New Roman"/>
                      <w:szCs w:val="21"/>
                    </w:rPr>
                    <w:t>处理效率</w:t>
                  </w:r>
                </w:p>
              </w:tc>
              <w:tc>
                <w:tcPr>
                  <w:tcW w:w="799" w:type="dxa"/>
                  <w:noWrap w:val="0"/>
                  <w:vAlign w:val="center"/>
                </w:tcPr>
                <w:p w14:paraId="7D386271">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971" w:type="dxa"/>
                  <w:noWrap w:val="0"/>
                  <w:vAlign w:val="center"/>
                </w:tcPr>
                <w:p w14:paraId="20432D6F">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1248" w:type="dxa"/>
                  <w:noWrap w:val="0"/>
                  <w:vAlign w:val="center"/>
                </w:tcPr>
                <w:p w14:paraId="2026AE4A">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5%</w:t>
                  </w:r>
                </w:p>
              </w:tc>
              <w:tc>
                <w:tcPr>
                  <w:tcW w:w="845" w:type="dxa"/>
                  <w:noWrap w:val="0"/>
                  <w:vAlign w:val="center"/>
                </w:tcPr>
                <w:p w14:paraId="4EB32021">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30%</w:t>
                  </w:r>
                </w:p>
              </w:tc>
              <w:tc>
                <w:tcPr>
                  <w:tcW w:w="1040" w:type="dxa"/>
                  <w:noWrap w:val="0"/>
                  <w:vAlign w:val="center"/>
                </w:tcPr>
                <w:p w14:paraId="11A71914">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40%</w:t>
                  </w:r>
                </w:p>
              </w:tc>
            </w:tr>
            <w:tr w14:paraId="118C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3682" w:type="dxa"/>
                  <w:noWrap w:val="0"/>
                  <w:vAlign w:val="center"/>
                </w:tcPr>
                <w:p w14:paraId="4DB9D16F">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混凝沉淀</w:t>
                  </w:r>
                  <w:r>
                    <w:rPr>
                      <w:rFonts w:hint="default" w:ascii="Times New Roman" w:hAnsi="Times New Roman" w:cs="Times New Roman"/>
                      <w:szCs w:val="21"/>
                    </w:rPr>
                    <w:t>出水</w:t>
                  </w:r>
                </w:p>
              </w:tc>
              <w:tc>
                <w:tcPr>
                  <w:tcW w:w="799" w:type="dxa"/>
                  <w:noWrap w:val="0"/>
                  <w:vAlign w:val="center"/>
                </w:tcPr>
                <w:p w14:paraId="68C06D59">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560</w:t>
                  </w:r>
                </w:p>
              </w:tc>
              <w:tc>
                <w:tcPr>
                  <w:tcW w:w="971" w:type="dxa"/>
                  <w:noWrap w:val="0"/>
                  <w:vAlign w:val="center"/>
                </w:tcPr>
                <w:p w14:paraId="70DEEB84">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280</w:t>
                  </w:r>
                </w:p>
              </w:tc>
              <w:tc>
                <w:tcPr>
                  <w:tcW w:w="1248" w:type="dxa"/>
                  <w:noWrap w:val="0"/>
                  <w:vAlign w:val="center"/>
                </w:tcPr>
                <w:p w14:paraId="4D03145F">
                  <w:pPr>
                    <w:spacing w:line="276" w:lineRule="auto"/>
                    <w:jc w:val="center"/>
                    <w:rPr>
                      <w:rFonts w:hint="default" w:ascii="Times New Roman" w:hAnsi="Times New Roman" w:cs="Times New Roman"/>
                      <w:szCs w:val="21"/>
                    </w:rPr>
                  </w:pPr>
                  <w:r>
                    <w:rPr>
                      <w:rFonts w:hint="default" w:ascii="Times New Roman" w:hAnsi="Times New Roman" w:cs="Times New Roman"/>
                      <w:szCs w:val="21"/>
                    </w:rPr>
                    <w:t>28.5</w:t>
                  </w:r>
                </w:p>
              </w:tc>
              <w:tc>
                <w:tcPr>
                  <w:tcW w:w="845" w:type="dxa"/>
                  <w:noWrap w:val="0"/>
                  <w:vAlign w:val="center"/>
                </w:tcPr>
                <w:p w14:paraId="26358BD3">
                  <w:pPr>
                    <w:spacing w:line="276" w:lineRule="auto"/>
                    <w:jc w:val="center"/>
                    <w:rPr>
                      <w:rFonts w:hint="default" w:ascii="Times New Roman" w:hAnsi="Times New Roman" w:cs="Times New Roman"/>
                      <w:szCs w:val="21"/>
                    </w:rPr>
                  </w:pPr>
                  <w:r>
                    <w:rPr>
                      <w:rFonts w:hint="default" w:ascii="Times New Roman" w:hAnsi="Times New Roman" w:cs="Times New Roman"/>
                      <w:szCs w:val="21"/>
                    </w:rPr>
                    <w:t>420</w:t>
                  </w:r>
                </w:p>
              </w:tc>
              <w:tc>
                <w:tcPr>
                  <w:tcW w:w="1040" w:type="dxa"/>
                  <w:noWrap w:val="0"/>
                  <w:vAlign w:val="center"/>
                </w:tcPr>
                <w:p w14:paraId="2BD45F46">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r>
            <w:tr w14:paraId="3E4E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3682" w:type="dxa"/>
                  <w:noWrap w:val="0"/>
                  <w:vAlign w:val="center"/>
                </w:tcPr>
                <w:p w14:paraId="5E10B4C3">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芬顿氧化</w:t>
                  </w:r>
                  <w:r>
                    <w:rPr>
                      <w:rFonts w:hint="default" w:ascii="Times New Roman" w:hAnsi="Times New Roman" w:cs="Times New Roman"/>
                      <w:szCs w:val="21"/>
                    </w:rPr>
                    <w:t>处理效率</w:t>
                  </w:r>
                </w:p>
              </w:tc>
              <w:tc>
                <w:tcPr>
                  <w:tcW w:w="799" w:type="dxa"/>
                  <w:noWrap w:val="0"/>
                  <w:vAlign w:val="center"/>
                </w:tcPr>
                <w:p w14:paraId="417A2CB2">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971" w:type="dxa"/>
                  <w:noWrap w:val="0"/>
                  <w:vAlign w:val="center"/>
                </w:tcPr>
                <w:p w14:paraId="47AD7E33">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1248" w:type="dxa"/>
                  <w:noWrap w:val="0"/>
                  <w:vAlign w:val="center"/>
                </w:tcPr>
                <w:p w14:paraId="67DD3690">
                  <w:pPr>
                    <w:spacing w:line="276" w:lineRule="auto"/>
                    <w:jc w:val="center"/>
                    <w:rPr>
                      <w:rFonts w:hint="default" w:ascii="Times New Roman" w:hAnsi="Times New Roman" w:cs="Times New Roman"/>
                      <w:szCs w:val="21"/>
                    </w:rPr>
                  </w:pPr>
                  <w:r>
                    <w:rPr>
                      <w:rFonts w:hint="default" w:ascii="Times New Roman" w:hAnsi="Times New Roman" w:cs="Times New Roman"/>
                      <w:szCs w:val="21"/>
                    </w:rPr>
                    <w:t>5%</w:t>
                  </w:r>
                </w:p>
              </w:tc>
              <w:tc>
                <w:tcPr>
                  <w:tcW w:w="845" w:type="dxa"/>
                  <w:noWrap w:val="0"/>
                  <w:vAlign w:val="center"/>
                </w:tcPr>
                <w:p w14:paraId="18DF9962">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1040" w:type="dxa"/>
                  <w:noWrap w:val="0"/>
                  <w:vAlign w:val="center"/>
                </w:tcPr>
                <w:p w14:paraId="781AB8B7">
                  <w:pPr>
                    <w:spacing w:line="276" w:lineRule="auto"/>
                    <w:jc w:val="center"/>
                    <w:rPr>
                      <w:rFonts w:hint="default" w:ascii="Times New Roman" w:hAnsi="Times New Roman" w:cs="Times New Roman"/>
                      <w:szCs w:val="21"/>
                    </w:rPr>
                  </w:pPr>
                  <w:r>
                    <w:rPr>
                      <w:rFonts w:hint="default" w:ascii="Times New Roman" w:hAnsi="Times New Roman" w:cs="Times New Roman"/>
                      <w:szCs w:val="21"/>
                    </w:rPr>
                    <w:t>40%</w:t>
                  </w:r>
                </w:p>
              </w:tc>
            </w:tr>
            <w:tr w14:paraId="197A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6A0093E1">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芬顿氧化</w:t>
                  </w:r>
                  <w:r>
                    <w:rPr>
                      <w:rFonts w:hint="default" w:ascii="Times New Roman" w:hAnsi="Times New Roman" w:cs="Times New Roman"/>
                      <w:szCs w:val="21"/>
                    </w:rPr>
                    <w:t>出水</w:t>
                  </w:r>
                </w:p>
              </w:tc>
              <w:tc>
                <w:tcPr>
                  <w:tcW w:w="799" w:type="dxa"/>
                  <w:noWrap w:val="0"/>
                  <w:vAlign w:val="center"/>
                </w:tcPr>
                <w:p w14:paraId="57EB957C">
                  <w:pPr>
                    <w:spacing w:line="276" w:lineRule="auto"/>
                    <w:jc w:val="center"/>
                    <w:rPr>
                      <w:rFonts w:hint="default" w:ascii="Times New Roman" w:hAnsi="Times New Roman" w:cs="Times New Roman"/>
                      <w:szCs w:val="21"/>
                    </w:rPr>
                  </w:pPr>
                  <w:r>
                    <w:rPr>
                      <w:rFonts w:hint="default" w:ascii="Times New Roman" w:hAnsi="Times New Roman" w:cs="Times New Roman"/>
                      <w:szCs w:val="21"/>
                    </w:rPr>
                    <w:t>392</w:t>
                  </w:r>
                </w:p>
              </w:tc>
              <w:tc>
                <w:tcPr>
                  <w:tcW w:w="971" w:type="dxa"/>
                  <w:noWrap w:val="0"/>
                  <w:vAlign w:val="center"/>
                </w:tcPr>
                <w:p w14:paraId="46F64240">
                  <w:pPr>
                    <w:spacing w:line="276" w:lineRule="auto"/>
                    <w:jc w:val="center"/>
                    <w:rPr>
                      <w:rFonts w:hint="default" w:ascii="Times New Roman" w:hAnsi="Times New Roman" w:cs="Times New Roman"/>
                      <w:szCs w:val="21"/>
                    </w:rPr>
                  </w:pPr>
                  <w:r>
                    <w:rPr>
                      <w:rFonts w:hint="default" w:ascii="Times New Roman" w:hAnsi="Times New Roman" w:cs="Times New Roman"/>
                      <w:szCs w:val="21"/>
                    </w:rPr>
                    <w:t>196</w:t>
                  </w:r>
                </w:p>
              </w:tc>
              <w:tc>
                <w:tcPr>
                  <w:tcW w:w="1248" w:type="dxa"/>
                  <w:noWrap w:val="0"/>
                  <w:vAlign w:val="center"/>
                </w:tcPr>
                <w:p w14:paraId="67FF8407">
                  <w:pPr>
                    <w:spacing w:line="276" w:lineRule="auto"/>
                    <w:jc w:val="center"/>
                    <w:rPr>
                      <w:rFonts w:hint="default" w:ascii="Times New Roman" w:hAnsi="Times New Roman" w:cs="Times New Roman"/>
                      <w:szCs w:val="21"/>
                    </w:rPr>
                  </w:pPr>
                  <w:r>
                    <w:rPr>
                      <w:rFonts w:hint="default" w:ascii="Times New Roman" w:hAnsi="Times New Roman" w:cs="Times New Roman"/>
                      <w:szCs w:val="21"/>
                    </w:rPr>
                    <w:t>27.1</w:t>
                  </w:r>
                </w:p>
              </w:tc>
              <w:tc>
                <w:tcPr>
                  <w:tcW w:w="845" w:type="dxa"/>
                  <w:noWrap w:val="0"/>
                  <w:vAlign w:val="center"/>
                </w:tcPr>
                <w:p w14:paraId="292C3015">
                  <w:pPr>
                    <w:spacing w:line="276" w:lineRule="auto"/>
                    <w:jc w:val="center"/>
                    <w:rPr>
                      <w:rFonts w:hint="default" w:ascii="Times New Roman" w:hAnsi="Times New Roman" w:cs="Times New Roman"/>
                      <w:szCs w:val="21"/>
                    </w:rPr>
                  </w:pPr>
                  <w:r>
                    <w:rPr>
                      <w:rFonts w:hint="default" w:ascii="Times New Roman" w:hAnsi="Times New Roman" w:cs="Times New Roman"/>
                      <w:szCs w:val="21"/>
                    </w:rPr>
                    <w:t>294</w:t>
                  </w:r>
                </w:p>
              </w:tc>
              <w:tc>
                <w:tcPr>
                  <w:tcW w:w="1040" w:type="dxa"/>
                  <w:noWrap w:val="0"/>
                  <w:vAlign w:val="center"/>
                </w:tcPr>
                <w:p w14:paraId="7D65AF74">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18</w:t>
                  </w:r>
                </w:p>
              </w:tc>
            </w:tr>
            <w:tr w14:paraId="370B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7CAA89AB">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沉淀池</w:t>
                  </w:r>
                  <w:r>
                    <w:rPr>
                      <w:rFonts w:hint="default" w:ascii="Times New Roman" w:hAnsi="Times New Roman" w:cs="Times New Roman"/>
                      <w:szCs w:val="21"/>
                    </w:rPr>
                    <w:t>处理效率</w:t>
                  </w:r>
                </w:p>
              </w:tc>
              <w:tc>
                <w:tcPr>
                  <w:tcW w:w="799" w:type="dxa"/>
                  <w:noWrap w:val="0"/>
                  <w:vAlign w:val="center"/>
                </w:tcPr>
                <w:p w14:paraId="664B875D">
                  <w:pPr>
                    <w:jc w:val="center"/>
                    <w:rPr>
                      <w:rFonts w:hint="default" w:ascii="Times New Roman" w:hAnsi="Times New Roman" w:cs="Times New Roman"/>
                    </w:rPr>
                  </w:pPr>
                  <w:r>
                    <w:rPr>
                      <w:rFonts w:hint="default" w:ascii="Times New Roman" w:hAnsi="Times New Roman" w:cs="Times New Roman"/>
                      <w:szCs w:val="21"/>
                    </w:rPr>
                    <w:t>/</w:t>
                  </w:r>
                </w:p>
              </w:tc>
              <w:tc>
                <w:tcPr>
                  <w:tcW w:w="971" w:type="dxa"/>
                  <w:noWrap w:val="0"/>
                  <w:vAlign w:val="center"/>
                </w:tcPr>
                <w:p w14:paraId="219CB4D7">
                  <w:pPr>
                    <w:jc w:val="center"/>
                    <w:rPr>
                      <w:rFonts w:hint="default" w:ascii="Times New Roman" w:hAnsi="Times New Roman" w:cs="Times New Roman"/>
                    </w:rPr>
                  </w:pPr>
                  <w:r>
                    <w:rPr>
                      <w:rFonts w:hint="default" w:ascii="Times New Roman" w:hAnsi="Times New Roman" w:cs="Times New Roman"/>
                      <w:szCs w:val="21"/>
                    </w:rPr>
                    <w:t>/</w:t>
                  </w:r>
                </w:p>
              </w:tc>
              <w:tc>
                <w:tcPr>
                  <w:tcW w:w="1248" w:type="dxa"/>
                  <w:noWrap w:val="0"/>
                  <w:vAlign w:val="center"/>
                </w:tcPr>
                <w:p w14:paraId="70E3EAF2">
                  <w:pPr>
                    <w:jc w:val="center"/>
                    <w:rPr>
                      <w:rFonts w:hint="default" w:ascii="Times New Roman" w:hAnsi="Times New Roman" w:cs="Times New Roman"/>
                    </w:rPr>
                  </w:pPr>
                  <w:r>
                    <w:rPr>
                      <w:rFonts w:hint="default" w:ascii="Times New Roman" w:hAnsi="Times New Roman" w:cs="Times New Roman"/>
                      <w:szCs w:val="21"/>
                    </w:rPr>
                    <w:t>/</w:t>
                  </w:r>
                </w:p>
              </w:tc>
              <w:tc>
                <w:tcPr>
                  <w:tcW w:w="845" w:type="dxa"/>
                  <w:noWrap w:val="0"/>
                  <w:vAlign w:val="center"/>
                </w:tcPr>
                <w:p w14:paraId="5A09B043">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30%</w:t>
                  </w:r>
                </w:p>
              </w:tc>
              <w:tc>
                <w:tcPr>
                  <w:tcW w:w="1040" w:type="dxa"/>
                  <w:noWrap w:val="0"/>
                  <w:vAlign w:val="center"/>
                </w:tcPr>
                <w:p w14:paraId="5017D8CB">
                  <w:pPr>
                    <w:jc w:val="center"/>
                    <w:rPr>
                      <w:rFonts w:hint="default" w:ascii="Times New Roman" w:hAnsi="Times New Roman" w:cs="Times New Roman"/>
                    </w:rPr>
                  </w:pPr>
                  <w:r>
                    <w:rPr>
                      <w:rFonts w:hint="default" w:ascii="Times New Roman" w:hAnsi="Times New Roman" w:cs="Times New Roman"/>
                      <w:szCs w:val="21"/>
                    </w:rPr>
                    <w:t>/</w:t>
                  </w:r>
                </w:p>
              </w:tc>
            </w:tr>
            <w:tr w14:paraId="41BD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3A4F6183">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沉淀池</w:t>
                  </w:r>
                  <w:r>
                    <w:rPr>
                      <w:rFonts w:hint="default" w:ascii="Times New Roman" w:hAnsi="Times New Roman" w:cs="Times New Roman"/>
                      <w:szCs w:val="21"/>
                    </w:rPr>
                    <w:t>出水</w:t>
                  </w:r>
                </w:p>
              </w:tc>
              <w:tc>
                <w:tcPr>
                  <w:tcW w:w="799" w:type="dxa"/>
                  <w:noWrap w:val="0"/>
                  <w:vAlign w:val="center"/>
                </w:tcPr>
                <w:p w14:paraId="22BC45F6">
                  <w:pPr>
                    <w:spacing w:line="276" w:lineRule="auto"/>
                    <w:jc w:val="center"/>
                    <w:rPr>
                      <w:rFonts w:hint="default" w:ascii="Times New Roman" w:hAnsi="Times New Roman" w:cs="Times New Roman"/>
                      <w:szCs w:val="21"/>
                    </w:rPr>
                  </w:pPr>
                  <w:r>
                    <w:rPr>
                      <w:rFonts w:hint="default" w:ascii="Times New Roman" w:hAnsi="Times New Roman" w:cs="Times New Roman"/>
                      <w:szCs w:val="21"/>
                    </w:rPr>
                    <w:t>392</w:t>
                  </w:r>
                </w:p>
              </w:tc>
              <w:tc>
                <w:tcPr>
                  <w:tcW w:w="971" w:type="dxa"/>
                  <w:noWrap w:val="0"/>
                  <w:vAlign w:val="center"/>
                </w:tcPr>
                <w:p w14:paraId="4B742590">
                  <w:pPr>
                    <w:spacing w:line="276" w:lineRule="auto"/>
                    <w:jc w:val="center"/>
                    <w:rPr>
                      <w:rFonts w:hint="default" w:ascii="Times New Roman" w:hAnsi="Times New Roman" w:cs="Times New Roman"/>
                      <w:szCs w:val="21"/>
                    </w:rPr>
                  </w:pPr>
                  <w:r>
                    <w:rPr>
                      <w:rFonts w:hint="default" w:ascii="Times New Roman" w:hAnsi="Times New Roman" w:cs="Times New Roman"/>
                      <w:szCs w:val="21"/>
                    </w:rPr>
                    <w:t>196</w:t>
                  </w:r>
                </w:p>
              </w:tc>
              <w:tc>
                <w:tcPr>
                  <w:tcW w:w="1248" w:type="dxa"/>
                  <w:noWrap w:val="0"/>
                  <w:vAlign w:val="center"/>
                </w:tcPr>
                <w:p w14:paraId="6CA5C453">
                  <w:pPr>
                    <w:spacing w:line="276" w:lineRule="auto"/>
                    <w:jc w:val="center"/>
                    <w:rPr>
                      <w:rFonts w:hint="default" w:ascii="Times New Roman" w:hAnsi="Times New Roman" w:cs="Times New Roman"/>
                      <w:szCs w:val="21"/>
                    </w:rPr>
                  </w:pPr>
                  <w:r>
                    <w:rPr>
                      <w:rFonts w:hint="default" w:ascii="Times New Roman" w:hAnsi="Times New Roman" w:cs="Times New Roman"/>
                      <w:szCs w:val="21"/>
                    </w:rPr>
                    <w:t>27.1</w:t>
                  </w:r>
                </w:p>
              </w:tc>
              <w:tc>
                <w:tcPr>
                  <w:tcW w:w="845" w:type="dxa"/>
                  <w:noWrap w:val="0"/>
                  <w:vAlign w:val="center"/>
                </w:tcPr>
                <w:p w14:paraId="6717CF3E">
                  <w:pPr>
                    <w:spacing w:line="276" w:lineRule="auto"/>
                    <w:jc w:val="center"/>
                    <w:rPr>
                      <w:rFonts w:hint="default" w:ascii="Times New Roman" w:hAnsi="Times New Roman" w:cs="Times New Roman"/>
                      <w:szCs w:val="21"/>
                    </w:rPr>
                  </w:pPr>
                  <w:r>
                    <w:rPr>
                      <w:rFonts w:hint="default" w:ascii="Times New Roman" w:hAnsi="Times New Roman" w:cs="Times New Roman"/>
                      <w:szCs w:val="21"/>
                    </w:rPr>
                    <w:t>206</w:t>
                  </w:r>
                </w:p>
              </w:tc>
              <w:tc>
                <w:tcPr>
                  <w:tcW w:w="1040" w:type="dxa"/>
                  <w:noWrap w:val="0"/>
                  <w:vAlign w:val="center"/>
                </w:tcPr>
                <w:p w14:paraId="2E7E5DBF">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18</w:t>
                  </w:r>
                </w:p>
              </w:tc>
            </w:tr>
            <w:tr w14:paraId="5CEB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7FADA25E">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A/O处理效率（%）</w:t>
                  </w:r>
                </w:p>
              </w:tc>
              <w:tc>
                <w:tcPr>
                  <w:tcW w:w="799" w:type="dxa"/>
                  <w:noWrap w:val="0"/>
                  <w:vAlign w:val="center"/>
                </w:tcPr>
                <w:p w14:paraId="3B6BC299">
                  <w:pPr>
                    <w:spacing w:line="276" w:lineRule="auto"/>
                    <w:jc w:val="center"/>
                    <w:rPr>
                      <w:rFonts w:hint="default" w:ascii="Times New Roman" w:hAnsi="Times New Roman" w:cs="Times New Roman"/>
                      <w:szCs w:val="21"/>
                    </w:rPr>
                  </w:pPr>
                  <w:r>
                    <w:rPr>
                      <w:rFonts w:hint="default" w:ascii="Times New Roman" w:hAnsi="Times New Roman" w:cs="Times New Roman"/>
                      <w:szCs w:val="21"/>
                    </w:rPr>
                    <w:t>60%</w:t>
                  </w:r>
                </w:p>
              </w:tc>
              <w:tc>
                <w:tcPr>
                  <w:tcW w:w="971" w:type="dxa"/>
                  <w:noWrap w:val="0"/>
                  <w:vAlign w:val="center"/>
                </w:tcPr>
                <w:p w14:paraId="27A38F54">
                  <w:pPr>
                    <w:spacing w:line="276" w:lineRule="auto"/>
                    <w:jc w:val="center"/>
                    <w:rPr>
                      <w:rFonts w:hint="default" w:ascii="Times New Roman" w:hAnsi="Times New Roman" w:cs="Times New Roman"/>
                      <w:szCs w:val="21"/>
                    </w:rPr>
                  </w:pPr>
                  <w:r>
                    <w:rPr>
                      <w:rFonts w:hint="default" w:ascii="Times New Roman" w:hAnsi="Times New Roman" w:cs="Times New Roman"/>
                      <w:szCs w:val="21"/>
                    </w:rPr>
                    <w:t>60%</w:t>
                  </w:r>
                </w:p>
              </w:tc>
              <w:tc>
                <w:tcPr>
                  <w:tcW w:w="1248" w:type="dxa"/>
                  <w:noWrap w:val="0"/>
                  <w:vAlign w:val="center"/>
                </w:tcPr>
                <w:p w14:paraId="58B73F60">
                  <w:pPr>
                    <w:spacing w:line="276" w:lineRule="auto"/>
                    <w:jc w:val="center"/>
                    <w:rPr>
                      <w:rFonts w:hint="default" w:ascii="Times New Roman" w:hAnsi="Times New Roman" w:cs="Times New Roman"/>
                      <w:szCs w:val="21"/>
                    </w:rPr>
                  </w:pPr>
                  <w:r>
                    <w:rPr>
                      <w:rFonts w:hint="default" w:ascii="Times New Roman" w:hAnsi="Times New Roman" w:cs="Times New Roman"/>
                      <w:szCs w:val="21"/>
                    </w:rPr>
                    <w:t>40%</w:t>
                  </w:r>
                </w:p>
              </w:tc>
              <w:tc>
                <w:tcPr>
                  <w:tcW w:w="845" w:type="dxa"/>
                  <w:noWrap w:val="0"/>
                  <w:vAlign w:val="center"/>
                </w:tcPr>
                <w:p w14:paraId="23636437">
                  <w:pPr>
                    <w:spacing w:line="276" w:lineRule="auto"/>
                    <w:jc w:val="center"/>
                    <w:rPr>
                      <w:rFonts w:hint="default" w:ascii="Times New Roman" w:hAnsi="Times New Roman" w:cs="Times New Roman"/>
                      <w:szCs w:val="21"/>
                    </w:rPr>
                  </w:pPr>
                  <w:r>
                    <w:rPr>
                      <w:rFonts w:hint="default" w:ascii="Times New Roman" w:hAnsi="Times New Roman" w:cs="Times New Roman"/>
                      <w:szCs w:val="21"/>
                    </w:rPr>
                    <w:t>10%</w:t>
                  </w:r>
                </w:p>
              </w:tc>
              <w:tc>
                <w:tcPr>
                  <w:tcW w:w="1040" w:type="dxa"/>
                  <w:noWrap w:val="0"/>
                  <w:vAlign w:val="center"/>
                </w:tcPr>
                <w:p w14:paraId="6F2ED800">
                  <w:pPr>
                    <w:spacing w:line="276" w:lineRule="auto"/>
                    <w:jc w:val="center"/>
                    <w:rPr>
                      <w:rFonts w:hint="default" w:ascii="Times New Roman" w:hAnsi="Times New Roman" w:cs="Times New Roman"/>
                      <w:szCs w:val="21"/>
                    </w:rPr>
                  </w:pPr>
                  <w:r>
                    <w:rPr>
                      <w:rFonts w:hint="default" w:ascii="Times New Roman" w:hAnsi="Times New Roman" w:cs="Times New Roman"/>
                      <w:szCs w:val="21"/>
                    </w:rPr>
                    <w:t>10%</w:t>
                  </w:r>
                </w:p>
              </w:tc>
            </w:tr>
            <w:tr w14:paraId="731F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1B51F2BF">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A/O处理出水</w:t>
                  </w:r>
                </w:p>
              </w:tc>
              <w:tc>
                <w:tcPr>
                  <w:tcW w:w="799" w:type="dxa"/>
                  <w:noWrap w:val="0"/>
                  <w:vAlign w:val="center"/>
                </w:tcPr>
                <w:p w14:paraId="128C20F3">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157</w:t>
                  </w:r>
                </w:p>
              </w:tc>
              <w:tc>
                <w:tcPr>
                  <w:tcW w:w="971" w:type="dxa"/>
                  <w:noWrap w:val="0"/>
                  <w:vAlign w:val="center"/>
                </w:tcPr>
                <w:p w14:paraId="60CE1FAA">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78</w:t>
                  </w:r>
                </w:p>
              </w:tc>
              <w:tc>
                <w:tcPr>
                  <w:tcW w:w="1248" w:type="dxa"/>
                  <w:noWrap w:val="0"/>
                  <w:vAlign w:val="center"/>
                </w:tcPr>
                <w:p w14:paraId="718B820A">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16</w:t>
                  </w:r>
                </w:p>
              </w:tc>
              <w:tc>
                <w:tcPr>
                  <w:tcW w:w="845" w:type="dxa"/>
                  <w:noWrap w:val="0"/>
                  <w:vAlign w:val="center"/>
                </w:tcPr>
                <w:p w14:paraId="72F8C767">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185</w:t>
                  </w:r>
                </w:p>
              </w:tc>
              <w:tc>
                <w:tcPr>
                  <w:tcW w:w="1040" w:type="dxa"/>
                  <w:noWrap w:val="0"/>
                  <w:vAlign w:val="center"/>
                </w:tcPr>
                <w:p w14:paraId="4EF32AD9">
                  <w:pPr>
                    <w:spacing w:line="276" w:lineRule="auto"/>
                    <w:jc w:val="center"/>
                    <w:rPr>
                      <w:rFonts w:hint="default" w:ascii="Times New Roman" w:hAnsi="Times New Roman" w:cs="Times New Roman"/>
                      <w:szCs w:val="21"/>
                    </w:rPr>
                  </w:pPr>
                  <w:r>
                    <w:rPr>
                      <w:rFonts w:hint="default" w:ascii="Times New Roman" w:hAnsi="Times New Roman" w:cs="Times New Roman"/>
                      <w:szCs w:val="21"/>
                    </w:rPr>
                    <w:t>16</w:t>
                  </w:r>
                </w:p>
              </w:tc>
            </w:tr>
            <w:tr w14:paraId="21A5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4006DAB4">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bCs/>
                      <w:szCs w:val="21"/>
                    </w:rPr>
                    <w:t>二沉池</w:t>
                  </w:r>
                  <w:r>
                    <w:rPr>
                      <w:rFonts w:hint="default" w:ascii="Times New Roman" w:hAnsi="Times New Roman" w:cs="Times New Roman"/>
                      <w:szCs w:val="21"/>
                    </w:rPr>
                    <w:t>处理效率</w:t>
                  </w:r>
                </w:p>
              </w:tc>
              <w:tc>
                <w:tcPr>
                  <w:tcW w:w="799" w:type="dxa"/>
                  <w:noWrap w:val="0"/>
                  <w:vAlign w:val="center"/>
                </w:tcPr>
                <w:p w14:paraId="199D8295">
                  <w:pPr>
                    <w:jc w:val="center"/>
                    <w:rPr>
                      <w:rFonts w:hint="default" w:ascii="Times New Roman" w:hAnsi="Times New Roman" w:cs="Times New Roman"/>
                    </w:rPr>
                  </w:pPr>
                  <w:r>
                    <w:rPr>
                      <w:rFonts w:hint="default" w:ascii="Times New Roman" w:hAnsi="Times New Roman" w:cs="Times New Roman"/>
                      <w:szCs w:val="21"/>
                    </w:rPr>
                    <w:t>/</w:t>
                  </w:r>
                </w:p>
              </w:tc>
              <w:tc>
                <w:tcPr>
                  <w:tcW w:w="971" w:type="dxa"/>
                  <w:noWrap w:val="0"/>
                  <w:vAlign w:val="center"/>
                </w:tcPr>
                <w:p w14:paraId="69AB8204">
                  <w:pPr>
                    <w:jc w:val="center"/>
                    <w:rPr>
                      <w:rFonts w:hint="default" w:ascii="Times New Roman" w:hAnsi="Times New Roman" w:cs="Times New Roman"/>
                    </w:rPr>
                  </w:pPr>
                  <w:r>
                    <w:rPr>
                      <w:rFonts w:hint="default" w:ascii="Times New Roman" w:hAnsi="Times New Roman" w:cs="Times New Roman"/>
                      <w:szCs w:val="21"/>
                    </w:rPr>
                    <w:t>/</w:t>
                  </w:r>
                </w:p>
              </w:tc>
              <w:tc>
                <w:tcPr>
                  <w:tcW w:w="1248" w:type="dxa"/>
                  <w:noWrap w:val="0"/>
                  <w:vAlign w:val="center"/>
                </w:tcPr>
                <w:p w14:paraId="1A66489B">
                  <w:pPr>
                    <w:jc w:val="center"/>
                    <w:rPr>
                      <w:rFonts w:hint="default" w:ascii="Times New Roman" w:hAnsi="Times New Roman" w:cs="Times New Roman"/>
                    </w:rPr>
                  </w:pPr>
                  <w:r>
                    <w:rPr>
                      <w:rFonts w:hint="default" w:ascii="Times New Roman" w:hAnsi="Times New Roman" w:cs="Times New Roman"/>
                      <w:szCs w:val="21"/>
                    </w:rPr>
                    <w:t>/</w:t>
                  </w:r>
                </w:p>
              </w:tc>
              <w:tc>
                <w:tcPr>
                  <w:tcW w:w="845" w:type="dxa"/>
                  <w:noWrap w:val="0"/>
                  <w:vAlign w:val="center"/>
                </w:tcPr>
                <w:p w14:paraId="491B780D">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30%</w:t>
                  </w:r>
                </w:p>
              </w:tc>
              <w:tc>
                <w:tcPr>
                  <w:tcW w:w="1040" w:type="dxa"/>
                  <w:noWrap w:val="0"/>
                  <w:vAlign w:val="center"/>
                </w:tcPr>
                <w:p w14:paraId="1D9CA15A">
                  <w:pPr>
                    <w:jc w:val="center"/>
                    <w:rPr>
                      <w:rFonts w:hint="default" w:ascii="Times New Roman" w:hAnsi="Times New Roman" w:cs="Times New Roman"/>
                    </w:rPr>
                  </w:pPr>
                  <w:r>
                    <w:rPr>
                      <w:rFonts w:hint="default" w:ascii="Times New Roman" w:hAnsi="Times New Roman" w:cs="Times New Roman"/>
                      <w:szCs w:val="21"/>
                    </w:rPr>
                    <w:t>/</w:t>
                  </w:r>
                </w:p>
              </w:tc>
            </w:tr>
            <w:tr w14:paraId="7A5B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5E36B699">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污水处理站出水</w:t>
                  </w:r>
                </w:p>
              </w:tc>
              <w:tc>
                <w:tcPr>
                  <w:tcW w:w="799" w:type="dxa"/>
                  <w:noWrap w:val="0"/>
                  <w:vAlign w:val="center"/>
                </w:tcPr>
                <w:p w14:paraId="1FA856C1">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157</w:t>
                  </w:r>
                </w:p>
              </w:tc>
              <w:tc>
                <w:tcPr>
                  <w:tcW w:w="971" w:type="dxa"/>
                  <w:noWrap w:val="0"/>
                  <w:vAlign w:val="center"/>
                </w:tcPr>
                <w:p w14:paraId="3163A106">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78</w:t>
                  </w:r>
                </w:p>
              </w:tc>
              <w:tc>
                <w:tcPr>
                  <w:tcW w:w="1248" w:type="dxa"/>
                  <w:noWrap w:val="0"/>
                  <w:vAlign w:val="center"/>
                </w:tcPr>
                <w:p w14:paraId="5F0CE7CC">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16</w:t>
                  </w:r>
                </w:p>
              </w:tc>
              <w:tc>
                <w:tcPr>
                  <w:tcW w:w="845" w:type="dxa"/>
                  <w:noWrap w:val="0"/>
                  <w:vAlign w:val="center"/>
                </w:tcPr>
                <w:p w14:paraId="40339113">
                  <w:pPr>
                    <w:spacing w:line="276" w:lineRule="auto"/>
                    <w:jc w:val="center"/>
                    <w:rPr>
                      <w:rFonts w:hint="default" w:ascii="Times New Roman" w:hAnsi="Times New Roman" w:cs="Times New Roman"/>
                      <w:szCs w:val="21"/>
                      <w:highlight w:val="yellow"/>
                    </w:rPr>
                  </w:pPr>
                  <w:r>
                    <w:rPr>
                      <w:rFonts w:hint="default" w:ascii="Times New Roman" w:hAnsi="Times New Roman" w:cs="Times New Roman"/>
                      <w:szCs w:val="21"/>
                    </w:rPr>
                    <w:t>130</w:t>
                  </w:r>
                </w:p>
              </w:tc>
              <w:tc>
                <w:tcPr>
                  <w:tcW w:w="1040" w:type="dxa"/>
                  <w:noWrap w:val="0"/>
                  <w:vAlign w:val="center"/>
                </w:tcPr>
                <w:p w14:paraId="344688EE">
                  <w:pPr>
                    <w:spacing w:line="276" w:lineRule="auto"/>
                    <w:jc w:val="center"/>
                    <w:rPr>
                      <w:rFonts w:hint="default" w:ascii="Times New Roman" w:hAnsi="Times New Roman" w:cs="Times New Roman"/>
                      <w:szCs w:val="21"/>
                    </w:rPr>
                  </w:pPr>
                  <w:r>
                    <w:rPr>
                      <w:rFonts w:hint="default" w:ascii="Times New Roman" w:hAnsi="Times New Roman" w:cs="Times New Roman"/>
                      <w:szCs w:val="21"/>
                    </w:rPr>
                    <w:t>16</w:t>
                  </w:r>
                </w:p>
              </w:tc>
            </w:tr>
            <w:tr w14:paraId="3703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3682" w:type="dxa"/>
                  <w:noWrap w:val="0"/>
                  <w:vAlign w:val="center"/>
                </w:tcPr>
                <w:p w14:paraId="2DC061B3">
                  <w:pPr>
                    <w:spacing w:line="276" w:lineRule="auto"/>
                    <w:jc w:val="center"/>
                    <w:rPr>
                      <w:rFonts w:hint="default" w:ascii="Times New Roman" w:hAnsi="Times New Roman" w:cs="Times New Roman"/>
                      <w:szCs w:val="21"/>
                    </w:rPr>
                  </w:pPr>
                  <w:r>
                    <w:rPr>
                      <w:rFonts w:hint="default" w:ascii="Times New Roman" w:hAnsi="Times New Roman" w:cs="Times New Roman"/>
                      <w:szCs w:val="21"/>
                    </w:rPr>
                    <w:t>本项目执行预处理标准</w:t>
                  </w:r>
                </w:p>
              </w:tc>
              <w:tc>
                <w:tcPr>
                  <w:tcW w:w="799" w:type="dxa"/>
                  <w:noWrap w:val="0"/>
                  <w:vAlign w:val="center"/>
                </w:tcPr>
                <w:p w14:paraId="4986FC78">
                  <w:pPr>
                    <w:spacing w:line="276" w:lineRule="auto"/>
                    <w:jc w:val="center"/>
                    <w:rPr>
                      <w:rFonts w:hint="default" w:ascii="Times New Roman" w:hAnsi="Times New Roman" w:cs="Times New Roman"/>
                      <w:szCs w:val="21"/>
                    </w:rPr>
                  </w:pPr>
                  <w:r>
                    <w:rPr>
                      <w:rFonts w:hint="default" w:ascii="Times New Roman" w:hAnsi="Times New Roman" w:cs="Times New Roman"/>
                      <w:szCs w:val="21"/>
                    </w:rPr>
                    <w:t>500</w:t>
                  </w:r>
                </w:p>
              </w:tc>
              <w:tc>
                <w:tcPr>
                  <w:tcW w:w="971" w:type="dxa"/>
                  <w:noWrap w:val="0"/>
                  <w:vAlign w:val="center"/>
                </w:tcPr>
                <w:p w14:paraId="104E0D20">
                  <w:pPr>
                    <w:spacing w:line="276" w:lineRule="auto"/>
                    <w:jc w:val="center"/>
                    <w:rPr>
                      <w:rFonts w:hint="default" w:ascii="Times New Roman" w:hAnsi="Times New Roman" w:cs="Times New Roman"/>
                      <w:szCs w:val="21"/>
                    </w:rPr>
                  </w:pPr>
                  <w:r>
                    <w:rPr>
                      <w:rFonts w:hint="default" w:ascii="Times New Roman" w:hAnsi="Times New Roman" w:cs="Times New Roman"/>
                      <w:szCs w:val="21"/>
                    </w:rPr>
                    <w:t>150</w:t>
                  </w:r>
                </w:p>
              </w:tc>
              <w:tc>
                <w:tcPr>
                  <w:tcW w:w="1248" w:type="dxa"/>
                  <w:noWrap w:val="0"/>
                  <w:vAlign w:val="center"/>
                </w:tcPr>
                <w:p w14:paraId="6140F099">
                  <w:pPr>
                    <w:spacing w:line="276" w:lineRule="auto"/>
                    <w:jc w:val="center"/>
                    <w:rPr>
                      <w:rFonts w:hint="default" w:ascii="Times New Roman" w:hAnsi="Times New Roman" w:cs="Times New Roman"/>
                      <w:szCs w:val="21"/>
                    </w:rPr>
                  </w:pPr>
                  <w:r>
                    <w:rPr>
                      <w:rFonts w:hint="default" w:ascii="Times New Roman" w:hAnsi="Times New Roman" w:cs="Times New Roman"/>
                      <w:szCs w:val="21"/>
                    </w:rPr>
                    <w:t>30</w:t>
                  </w:r>
                </w:p>
              </w:tc>
              <w:tc>
                <w:tcPr>
                  <w:tcW w:w="845" w:type="dxa"/>
                  <w:noWrap w:val="0"/>
                  <w:vAlign w:val="center"/>
                </w:tcPr>
                <w:p w14:paraId="01BA4E17">
                  <w:pPr>
                    <w:spacing w:line="276" w:lineRule="auto"/>
                    <w:jc w:val="center"/>
                    <w:rPr>
                      <w:rFonts w:hint="default" w:ascii="Times New Roman" w:hAnsi="Times New Roman" w:cs="Times New Roman"/>
                      <w:szCs w:val="21"/>
                    </w:rPr>
                  </w:pPr>
                  <w:r>
                    <w:rPr>
                      <w:rFonts w:hint="default" w:ascii="Times New Roman" w:hAnsi="Times New Roman" w:cs="Times New Roman"/>
                      <w:szCs w:val="21"/>
                    </w:rPr>
                    <w:t>250</w:t>
                  </w:r>
                </w:p>
              </w:tc>
              <w:tc>
                <w:tcPr>
                  <w:tcW w:w="1040" w:type="dxa"/>
                  <w:noWrap w:val="0"/>
                  <w:vAlign w:val="center"/>
                </w:tcPr>
                <w:p w14:paraId="6199320A">
                  <w:pPr>
                    <w:spacing w:line="276" w:lineRule="auto"/>
                    <w:jc w:val="center"/>
                    <w:rPr>
                      <w:rFonts w:hint="default" w:ascii="Times New Roman" w:hAnsi="Times New Roman" w:cs="Times New Roman"/>
                      <w:szCs w:val="21"/>
                    </w:rPr>
                  </w:pPr>
                  <w:r>
                    <w:rPr>
                      <w:rFonts w:hint="default" w:ascii="Times New Roman" w:hAnsi="Times New Roman" w:cs="Times New Roman"/>
                      <w:szCs w:val="21"/>
                    </w:rPr>
                    <w:t>20</w:t>
                  </w:r>
                </w:p>
              </w:tc>
            </w:tr>
          </w:tbl>
          <w:p w14:paraId="4DD83368">
            <w:pPr>
              <w:autoSpaceDE w:val="0"/>
              <w:autoSpaceDN w:val="0"/>
              <w:spacing w:line="360" w:lineRule="auto"/>
              <w:ind w:firstLine="422"/>
              <w:rPr>
                <w:rFonts w:hint="default" w:ascii="Times New Roman" w:hAnsi="Times New Roman" w:cs="Times New Roman"/>
                <w:sz w:val="24"/>
              </w:rPr>
            </w:pPr>
            <w:r>
              <w:rPr>
                <w:rFonts w:hint="default" w:ascii="Times New Roman" w:hAnsi="Times New Roman" w:cs="Times New Roman"/>
                <w:sz w:val="24"/>
              </w:rPr>
              <w:t>根据前文分析可知，项目废水经处理后主要污染因子水质为COD：157mg/l、BOD</w:t>
            </w:r>
            <w:r>
              <w:rPr>
                <w:rFonts w:hint="default" w:ascii="Times New Roman" w:hAnsi="Times New Roman" w:cs="Times New Roman"/>
                <w:sz w:val="24"/>
                <w:vertAlign w:val="subscript"/>
              </w:rPr>
              <w:t>5</w:t>
            </w:r>
            <w:r>
              <w:rPr>
                <w:rFonts w:hint="default" w:ascii="Times New Roman" w:hAnsi="Times New Roman" w:cs="Times New Roman"/>
                <w:sz w:val="24"/>
              </w:rPr>
              <w:t>：78mg/l、SS：130mg/l、NH</w:t>
            </w:r>
            <w:r>
              <w:rPr>
                <w:rFonts w:hint="default" w:ascii="Times New Roman" w:hAnsi="Times New Roman" w:cs="Times New Roman"/>
                <w:sz w:val="24"/>
                <w:vertAlign w:val="subscript"/>
              </w:rPr>
              <w:t>3</w:t>
            </w:r>
            <w:r>
              <w:rPr>
                <w:rFonts w:hint="default" w:ascii="Times New Roman" w:hAnsi="Times New Roman" w:cs="Times New Roman"/>
                <w:sz w:val="24"/>
              </w:rPr>
              <w:t>-N：16mg/l、石油类：16mg/l，水质能满足埇桥经济开发区污水处理厂接管标准及《污水综合排放标准》（GB8978-1996）表4中三级标准限值要求；项目排放的废水对周围水环境影响较小。项目自建污水处理站处理能力40t/d，项目生产废水产生量</w:t>
            </w:r>
            <w:r>
              <w:rPr>
                <w:rFonts w:hint="eastAsia" w:ascii="Times New Roman" w:hAnsi="Times New Roman" w:eastAsia="宋体" w:cs="Times New Roman"/>
                <w:sz w:val="24"/>
                <w:lang w:val="en-US" w:eastAsia="zh-CN"/>
              </w:rPr>
              <w:t>15.55</w:t>
            </w:r>
            <w:r>
              <w:rPr>
                <w:rFonts w:hint="default" w:ascii="Times New Roman" w:hAnsi="Times New Roman" w:cs="Times New Roman"/>
                <w:sz w:val="24"/>
              </w:rPr>
              <w:t>t/a，能够满足项目生产废水处理需求。</w:t>
            </w:r>
          </w:p>
          <w:p w14:paraId="6B29F95A">
            <w:pPr>
              <w:spacing w:line="360" w:lineRule="auto"/>
              <w:ind w:firstLine="480" w:firstLineChars="200"/>
              <w:rPr>
                <w:rFonts w:hint="eastAsia" w:ascii="time" w:hAnsi="time"/>
                <w:b/>
                <w:sz w:val="24"/>
              </w:rPr>
            </w:pPr>
            <w:r>
              <w:rPr>
                <w:rFonts w:hint="default" w:ascii="Times New Roman" w:hAnsi="Times New Roman" w:cs="Times New Roman"/>
                <w:kern w:val="0"/>
                <w:sz w:val="24"/>
              </w:rPr>
              <w:t>参照《排污许可证申请与核发技术规范 汽车制造工业》（HJ971-2018）中“表26 汽车制造业排污单位废水类型、污染物类型及污染治理推荐可行技术”，项目符合性见下表。</w:t>
            </w:r>
          </w:p>
          <w:p w14:paraId="40032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 w:hAnsi="time"/>
                <w:b/>
                <w:bCs/>
                <w:sz w:val="24"/>
              </w:rPr>
            </w:pPr>
            <w:r>
              <w:rPr>
                <w:rFonts w:hint="eastAsia" w:ascii="time" w:hAnsi="time"/>
                <w:b/>
                <w:sz w:val="24"/>
              </w:rPr>
              <w:t>表4-</w:t>
            </w:r>
            <w:r>
              <w:rPr>
                <w:rFonts w:hint="eastAsia" w:ascii="time" w:hAnsi="time" w:eastAsia="宋体"/>
                <w:b/>
                <w:sz w:val="24"/>
                <w:lang w:val="en-US" w:eastAsia="zh-CN"/>
              </w:rPr>
              <w:t>9</w:t>
            </w:r>
            <w:r>
              <w:rPr>
                <w:rFonts w:hint="eastAsia" w:ascii="time" w:hAnsi="time"/>
                <w:b/>
                <w:sz w:val="24"/>
              </w:rPr>
              <w:t xml:space="preserve"> 废水污染防治可行技术</w:t>
            </w:r>
            <w:r>
              <w:rPr>
                <w:rFonts w:hint="eastAsia" w:ascii="time" w:hAnsi="time"/>
                <w:b/>
                <w:bCs/>
                <w:sz w:val="24"/>
              </w:rPr>
              <w:t>参考表</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8"/>
              <w:gridCol w:w="2551"/>
              <w:gridCol w:w="2877"/>
              <w:gridCol w:w="1817"/>
              <w:gridCol w:w="1260"/>
            </w:tblGrid>
            <w:tr w14:paraId="74CAE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672" w:type="dxa"/>
                  <w:noWrap/>
                  <w:vAlign w:val="center"/>
                </w:tcPr>
                <w:p w14:paraId="7E0C861A">
                  <w:pPr>
                    <w:spacing w:line="276" w:lineRule="auto"/>
                    <w:jc w:val="center"/>
                    <w:rPr>
                      <w:rFonts w:ascii="time" w:hAnsi="time"/>
                      <w:bCs/>
                      <w:szCs w:val="21"/>
                    </w:rPr>
                  </w:pPr>
                  <w:r>
                    <w:rPr>
                      <w:rFonts w:hint="eastAsia" w:ascii="time" w:hAnsi="time"/>
                      <w:bCs/>
                      <w:szCs w:val="21"/>
                    </w:rPr>
                    <w:t>废水类型</w:t>
                  </w:r>
                </w:p>
              </w:tc>
              <w:tc>
                <w:tcPr>
                  <w:tcW w:w="2388" w:type="dxa"/>
                  <w:noWrap/>
                  <w:vAlign w:val="center"/>
                </w:tcPr>
                <w:p w14:paraId="7B3F2B83">
                  <w:pPr>
                    <w:spacing w:line="276" w:lineRule="auto"/>
                    <w:jc w:val="center"/>
                    <w:rPr>
                      <w:rFonts w:ascii="time" w:hAnsi="time"/>
                      <w:bCs/>
                      <w:szCs w:val="21"/>
                    </w:rPr>
                  </w:pPr>
                  <w:r>
                    <w:rPr>
                      <w:rFonts w:hint="eastAsia" w:ascii="time" w:hAnsi="time"/>
                      <w:bCs/>
                      <w:szCs w:val="21"/>
                    </w:rPr>
                    <w:t>废水污染物</w:t>
                  </w:r>
                </w:p>
              </w:tc>
              <w:tc>
                <w:tcPr>
                  <w:tcW w:w="2693" w:type="dxa"/>
                  <w:noWrap/>
                  <w:vAlign w:val="center"/>
                </w:tcPr>
                <w:p w14:paraId="0A1267AA">
                  <w:pPr>
                    <w:spacing w:line="276" w:lineRule="auto"/>
                    <w:jc w:val="center"/>
                    <w:rPr>
                      <w:rFonts w:ascii="time" w:hAnsi="time"/>
                      <w:bCs/>
                      <w:szCs w:val="21"/>
                    </w:rPr>
                  </w:pPr>
                  <w:r>
                    <w:rPr>
                      <w:rFonts w:hint="eastAsia" w:ascii="time" w:hAnsi="time"/>
                      <w:bCs/>
                      <w:szCs w:val="21"/>
                    </w:rPr>
                    <w:t>可行技术</w:t>
                  </w:r>
                </w:p>
              </w:tc>
              <w:tc>
                <w:tcPr>
                  <w:tcW w:w="1701" w:type="dxa"/>
                  <w:noWrap w:val="0"/>
                  <w:vAlign w:val="center"/>
                </w:tcPr>
                <w:p w14:paraId="40F53230">
                  <w:pPr>
                    <w:spacing w:line="276" w:lineRule="auto"/>
                    <w:jc w:val="center"/>
                    <w:rPr>
                      <w:rFonts w:hint="eastAsia" w:ascii="time" w:hAnsi="time"/>
                      <w:bCs/>
                      <w:szCs w:val="21"/>
                    </w:rPr>
                  </w:pPr>
                  <w:r>
                    <w:rPr>
                      <w:rFonts w:hint="eastAsia" w:ascii="time" w:hAnsi="time"/>
                      <w:bCs/>
                      <w:szCs w:val="21"/>
                    </w:rPr>
                    <w:t>本项目情况</w:t>
                  </w:r>
                </w:p>
              </w:tc>
              <w:tc>
                <w:tcPr>
                  <w:tcW w:w="1178" w:type="dxa"/>
                  <w:noWrap w:val="0"/>
                  <w:vAlign w:val="center"/>
                </w:tcPr>
                <w:p w14:paraId="046A0652">
                  <w:pPr>
                    <w:spacing w:line="276" w:lineRule="auto"/>
                    <w:jc w:val="center"/>
                    <w:rPr>
                      <w:rFonts w:hint="eastAsia" w:ascii="time" w:hAnsi="time"/>
                      <w:bCs/>
                      <w:szCs w:val="21"/>
                    </w:rPr>
                  </w:pPr>
                  <w:r>
                    <w:rPr>
                      <w:rFonts w:hint="eastAsia" w:ascii="time" w:hAnsi="time"/>
                      <w:bCs/>
                      <w:szCs w:val="21"/>
                    </w:rPr>
                    <w:t>分析结果</w:t>
                  </w:r>
                </w:p>
              </w:tc>
            </w:tr>
            <w:tr w14:paraId="246C8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672" w:type="dxa"/>
                  <w:noWrap/>
                  <w:vAlign w:val="center"/>
                </w:tcPr>
                <w:p w14:paraId="4A52EBEC">
                  <w:pPr>
                    <w:spacing w:line="276" w:lineRule="auto"/>
                    <w:jc w:val="center"/>
                    <w:rPr>
                      <w:rFonts w:ascii="time" w:hAnsi="time"/>
                      <w:bCs/>
                      <w:szCs w:val="21"/>
                    </w:rPr>
                  </w:pPr>
                  <w:r>
                    <w:rPr>
                      <w:rFonts w:ascii="time" w:hAnsi="time"/>
                      <w:bCs/>
                      <w:szCs w:val="21"/>
                    </w:rPr>
                    <w:t>生产废水</w:t>
                  </w:r>
                </w:p>
              </w:tc>
              <w:tc>
                <w:tcPr>
                  <w:tcW w:w="2388" w:type="dxa"/>
                  <w:noWrap/>
                  <w:vAlign w:val="center"/>
                </w:tcPr>
                <w:p w14:paraId="48D0FB5D">
                  <w:pPr>
                    <w:spacing w:line="276" w:lineRule="auto"/>
                    <w:jc w:val="center"/>
                    <w:rPr>
                      <w:rFonts w:hint="eastAsia" w:ascii="time" w:hAnsi="time"/>
                      <w:bCs/>
                      <w:szCs w:val="21"/>
                    </w:rPr>
                  </w:pPr>
                  <w:r>
                    <w:rPr>
                      <w:rFonts w:hint="eastAsia" w:ascii="time" w:hAnsi="time"/>
                      <w:bCs/>
                      <w:szCs w:val="21"/>
                    </w:rPr>
                    <w:t>pH、化学需氧量、五日生化需氧量、氨氮、悬浮物、磷酸盐、石油类</w:t>
                  </w:r>
                </w:p>
              </w:tc>
              <w:tc>
                <w:tcPr>
                  <w:tcW w:w="2693" w:type="dxa"/>
                  <w:noWrap/>
                  <w:vAlign w:val="center"/>
                </w:tcPr>
                <w:p w14:paraId="29EE4D3D">
                  <w:pPr>
                    <w:spacing w:line="276" w:lineRule="auto"/>
                    <w:jc w:val="center"/>
                    <w:rPr>
                      <w:rFonts w:ascii="time" w:hAnsi="time"/>
                      <w:bCs/>
                      <w:szCs w:val="21"/>
                    </w:rPr>
                  </w:pPr>
                  <w:r>
                    <w:rPr>
                      <w:rFonts w:hint="eastAsia" w:ascii="time" w:hAnsi="time"/>
                      <w:bCs/>
                      <w:szCs w:val="21"/>
                    </w:rPr>
                    <w:t>格棚、调节、混凝、水解酸化、生化、沉淀、二级生化、砂滤、消毒、反渗透、浓缩蒸发</w:t>
                  </w:r>
                </w:p>
              </w:tc>
              <w:tc>
                <w:tcPr>
                  <w:tcW w:w="1701" w:type="dxa"/>
                  <w:noWrap w:val="0"/>
                  <w:vAlign w:val="center"/>
                </w:tcPr>
                <w:p w14:paraId="60785A53">
                  <w:pPr>
                    <w:spacing w:line="276" w:lineRule="auto"/>
                    <w:jc w:val="center"/>
                    <w:rPr>
                      <w:rFonts w:ascii="time" w:hAnsi="time"/>
                      <w:bCs/>
                      <w:szCs w:val="21"/>
                    </w:rPr>
                  </w:pPr>
                  <w:r>
                    <w:rPr>
                      <w:rFonts w:hint="eastAsia" w:ascii="time" w:hAnsi="time"/>
                      <w:bCs/>
                      <w:szCs w:val="21"/>
                    </w:rPr>
                    <w:t>调节池+混凝沉淀+芬顿氧化+沉淀池+A/O工艺+二沉池</w:t>
                  </w:r>
                </w:p>
              </w:tc>
              <w:tc>
                <w:tcPr>
                  <w:tcW w:w="1178" w:type="dxa"/>
                  <w:noWrap w:val="0"/>
                  <w:vAlign w:val="center"/>
                </w:tcPr>
                <w:p w14:paraId="47BAB109">
                  <w:pPr>
                    <w:spacing w:line="276" w:lineRule="auto"/>
                    <w:jc w:val="center"/>
                    <w:rPr>
                      <w:rFonts w:ascii="time" w:hAnsi="time"/>
                      <w:bCs/>
                      <w:szCs w:val="21"/>
                    </w:rPr>
                  </w:pPr>
                  <w:r>
                    <w:rPr>
                      <w:rFonts w:ascii="time" w:hAnsi="time"/>
                      <w:bCs/>
                      <w:szCs w:val="21"/>
                    </w:rPr>
                    <w:t>符合</w:t>
                  </w:r>
                </w:p>
              </w:tc>
            </w:tr>
          </w:tbl>
          <w:p w14:paraId="54DF57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kern w:val="0"/>
                <w:sz w:val="24"/>
                <w:lang w:val="en-US" w:eastAsia="zh-CN"/>
              </w:rPr>
            </w:pPr>
            <w:r>
              <w:rPr>
                <w:rFonts w:hint="eastAsia" w:eastAsia="宋体"/>
                <w:kern w:val="0"/>
                <w:sz w:val="24"/>
                <w:lang w:val="en-US" w:eastAsia="zh-CN"/>
              </w:rPr>
              <w:t>本项目与原项目工艺相似，废水产生情况及污染因子相似，根据原项目验收废水检测结果，原项目废水在经自建污水处理站处理后，</w:t>
            </w:r>
            <w:r>
              <w:rPr>
                <w:rFonts w:hint="default" w:eastAsia="宋体"/>
                <w:kern w:val="0"/>
                <w:sz w:val="24"/>
                <w:lang w:val="en-US" w:eastAsia="zh-CN"/>
              </w:rPr>
              <w:t>满足《污水综合排放标准》（GB8978-1996）表4中三级标准和宿州市埇桥区曹村污水处理有限公司处理</w:t>
            </w:r>
            <w:r>
              <w:rPr>
                <w:rFonts w:hint="default" w:ascii="Times New Roman" w:hAnsi="Times New Roman" w:eastAsia="宋体" w:cs="Times New Roman"/>
              </w:rPr>
              <w:t>排入淝河</w:t>
            </w:r>
            <w:r>
              <w:rPr>
                <w:rFonts w:hint="default" w:eastAsia="宋体"/>
                <w:kern w:val="0"/>
                <w:sz w:val="24"/>
                <w:lang w:val="en-US" w:eastAsia="zh-CN"/>
              </w:rPr>
              <w:t>接管标准</w:t>
            </w:r>
            <w:r>
              <w:rPr>
                <w:rFonts w:hint="eastAsia" w:eastAsia="宋体"/>
                <w:kern w:val="0"/>
                <w:sz w:val="24"/>
                <w:lang w:val="en-US" w:eastAsia="zh-CN"/>
              </w:rPr>
              <w:t>。</w:t>
            </w:r>
          </w:p>
          <w:p w14:paraId="3D3ABE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
                <w:bCs/>
                <w:sz w:val="24"/>
                <w:lang w:eastAsia="zh-CN"/>
              </w:rPr>
            </w:pPr>
            <w:r>
              <w:rPr>
                <w:kern w:val="0"/>
                <w:sz w:val="24"/>
              </w:rPr>
              <w:t>综上所述，本项目废水处理措施是可行的</w:t>
            </w:r>
            <w:r>
              <w:rPr>
                <w:rFonts w:hint="eastAsia"/>
                <w:kern w:val="0"/>
                <w:sz w:val="24"/>
              </w:rPr>
              <w:t>，</w:t>
            </w:r>
            <w:r>
              <w:rPr>
                <w:kern w:val="0"/>
                <w:sz w:val="24"/>
              </w:rPr>
              <w:t>对区域水环境影响</w:t>
            </w:r>
            <w:r>
              <w:rPr>
                <w:rFonts w:hint="eastAsia"/>
                <w:kern w:val="0"/>
                <w:sz w:val="24"/>
              </w:rPr>
              <w:t>较小</w:t>
            </w:r>
            <w:r>
              <w:rPr>
                <w:kern w:val="0"/>
                <w:sz w:val="24"/>
              </w:rPr>
              <w:t>。</w:t>
            </w:r>
          </w:p>
          <w:p w14:paraId="6135378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表4-</w:t>
            </w:r>
            <w:r>
              <w:rPr>
                <w:rFonts w:hint="eastAsia" w:ascii="Times New Roman" w:hAnsi="Times New Roman" w:eastAsia="宋体" w:cs="Times New Roman"/>
                <w:b/>
                <w:bCs/>
                <w:sz w:val="24"/>
                <w:lang w:val="en-US" w:eastAsia="zh-CN"/>
              </w:rPr>
              <w:t>10</w:t>
            </w:r>
            <w:r>
              <w:rPr>
                <w:rFonts w:ascii="Times New Roman" w:hAnsi="Times New Roman" w:eastAsia="宋体" w:cs="Times New Roman"/>
                <w:b/>
                <w:bCs/>
                <w:sz w:val="24"/>
                <w:lang w:eastAsia="zh-CN"/>
              </w:rPr>
              <w:t xml:space="preserve"> 项目用水及排水情况一览表单位：t/a</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97"/>
              <w:gridCol w:w="906"/>
              <w:gridCol w:w="1151"/>
              <w:gridCol w:w="708"/>
              <w:gridCol w:w="804"/>
              <w:gridCol w:w="1398"/>
              <w:gridCol w:w="756"/>
              <w:gridCol w:w="1059"/>
              <w:gridCol w:w="1244"/>
            </w:tblGrid>
            <w:tr w14:paraId="0C9F3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restart"/>
                  <w:noWrap w:val="0"/>
                  <w:vAlign w:val="center"/>
                </w:tcPr>
                <w:p w14:paraId="2FA317F3">
                  <w:pPr>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p w14:paraId="0ADFE35C">
                  <w:pPr>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来源</w:t>
                  </w:r>
                </w:p>
              </w:tc>
              <w:tc>
                <w:tcPr>
                  <w:tcW w:w="491" w:type="pct"/>
                  <w:vMerge w:val="restart"/>
                  <w:noWrap w:val="0"/>
                  <w:vAlign w:val="center"/>
                </w:tcPr>
                <w:p w14:paraId="32EC4DC2">
                  <w:pPr>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废水量t/a</w:t>
                  </w:r>
                </w:p>
              </w:tc>
              <w:tc>
                <w:tcPr>
                  <w:tcW w:w="624" w:type="pct"/>
                  <w:vMerge w:val="restart"/>
                  <w:noWrap w:val="0"/>
                  <w:vAlign w:val="center"/>
                </w:tcPr>
                <w:p w14:paraId="1C82C5C9">
                  <w:pPr>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污染物名称</w:t>
                  </w:r>
                </w:p>
              </w:tc>
              <w:tc>
                <w:tcPr>
                  <w:tcW w:w="820" w:type="pct"/>
                  <w:gridSpan w:val="2"/>
                  <w:noWrap w:val="0"/>
                  <w:vAlign w:val="center"/>
                </w:tcPr>
                <w:p w14:paraId="621CCDB2">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产生情况</w:t>
                  </w:r>
                </w:p>
              </w:tc>
              <w:tc>
                <w:tcPr>
                  <w:tcW w:w="758" w:type="pct"/>
                  <w:vMerge w:val="restart"/>
                  <w:noWrap w:val="0"/>
                  <w:vAlign w:val="center"/>
                </w:tcPr>
                <w:p w14:paraId="0B921637">
                  <w:pPr>
                    <w:snapToGrid w:val="0"/>
                    <w:spacing w:line="276" w:lineRule="auto"/>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拟采取的处理方式</w:t>
                  </w:r>
                </w:p>
              </w:tc>
              <w:tc>
                <w:tcPr>
                  <w:tcW w:w="984" w:type="pct"/>
                  <w:gridSpan w:val="2"/>
                  <w:noWrap w:val="0"/>
                  <w:vAlign w:val="center"/>
                </w:tcPr>
                <w:p w14:paraId="0B2B612E">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排放情况</w:t>
                  </w:r>
                </w:p>
              </w:tc>
              <w:tc>
                <w:tcPr>
                  <w:tcW w:w="674" w:type="pct"/>
                  <w:vMerge w:val="restart"/>
                  <w:noWrap w:val="0"/>
                  <w:vAlign w:val="center"/>
                </w:tcPr>
                <w:p w14:paraId="610AD413">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去向</w:t>
                  </w:r>
                </w:p>
              </w:tc>
            </w:tr>
            <w:tr w14:paraId="66B1E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3D98CB0A">
                  <w:pPr>
                    <w:spacing w:line="276" w:lineRule="auto"/>
                    <w:jc w:val="center"/>
                    <w:rPr>
                      <w:rFonts w:hint="default" w:ascii="Times New Roman" w:hAnsi="Times New Roman" w:eastAsia="宋体" w:cs="Times New Roman"/>
                      <w:szCs w:val="21"/>
                    </w:rPr>
                  </w:pPr>
                </w:p>
              </w:tc>
              <w:tc>
                <w:tcPr>
                  <w:tcW w:w="491" w:type="pct"/>
                  <w:vMerge w:val="continue"/>
                  <w:noWrap w:val="0"/>
                  <w:vAlign w:val="center"/>
                </w:tcPr>
                <w:p w14:paraId="70ECF022">
                  <w:pPr>
                    <w:spacing w:line="276" w:lineRule="auto"/>
                    <w:jc w:val="center"/>
                    <w:rPr>
                      <w:rFonts w:hint="default" w:ascii="Times New Roman" w:hAnsi="Times New Roman" w:eastAsia="宋体" w:cs="Times New Roman"/>
                      <w:szCs w:val="21"/>
                    </w:rPr>
                  </w:pPr>
                </w:p>
              </w:tc>
              <w:tc>
                <w:tcPr>
                  <w:tcW w:w="624" w:type="pct"/>
                  <w:vMerge w:val="continue"/>
                  <w:noWrap w:val="0"/>
                  <w:vAlign w:val="center"/>
                </w:tcPr>
                <w:p w14:paraId="4BDC8FCA">
                  <w:pPr>
                    <w:spacing w:line="276" w:lineRule="auto"/>
                    <w:jc w:val="center"/>
                    <w:rPr>
                      <w:rFonts w:hint="default" w:ascii="Times New Roman" w:hAnsi="Times New Roman" w:eastAsia="宋体" w:cs="Times New Roman"/>
                      <w:szCs w:val="21"/>
                    </w:rPr>
                  </w:pPr>
                </w:p>
              </w:tc>
              <w:tc>
                <w:tcPr>
                  <w:tcW w:w="384" w:type="pct"/>
                  <w:noWrap w:val="0"/>
                  <w:vAlign w:val="center"/>
                </w:tcPr>
                <w:p w14:paraId="19E43CE6">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mg/l</w:t>
                  </w:r>
                </w:p>
              </w:tc>
              <w:tc>
                <w:tcPr>
                  <w:tcW w:w="436" w:type="pct"/>
                  <w:noWrap w:val="0"/>
                  <w:vAlign w:val="center"/>
                </w:tcPr>
                <w:p w14:paraId="53C402CA">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t/a</w:t>
                  </w:r>
                </w:p>
              </w:tc>
              <w:tc>
                <w:tcPr>
                  <w:tcW w:w="758" w:type="pct"/>
                  <w:vMerge w:val="continue"/>
                  <w:noWrap w:val="0"/>
                  <w:vAlign w:val="center"/>
                </w:tcPr>
                <w:p w14:paraId="5B64BF8E">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507CBC6A">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mg/l</w:t>
                  </w:r>
                </w:p>
              </w:tc>
              <w:tc>
                <w:tcPr>
                  <w:tcW w:w="574" w:type="pct"/>
                  <w:noWrap w:val="0"/>
                  <w:vAlign w:val="center"/>
                </w:tcPr>
                <w:p w14:paraId="057C67BB">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t/a</w:t>
                  </w:r>
                </w:p>
              </w:tc>
              <w:tc>
                <w:tcPr>
                  <w:tcW w:w="674" w:type="pct"/>
                  <w:vMerge w:val="continue"/>
                  <w:noWrap w:val="0"/>
                  <w:vAlign w:val="center"/>
                </w:tcPr>
                <w:p w14:paraId="04E53079">
                  <w:pPr>
                    <w:snapToGrid w:val="0"/>
                    <w:spacing w:line="276" w:lineRule="auto"/>
                    <w:jc w:val="center"/>
                    <w:rPr>
                      <w:rFonts w:hint="default" w:ascii="Times New Roman" w:hAnsi="Times New Roman" w:eastAsia="宋体" w:cs="Times New Roman"/>
                      <w:b/>
                      <w:bCs/>
                      <w:szCs w:val="21"/>
                    </w:rPr>
                  </w:pPr>
                </w:p>
              </w:tc>
            </w:tr>
            <w:tr w14:paraId="3CC3E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restart"/>
                  <w:noWrap w:val="0"/>
                  <w:vAlign w:val="center"/>
                </w:tcPr>
                <w:p w14:paraId="398385B3">
                  <w:pPr>
                    <w:widowControl/>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生活</w:t>
                  </w:r>
                </w:p>
                <w:p w14:paraId="76786116">
                  <w:pPr>
                    <w:widowControl/>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污水</w:t>
                  </w:r>
                </w:p>
              </w:tc>
              <w:tc>
                <w:tcPr>
                  <w:tcW w:w="491" w:type="pct"/>
                  <w:vMerge w:val="restart"/>
                  <w:noWrap w:val="0"/>
                  <w:vAlign w:val="center"/>
                </w:tcPr>
                <w:p w14:paraId="1FF1AD3B">
                  <w:pPr>
                    <w:widowControl/>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432</w:t>
                  </w:r>
                </w:p>
              </w:tc>
              <w:tc>
                <w:tcPr>
                  <w:tcW w:w="624" w:type="pct"/>
                  <w:noWrap w:val="0"/>
                  <w:vAlign w:val="center"/>
                </w:tcPr>
                <w:p w14:paraId="2007DD82">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COD</w:t>
                  </w:r>
                </w:p>
              </w:tc>
              <w:tc>
                <w:tcPr>
                  <w:tcW w:w="384" w:type="pct"/>
                  <w:noWrap w:val="0"/>
                  <w:vAlign w:val="center"/>
                </w:tcPr>
                <w:p w14:paraId="30456B30">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300</w:t>
                  </w:r>
                </w:p>
              </w:tc>
              <w:tc>
                <w:tcPr>
                  <w:tcW w:w="436" w:type="pct"/>
                  <w:noWrap w:val="0"/>
                  <w:vAlign w:val="center"/>
                </w:tcPr>
                <w:p w14:paraId="36A8D578">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w:t>
                  </w:r>
                </w:p>
              </w:tc>
              <w:tc>
                <w:tcPr>
                  <w:tcW w:w="758" w:type="pct"/>
                  <w:vMerge w:val="restart"/>
                  <w:noWrap w:val="0"/>
                  <w:vAlign w:val="center"/>
                </w:tcPr>
                <w:p w14:paraId="11F16F2A">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现有化粪池</w:t>
                  </w:r>
                </w:p>
              </w:tc>
              <w:tc>
                <w:tcPr>
                  <w:tcW w:w="410" w:type="pct"/>
                  <w:noWrap w:val="0"/>
                  <w:vAlign w:val="center"/>
                </w:tcPr>
                <w:p w14:paraId="13F2DC8B">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255</w:t>
                  </w:r>
                </w:p>
              </w:tc>
              <w:tc>
                <w:tcPr>
                  <w:tcW w:w="574" w:type="pct"/>
                  <w:noWrap w:val="0"/>
                  <w:vAlign w:val="center"/>
                </w:tcPr>
                <w:p w14:paraId="08CEAA2C">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0.11</w:t>
                  </w:r>
                </w:p>
              </w:tc>
              <w:tc>
                <w:tcPr>
                  <w:tcW w:w="674" w:type="pct"/>
                  <w:vMerge w:val="restart"/>
                  <w:noWrap w:val="0"/>
                  <w:vAlign w:val="center"/>
                </w:tcPr>
                <w:p w14:paraId="3E245EB6">
                  <w:pPr>
                    <w:adjustRightInd w:val="0"/>
                    <w:snapToGrid w:val="0"/>
                    <w:spacing w:line="276" w:lineRule="auto"/>
                    <w:jc w:val="center"/>
                    <w:rPr>
                      <w:rFonts w:hint="default" w:ascii="Times New Roman" w:hAnsi="Times New Roman" w:eastAsia="宋体" w:cs="Times New Roman"/>
                      <w:b/>
                      <w:bCs/>
                      <w:szCs w:val="21"/>
                    </w:rPr>
                  </w:pPr>
                  <w:r>
                    <w:rPr>
                      <w:rFonts w:hint="default" w:ascii="Times New Roman" w:hAnsi="Times New Roman" w:eastAsia="宋体" w:cs="Times New Roman"/>
                    </w:rPr>
                    <w:t>通过DW001厂区总排口纳管进入宿州市埇桥区曹村污水处理有限公司处理排入淝河</w:t>
                  </w:r>
                </w:p>
              </w:tc>
            </w:tr>
            <w:tr w14:paraId="79C35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3A921632">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59EB5576">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6B09813F">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tc>
              <w:tc>
                <w:tcPr>
                  <w:tcW w:w="384" w:type="pct"/>
                  <w:noWrap w:val="0"/>
                  <w:vAlign w:val="center"/>
                </w:tcPr>
                <w:p w14:paraId="0E6CA684">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436" w:type="pct"/>
                  <w:noWrap w:val="0"/>
                  <w:vAlign w:val="center"/>
                </w:tcPr>
                <w:p w14:paraId="0BD196C7">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0.065</w:t>
                  </w:r>
                </w:p>
              </w:tc>
              <w:tc>
                <w:tcPr>
                  <w:tcW w:w="758" w:type="pct"/>
                  <w:vMerge w:val="continue"/>
                  <w:noWrap w:val="0"/>
                  <w:vAlign w:val="center"/>
                </w:tcPr>
                <w:p w14:paraId="6554EAE3">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7A51408A">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137</w:t>
                  </w:r>
                </w:p>
              </w:tc>
              <w:tc>
                <w:tcPr>
                  <w:tcW w:w="574" w:type="pct"/>
                  <w:noWrap w:val="0"/>
                  <w:vAlign w:val="center"/>
                </w:tcPr>
                <w:p w14:paraId="62C5E3DE">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w:t>
                  </w:r>
                </w:p>
              </w:tc>
              <w:tc>
                <w:tcPr>
                  <w:tcW w:w="674" w:type="pct"/>
                  <w:vMerge w:val="continue"/>
                  <w:noWrap w:val="0"/>
                  <w:vAlign w:val="center"/>
                </w:tcPr>
                <w:p w14:paraId="7F15ED05">
                  <w:pPr>
                    <w:snapToGrid w:val="0"/>
                    <w:spacing w:line="276" w:lineRule="auto"/>
                    <w:jc w:val="center"/>
                    <w:rPr>
                      <w:rFonts w:hint="default" w:ascii="Times New Roman" w:hAnsi="Times New Roman" w:eastAsia="宋体" w:cs="Times New Roman"/>
                      <w:b/>
                      <w:bCs/>
                      <w:szCs w:val="21"/>
                    </w:rPr>
                  </w:pPr>
                </w:p>
              </w:tc>
            </w:tr>
            <w:tr w14:paraId="32F63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70E4E1BA">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790CA85A">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67B7BDA9">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384" w:type="pct"/>
                  <w:noWrap w:val="0"/>
                  <w:vAlign w:val="center"/>
                </w:tcPr>
                <w:p w14:paraId="30236F2B">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436" w:type="pct"/>
                  <w:noWrap w:val="0"/>
                  <w:vAlign w:val="center"/>
                </w:tcPr>
                <w:p w14:paraId="376AFDD6">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0.065</w:t>
                  </w:r>
                </w:p>
              </w:tc>
              <w:tc>
                <w:tcPr>
                  <w:tcW w:w="758" w:type="pct"/>
                  <w:vMerge w:val="continue"/>
                  <w:noWrap w:val="0"/>
                  <w:vAlign w:val="center"/>
                </w:tcPr>
                <w:p w14:paraId="659469AE">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132423BD">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105</w:t>
                  </w:r>
                </w:p>
              </w:tc>
              <w:tc>
                <w:tcPr>
                  <w:tcW w:w="574" w:type="pct"/>
                  <w:noWrap w:val="0"/>
                  <w:vAlign w:val="center"/>
                </w:tcPr>
                <w:p w14:paraId="01EEE178">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0.045</w:t>
                  </w:r>
                </w:p>
              </w:tc>
              <w:tc>
                <w:tcPr>
                  <w:tcW w:w="674" w:type="pct"/>
                  <w:vMerge w:val="continue"/>
                  <w:noWrap w:val="0"/>
                  <w:vAlign w:val="center"/>
                </w:tcPr>
                <w:p w14:paraId="568587C3">
                  <w:pPr>
                    <w:snapToGrid w:val="0"/>
                    <w:spacing w:line="276" w:lineRule="auto"/>
                    <w:jc w:val="center"/>
                    <w:rPr>
                      <w:rFonts w:hint="default" w:ascii="Times New Roman" w:hAnsi="Times New Roman" w:eastAsia="宋体" w:cs="Times New Roman"/>
                      <w:b/>
                      <w:bCs/>
                      <w:szCs w:val="21"/>
                    </w:rPr>
                  </w:pPr>
                </w:p>
              </w:tc>
            </w:tr>
            <w:tr w14:paraId="6F8D3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55AF1EA0">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4028E790">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5ACD1693">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w:t>
                  </w:r>
                </w:p>
              </w:tc>
              <w:tc>
                <w:tcPr>
                  <w:tcW w:w="384" w:type="pct"/>
                  <w:noWrap w:val="0"/>
                  <w:vAlign w:val="center"/>
                </w:tcPr>
                <w:p w14:paraId="7E8B8399">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436" w:type="pct"/>
                  <w:noWrap w:val="0"/>
                  <w:vAlign w:val="center"/>
                </w:tcPr>
                <w:p w14:paraId="28E69E03">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0.013</w:t>
                  </w:r>
                </w:p>
              </w:tc>
              <w:tc>
                <w:tcPr>
                  <w:tcW w:w="758" w:type="pct"/>
                  <w:vMerge w:val="continue"/>
                  <w:noWrap w:val="0"/>
                  <w:vAlign w:val="center"/>
                </w:tcPr>
                <w:p w14:paraId="04A99001">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5097F236">
                  <w:pPr>
                    <w:adjustRightInd w:val="0"/>
                    <w:snapToGrid w:val="0"/>
                    <w:spacing w:line="276"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29</w:t>
                  </w:r>
                </w:p>
              </w:tc>
              <w:tc>
                <w:tcPr>
                  <w:tcW w:w="574" w:type="pct"/>
                  <w:noWrap w:val="0"/>
                  <w:vAlign w:val="center"/>
                </w:tcPr>
                <w:p w14:paraId="12809E1F">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0.013</w:t>
                  </w:r>
                </w:p>
              </w:tc>
              <w:tc>
                <w:tcPr>
                  <w:tcW w:w="674" w:type="pct"/>
                  <w:vMerge w:val="continue"/>
                  <w:noWrap w:val="0"/>
                  <w:vAlign w:val="center"/>
                </w:tcPr>
                <w:p w14:paraId="65726AB2">
                  <w:pPr>
                    <w:snapToGrid w:val="0"/>
                    <w:spacing w:line="276" w:lineRule="auto"/>
                    <w:jc w:val="center"/>
                    <w:rPr>
                      <w:rFonts w:hint="default" w:ascii="Times New Roman" w:hAnsi="Times New Roman" w:eastAsia="宋体" w:cs="Times New Roman"/>
                      <w:b/>
                      <w:bCs/>
                      <w:szCs w:val="21"/>
                    </w:rPr>
                  </w:pPr>
                </w:p>
              </w:tc>
            </w:tr>
            <w:tr w14:paraId="718A2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restart"/>
                  <w:noWrap w:val="0"/>
                  <w:vAlign w:val="center"/>
                </w:tcPr>
                <w:p w14:paraId="5BBFC401">
                  <w:pPr>
                    <w:snapToGrid w:val="0"/>
                    <w:spacing w:line="276" w:lineRule="auto"/>
                    <w:jc w:val="center"/>
                    <w:rPr>
                      <w:rFonts w:hint="default" w:ascii="Times New Roman" w:hAnsi="Times New Roman" w:eastAsia="宋体" w:cs="Times New Roman"/>
                      <w:b/>
                      <w:bCs/>
                      <w:szCs w:val="21"/>
                    </w:rPr>
                  </w:pPr>
                  <w:r>
                    <w:rPr>
                      <w:rFonts w:hint="default" w:ascii="Times New Roman" w:hAnsi="Times New Roman" w:eastAsia="宋体" w:cs="Times New Roman"/>
                    </w:rPr>
                    <w:t>生产废水</w:t>
                  </w:r>
                </w:p>
              </w:tc>
              <w:tc>
                <w:tcPr>
                  <w:tcW w:w="491" w:type="pct"/>
                  <w:vMerge w:val="restart"/>
                  <w:noWrap w:val="0"/>
                  <w:vAlign w:val="center"/>
                </w:tcPr>
                <w:p w14:paraId="0B17637B">
                  <w:pPr>
                    <w:snapToGrid w:val="0"/>
                    <w:spacing w:line="276"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6511.37</w:t>
                  </w:r>
                </w:p>
              </w:tc>
              <w:tc>
                <w:tcPr>
                  <w:tcW w:w="624" w:type="pct"/>
                  <w:noWrap w:val="0"/>
                  <w:vAlign w:val="center"/>
                </w:tcPr>
                <w:p w14:paraId="7387FC70">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COD</w:t>
                  </w:r>
                </w:p>
              </w:tc>
              <w:tc>
                <w:tcPr>
                  <w:tcW w:w="384" w:type="pct"/>
                  <w:noWrap w:val="0"/>
                  <w:vAlign w:val="center"/>
                </w:tcPr>
                <w:p w14:paraId="40E24859">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800</w:t>
                  </w:r>
                </w:p>
              </w:tc>
              <w:tc>
                <w:tcPr>
                  <w:tcW w:w="436" w:type="pct"/>
                  <w:noWrap w:val="0"/>
                  <w:vAlign w:val="center"/>
                </w:tcPr>
                <w:p w14:paraId="480D2872">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w:t>
                  </w:r>
                </w:p>
              </w:tc>
              <w:tc>
                <w:tcPr>
                  <w:tcW w:w="758" w:type="pct"/>
                  <w:vMerge w:val="restart"/>
                  <w:noWrap w:val="0"/>
                  <w:vAlign w:val="center"/>
                </w:tcPr>
                <w:p w14:paraId="5068C3B1">
                  <w:pPr>
                    <w:snapToGrid w:val="0"/>
                    <w:spacing w:line="276" w:lineRule="auto"/>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自建污水处理站（调节池+混凝沉淀+芬顿氧化+A/O工艺）</w:t>
                  </w:r>
                </w:p>
              </w:tc>
              <w:tc>
                <w:tcPr>
                  <w:tcW w:w="410" w:type="pct"/>
                  <w:noWrap w:val="0"/>
                  <w:vAlign w:val="center"/>
                </w:tcPr>
                <w:p w14:paraId="1B0F09C3">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157</w:t>
                  </w:r>
                </w:p>
              </w:tc>
              <w:tc>
                <w:tcPr>
                  <w:tcW w:w="574" w:type="pct"/>
                  <w:noWrap w:val="0"/>
                  <w:vAlign w:val="center"/>
                </w:tcPr>
                <w:p w14:paraId="1EEEB0E6">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1.022</w:t>
                  </w:r>
                </w:p>
              </w:tc>
              <w:tc>
                <w:tcPr>
                  <w:tcW w:w="674" w:type="pct"/>
                  <w:vMerge w:val="continue"/>
                  <w:noWrap w:val="0"/>
                  <w:vAlign w:val="center"/>
                </w:tcPr>
                <w:p w14:paraId="7B5FEC8C">
                  <w:pPr>
                    <w:snapToGrid w:val="0"/>
                    <w:spacing w:line="276" w:lineRule="auto"/>
                    <w:jc w:val="center"/>
                    <w:rPr>
                      <w:rFonts w:hint="default" w:ascii="Times New Roman" w:hAnsi="Times New Roman" w:eastAsia="宋体" w:cs="Times New Roman"/>
                      <w:b/>
                      <w:bCs/>
                      <w:szCs w:val="21"/>
                    </w:rPr>
                  </w:pPr>
                </w:p>
              </w:tc>
            </w:tr>
            <w:tr w14:paraId="7DD4A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60F13717">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26755392">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2BE35DD9">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tc>
              <w:tc>
                <w:tcPr>
                  <w:tcW w:w="384" w:type="pct"/>
                  <w:noWrap w:val="0"/>
                  <w:vAlign w:val="center"/>
                </w:tcPr>
                <w:p w14:paraId="397BAEF1">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400</w:t>
                  </w:r>
                </w:p>
              </w:tc>
              <w:tc>
                <w:tcPr>
                  <w:tcW w:w="436" w:type="pct"/>
                  <w:noWrap w:val="0"/>
                  <w:vAlign w:val="center"/>
                </w:tcPr>
                <w:p w14:paraId="6A4344F4">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2.6</w:t>
                  </w:r>
                </w:p>
              </w:tc>
              <w:tc>
                <w:tcPr>
                  <w:tcW w:w="758" w:type="pct"/>
                  <w:vMerge w:val="continue"/>
                  <w:noWrap w:val="0"/>
                  <w:vAlign w:val="center"/>
                </w:tcPr>
                <w:p w14:paraId="45DEAF5F">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3FB2BE0B">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574" w:type="pct"/>
                  <w:noWrap w:val="0"/>
                  <w:vAlign w:val="center"/>
                </w:tcPr>
                <w:p w14:paraId="7FD87F66">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0.508</w:t>
                  </w:r>
                </w:p>
              </w:tc>
              <w:tc>
                <w:tcPr>
                  <w:tcW w:w="674" w:type="pct"/>
                  <w:vMerge w:val="continue"/>
                  <w:noWrap w:val="0"/>
                  <w:vAlign w:val="center"/>
                </w:tcPr>
                <w:p w14:paraId="7842B65F">
                  <w:pPr>
                    <w:snapToGrid w:val="0"/>
                    <w:spacing w:line="276" w:lineRule="auto"/>
                    <w:jc w:val="center"/>
                    <w:rPr>
                      <w:rFonts w:hint="default" w:ascii="Times New Roman" w:hAnsi="Times New Roman" w:eastAsia="宋体" w:cs="Times New Roman"/>
                      <w:b/>
                      <w:bCs/>
                      <w:szCs w:val="21"/>
                    </w:rPr>
                  </w:pPr>
                </w:p>
              </w:tc>
            </w:tr>
            <w:tr w14:paraId="72F9B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0BC5C8FA">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2FECE778">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6C95E30C">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384" w:type="pct"/>
                  <w:noWrap w:val="0"/>
                  <w:vAlign w:val="center"/>
                </w:tcPr>
                <w:p w14:paraId="7A0C8867">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600</w:t>
                  </w:r>
                </w:p>
              </w:tc>
              <w:tc>
                <w:tcPr>
                  <w:tcW w:w="436" w:type="pct"/>
                  <w:noWrap w:val="0"/>
                  <w:vAlign w:val="center"/>
                </w:tcPr>
                <w:p w14:paraId="7A8F42AC">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c>
                <w:tcPr>
                  <w:tcW w:w="758" w:type="pct"/>
                  <w:vMerge w:val="continue"/>
                  <w:noWrap w:val="0"/>
                  <w:vAlign w:val="center"/>
                </w:tcPr>
                <w:p w14:paraId="511B7BAA">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761A0F59">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130</w:t>
                  </w:r>
                </w:p>
              </w:tc>
              <w:tc>
                <w:tcPr>
                  <w:tcW w:w="574" w:type="pct"/>
                  <w:noWrap w:val="0"/>
                  <w:vAlign w:val="center"/>
                </w:tcPr>
                <w:p w14:paraId="270C1C1E">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0.846</w:t>
                  </w:r>
                </w:p>
              </w:tc>
              <w:tc>
                <w:tcPr>
                  <w:tcW w:w="674" w:type="pct"/>
                  <w:vMerge w:val="continue"/>
                  <w:noWrap w:val="0"/>
                  <w:vAlign w:val="center"/>
                </w:tcPr>
                <w:p w14:paraId="785F59ED">
                  <w:pPr>
                    <w:snapToGrid w:val="0"/>
                    <w:spacing w:line="276" w:lineRule="auto"/>
                    <w:jc w:val="center"/>
                    <w:rPr>
                      <w:rFonts w:hint="default" w:ascii="Times New Roman" w:hAnsi="Times New Roman" w:eastAsia="宋体" w:cs="Times New Roman"/>
                      <w:b/>
                      <w:bCs/>
                      <w:szCs w:val="21"/>
                    </w:rPr>
                  </w:pPr>
                </w:p>
              </w:tc>
            </w:tr>
            <w:tr w14:paraId="7A127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164CB4E8">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5E9A9145">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7F936D91">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w:t>
                  </w:r>
                </w:p>
              </w:tc>
              <w:tc>
                <w:tcPr>
                  <w:tcW w:w="384" w:type="pct"/>
                  <w:noWrap w:val="0"/>
                  <w:vAlign w:val="center"/>
                </w:tcPr>
                <w:p w14:paraId="172D8233">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436" w:type="pct"/>
                  <w:noWrap w:val="0"/>
                  <w:vAlign w:val="center"/>
                </w:tcPr>
                <w:p w14:paraId="45EFAD22">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0.195</w:t>
                  </w:r>
                </w:p>
              </w:tc>
              <w:tc>
                <w:tcPr>
                  <w:tcW w:w="758" w:type="pct"/>
                  <w:vMerge w:val="continue"/>
                  <w:noWrap w:val="0"/>
                  <w:vAlign w:val="center"/>
                </w:tcPr>
                <w:p w14:paraId="76D99204">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18ADC295">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16</w:t>
                  </w:r>
                </w:p>
              </w:tc>
              <w:tc>
                <w:tcPr>
                  <w:tcW w:w="574" w:type="pct"/>
                  <w:noWrap w:val="0"/>
                  <w:vAlign w:val="center"/>
                </w:tcPr>
                <w:p w14:paraId="59E33E57">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0.104</w:t>
                  </w:r>
                </w:p>
              </w:tc>
              <w:tc>
                <w:tcPr>
                  <w:tcW w:w="674" w:type="pct"/>
                  <w:vMerge w:val="continue"/>
                  <w:noWrap w:val="0"/>
                  <w:vAlign w:val="center"/>
                </w:tcPr>
                <w:p w14:paraId="2D33D8B6">
                  <w:pPr>
                    <w:snapToGrid w:val="0"/>
                    <w:spacing w:line="276" w:lineRule="auto"/>
                    <w:jc w:val="center"/>
                    <w:rPr>
                      <w:rFonts w:hint="default" w:ascii="Times New Roman" w:hAnsi="Times New Roman" w:eastAsia="宋体" w:cs="Times New Roman"/>
                      <w:b/>
                      <w:bCs/>
                      <w:szCs w:val="21"/>
                    </w:rPr>
                  </w:pPr>
                </w:p>
              </w:tc>
            </w:tr>
            <w:tr w14:paraId="1DA1F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649" w:type="pct"/>
                  <w:vMerge w:val="continue"/>
                  <w:noWrap w:val="0"/>
                  <w:vAlign w:val="center"/>
                </w:tcPr>
                <w:p w14:paraId="655DE772">
                  <w:pPr>
                    <w:snapToGrid w:val="0"/>
                    <w:spacing w:line="276" w:lineRule="auto"/>
                    <w:jc w:val="center"/>
                    <w:rPr>
                      <w:rFonts w:hint="default" w:ascii="Times New Roman" w:hAnsi="Times New Roman" w:eastAsia="宋体" w:cs="Times New Roman"/>
                      <w:b/>
                      <w:bCs/>
                      <w:szCs w:val="21"/>
                    </w:rPr>
                  </w:pPr>
                </w:p>
              </w:tc>
              <w:tc>
                <w:tcPr>
                  <w:tcW w:w="491" w:type="pct"/>
                  <w:vMerge w:val="continue"/>
                  <w:noWrap w:val="0"/>
                  <w:vAlign w:val="center"/>
                </w:tcPr>
                <w:p w14:paraId="605144A9">
                  <w:pPr>
                    <w:snapToGrid w:val="0"/>
                    <w:spacing w:line="276" w:lineRule="auto"/>
                    <w:jc w:val="center"/>
                    <w:rPr>
                      <w:rFonts w:hint="default" w:ascii="Times New Roman" w:hAnsi="Times New Roman" w:eastAsia="宋体" w:cs="Times New Roman"/>
                      <w:b/>
                      <w:bCs/>
                      <w:szCs w:val="21"/>
                    </w:rPr>
                  </w:pPr>
                </w:p>
              </w:tc>
              <w:tc>
                <w:tcPr>
                  <w:tcW w:w="624" w:type="pct"/>
                  <w:noWrap w:val="0"/>
                  <w:vAlign w:val="center"/>
                </w:tcPr>
                <w:p w14:paraId="41B80BF3">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石油类</w:t>
                  </w:r>
                </w:p>
              </w:tc>
              <w:tc>
                <w:tcPr>
                  <w:tcW w:w="384" w:type="pct"/>
                  <w:noWrap w:val="0"/>
                  <w:vAlign w:val="center"/>
                </w:tcPr>
                <w:p w14:paraId="15E44E25">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50</w:t>
                  </w:r>
                </w:p>
              </w:tc>
              <w:tc>
                <w:tcPr>
                  <w:tcW w:w="436" w:type="pct"/>
                  <w:noWrap w:val="0"/>
                  <w:vAlign w:val="center"/>
                </w:tcPr>
                <w:p w14:paraId="6C1BB0A1">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0.326</w:t>
                  </w:r>
                </w:p>
              </w:tc>
              <w:tc>
                <w:tcPr>
                  <w:tcW w:w="758" w:type="pct"/>
                  <w:vMerge w:val="continue"/>
                  <w:noWrap w:val="0"/>
                  <w:vAlign w:val="center"/>
                </w:tcPr>
                <w:p w14:paraId="299C6B2A">
                  <w:pPr>
                    <w:snapToGrid w:val="0"/>
                    <w:spacing w:line="276" w:lineRule="auto"/>
                    <w:jc w:val="center"/>
                    <w:rPr>
                      <w:rFonts w:hint="default" w:ascii="Times New Roman" w:hAnsi="Times New Roman" w:eastAsia="宋体" w:cs="Times New Roman"/>
                      <w:b/>
                      <w:bCs/>
                      <w:szCs w:val="21"/>
                    </w:rPr>
                  </w:pPr>
                </w:p>
              </w:tc>
              <w:tc>
                <w:tcPr>
                  <w:tcW w:w="410" w:type="pct"/>
                  <w:noWrap w:val="0"/>
                  <w:vAlign w:val="center"/>
                </w:tcPr>
                <w:p w14:paraId="7570373F">
                  <w:pPr>
                    <w:adjustRightInd w:val="0"/>
                    <w:snapToGrid w:val="0"/>
                    <w:spacing w:line="273"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16</w:t>
                  </w:r>
                </w:p>
              </w:tc>
              <w:tc>
                <w:tcPr>
                  <w:tcW w:w="574" w:type="pct"/>
                  <w:noWrap w:val="0"/>
                  <w:vAlign w:val="center"/>
                </w:tcPr>
                <w:p w14:paraId="0AC03BEB">
                  <w:pPr>
                    <w:adjustRightInd w:val="0"/>
                    <w:snapToGrid w:val="0"/>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0.104</w:t>
                  </w:r>
                </w:p>
              </w:tc>
              <w:tc>
                <w:tcPr>
                  <w:tcW w:w="674" w:type="pct"/>
                  <w:vMerge w:val="continue"/>
                  <w:noWrap w:val="0"/>
                  <w:vAlign w:val="center"/>
                </w:tcPr>
                <w:p w14:paraId="07B308DD">
                  <w:pPr>
                    <w:snapToGrid w:val="0"/>
                    <w:spacing w:line="276" w:lineRule="auto"/>
                    <w:jc w:val="center"/>
                    <w:rPr>
                      <w:rFonts w:hint="default" w:ascii="Times New Roman" w:hAnsi="Times New Roman" w:eastAsia="宋体" w:cs="Times New Roman"/>
                      <w:b/>
                      <w:bCs/>
                      <w:szCs w:val="21"/>
                    </w:rPr>
                  </w:pPr>
                </w:p>
              </w:tc>
            </w:tr>
          </w:tbl>
          <w:p w14:paraId="47C06127">
            <w:pPr>
              <w:kinsoku/>
              <w:adjustRightInd/>
              <w:snapToGrid/>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2、排放口设置及监测计划</w:t>
            </w:r>
          </w:p>
          <w:p w14:paraId="106526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sz w:val="24"/>
                <w:szCs w:val="24"/>
                <w:lang w:val="en-US" w:eastAsia="zh-CN"/>
              </w:rPr>
            </w:pPr>
            <w:r>
              <w:rPr>
                <w:rFonts w:hint="default" w:ascii="Times New Roman" w:hAnsi="Times New Roman" w:eastAsia="宋体" w:cs="Times New Roman"/>
                <w:b w:val="0"/>
                <w:sz w:val="24"/>
                <w:szCs w:val="24"/>
                <w:lang w:eastAsia="zh-CN"/>
              </w:rPr>
              <w:t>根据《固定污染源排污许可分类管理名录（2019年版）》，本项目监测计划根据</w:t>
            </w:r>
            <w:r>
              <w:rPr>
                <w:rFonts w:hint="default" w:ascii="Times New Roman" w:hAnsi="Times New Roman" w:eastAsia="宋体" w:cs="Times New Roman"/>
                <w:b w:val="0"/>
                <w:sz w:val="24"/>
                <w:szCs w:val="24"/>
                <w:lang w:val="en-US" w:eastAsia="zh-CN"/>
              </w:rPr>
              <w:t>《排污单位自行检测技术指南 涂装》（HJ1086-2020）中相</w:t>
            </w:r>
            <w:r>
              <w:rPr>
                <w:rFonts w:hint="default" w:ascii="Times New Roman" w:hAnsi="Times New Roman" w:eastAsia="宋体" w:cs="Times New Roman"/>
                <w:b w:val="0"/>
                <w:sz w:val="24"/>
                <w:szCs w:val="24"/>
                <w:lang w:eastAsia="zh-CN"/>
              </w:rPr>
              <w:t>关要求，</w:t>
            </w:r>
            <w:r>
              <w:rPr>
                <w:rFonts w:hint="default" w:ascii="Times New Roman" w:hAnsi="Times New Roman" w:eastAsia="宋体" w:cs="Times New Roman"/>
                <w:b w:val="0"/>
                <w:sz w:val="24"/>
                <w:szCs w:val="24"/>
                <w:lang w:val="en-US" w:eastAsia="zh-CN"/>
              </w:rPr>
              <w:t>制定本项目废水监测计划：</w:t>
            </w:r>
          </w:p>
          <w:p w14:paraId="37EE48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napToGrid/>
                <w:color w:val="auto"/>
                <w:spacing w:val="0"/>
                <w:kern w:val="0"/>
                <w:position w:val="0"/>
                <w:sz w:val="24"/>
                <w:szCs w:val="24"/>
                <w:lang w:val="en-US" w:eastAsia="zh-CN"/>
              </w:rPr>
            </w:pPr>
            <w:r>
              <w:rPr>
                <w:rFonts w:hint="default" w:ascii="Times New Roman" w:hAnsi="Times New Roman" w:cs="Times New Roman"/>
                <w:b/>
                <w:bCs/>
                <w:snapToGrid/>
                <w:color w:val="auto"/>
                <w:spacing w:val="0"/>
                <w:kern w:val="0"/>
                <w:position w:val="0"/>
                <w:sz w:val="24"/>
                <w:szCs w:val="24"/>
                <w:lang w:val="en-US" w:eastAsia="zh-CN"/>
              </w:rPr>
              <w:t>表4-</w:t>
            </w:r>
            <w:r>
              <w:rPr>
                <w:rFonts w:hint="eastAsia" w:ascii="Times New Roman" w:hAnsi="Times New Roman" w:cs="Times New Roman"/>
                <w:b/>
                <w:bCs/>
                <w:snapToGrid/>
                <w:color w:val="auto"/>
                <w:spacing w:val="0"/>
                <w:kern w:val="0"/>
                <w:position w:val="0"/>
                <w:sz w:val="24"/>
                <w:szCs w:val="24"/>
                <w:lang w:val="en-US" w:eastAsia="zh-CN"/>
              </w:rPr>
              <w:t>11</w:t>
            </w:r>
            <w:r>
              <w:rPr>
                <w:rFonts w:hint="default" w:ascii="Times New Roman" w:hAnsi="Times New Roman" w:cs="Times New Roman"/>
                <w:b/>
                <w:bCs/>
                <w:snapToGrid/>
                <w:color w:val="auto"/>
                <w:spacing w:val="0"/>
                <w:kern w:val="0"/>
                <w:position w:val="0"/>
                <w:sz w:val="24"/>
                <w:szCs w:val="24"/>
                <w:lang w:val="en-US" w:eastAsia="zh-CN"/>
              </w:rPr>
              <w:t xml:space="preserve"> 废水排放口设置及废水污染物监测计划</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4975"/>
              <w:gridCol w:w="2607"/>
            </w:tblGrid>
            <w:tr w14:paraId="37D7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noWrap w:val="0"/>
                  <w:vAlign w:val="center"/>
                </w:tcPr>
                <w:p w14:paraId="3C8A6B9E">
                  <w:pPr>
                    <w:widowControl w:val="0"/>
                    <w:adjustRightInd w:val="0"/>
                    <w:snapToGrid w:val="0"/>
                    <w:jc w:val="center"/>
                    <w:rPr>
                      <w:rFonts w:hint="default" w:ascii="Times New Roman" w:hAnsi="Times New Roman" w:eastAsia="宋体" w:cs="Times New Roman"/>
                      <w:snapToGrid/>
                      <w:color w:val="auto"/>
                      <w:spacing w:val="0"/>
                      <w:kern w:val="0"/>
                      <w:position w:val="0"/>
                      <w:lang w:val="en-US" w:eastAsia="zh-CN"/>
                    </w:rPr>
                  </w:pPr>
                  <w:r>
                    <w:rPr>
                      <w:rFonts w:hint="default" w:ascii="Times New Roman" w:hAnsi="Times New Roman" w:eastAsia="宋体" w:cs="Times New Roman"/>
                      <w:snapToGrid/>
                      <w:color w:val="auto"/>
                      <w:spacing w:val="0"/>
                      <w:kern w:val="0"/>
                      <w:position w:val="0"/>
                      <w:lang w:val="en-US" w:eastAsia="zh-CN"/>
                    </w:rPr>
                    <w:t>监测点位</w:t>
                  </w:r>
                </w:p>
              </w:tc>
              <w:tc>
                <w:tcPr>
                  <w:tcW w:w="2695" w:type="pct"/>
                  <w:noWrap w:val="0"/>
                  <w:vAlign w:val="center"/>
                </w:tcPr>
                <w:p w14:paraId="3E14F7C5">
                  <w:pPr>
                    <w:widowControl w:val="0"/>
                    <w:adjustRightInd w:val="0"/>
                    <w:snapToGrid w:val="0"/>
                    <w:jc w:val="center"/>
                    <w:rPr>
                      <w:rFonts w:hint="default" w:ascii="Times New Roman" w:hAnsi="Times New Roman" w:eastAsia="宋体" w:cs="Times New Roman"/>
                      <w:snapToGrid/>
                      <w:color w:val="auto"/>
                      <w:spacing w:val="0"/>
                      <w:kern w:val="0"/>
                      <w:position w:val="0"/>
                      <w:lang w:val="en-US" w:eastAsia="zh-CN"/>
                    </w:rPr>
                  </w:pPr>
                  <w:r>
                    <w:rPr>
                      <w:rFonts w:hint="default" w:ascii="Times New Roman" w:hAnsi="Times New Roman" w:eastAsia="宋体" w:cs="Times New Roman"/>
                      <w:snapToGrid/>
                      <w:color w:val="auto"/>
                      <w:spacing w:val="0"/>
                      <w:kern w:val="0"/>
                      <w:position w:val="0"/>
                      <w:lang w:val="en-US" w:eastAsia="zh-CN"/>
                    </w:rPr>
                    <w:t>监测指标</w:t>
                  </w:r>
                </w:p>
              </w:tc>
              <w:tc>
                <w:tcPr>
                  <w:tcW w:w="1412" w:type="pct"/>
                  <w:noWrap w:val="0"/>
                  <w:vAlign w:val="center"/>
                </w:tcPr>
                <w:p w14:paraId="50BD5C53">
                  <w:pPr>
                    <w:widowControl w:val="0"/>
                    <w:adjustRightInd w:val="0"/>
                    <w:snapToGrid w:val="0"/>
                    <w:jc w:val="center"/>
                    <w:rPr>
                      <w:rFonts w:hint="default" w:ascii="Times New Roman" w:hAnsi="Times New Roman" w:eastAsia="宋体" w:cs="Times New Roman"/>
                      <w:snapToGrid/>
                      <w:color w:val="auto"/>
                      <w:spacing w:val="0"/>
                      <w:kern w:val="0"/>
                      <w:position w:val="0"/>
                      <w:lang w:val="en-US" w:eastAsia="zh-CN"/>
                    </w:rPr>
                  </w:pPr>
                  <w:r>
                    <w:rPr>
                      <w:rFonts w:hint="default" w:ascii="Times New Roman" w:hAnsi="Times New Roman" w:eastAsia="宋体" w:cs="Times New Roman"/>
                      <w:snapToGrid/>
                      <w:color w:val="auto"/>
                      <w:spacing w:val="0"/>
                      <w:kern w:val="0"/>
                      <w:position w:val="0"/>
                      <w:lang w:val="en-US" w:eastAsia="zh-CN"/>
                    </w:rPr>
                    <w:t>监测频次</w:t>
                  </w:r>
                </w:p>
              </w:tc>
            </w:tr>
            <w:tr w14:paraId="52B3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noWrap w:val="0"/>
                  <w:vAlign w:val="center"/>
                </w:tcPr>
                <w:p w14:paraId="249079A2">
                  <w:pPr>
                    <w:widowControl w:val="0"/>
                    <w:adjustRightInd w:val="0"/>
                    <w:snapToGrid w:val="0"/>
                    <w:jc w:val="center"/>
                    <w:rPr>
                      <w:rFonts w:hint="default" w:ascii="Times New Roman" w:hAnsi="Times New Roman" w:eastAsia="宋体" w:cs="Times New Roman"/>
                      <w:snapToGrid/>
                      <w:color w:val="auto"/>
                      <w:spacing w:val="0"/>
                      <w:kern w:val="0"/>
                      <w:position w:val="0"/>
                      <w:sz w:val="21"/>
                      <w:szCs w:val="24"/>
                      <w:lang w:val="en-US" w:eastAsia="zh-CN" w:bidi="ar-SA"/>
                    </w:rPr>
                  </w:pPr>
                  <w:r>
                    <w:rPr>
                      <w:rFonts w:hint="default" w:ascii="Times New Roman" w:hAnsi="Times New Roman" w:eastAsia="宋体" w:cs="Times New Roman"/>
                      <w:snapToGrid/>
                      <w:color w:val="auto"/>
                      <w:spacing w:val="0"/>
                      <w:kern w:val="0"/>
                      <w:position w:val="0"/>
                      <w:lang w:val="en-US" w:eastAsia="zh-CN"/>
                    </w:rPr>
                    <w:t>污水处理设施排放口</w:t>
                  </w:r>
                </w:p>
              </w:tc>
              <w:tc>
                <w:tcPr>
                  <w:tcW w:w="2695" w:type="pct"/>
                  <w:noWrap w:val="0"/>
                  <w:vAlign w:val="center"/>
                </w:tcPr>
                <w:p w14:paraId="6925F7FB">
                  <w:pPr>
                    <w:widowControl w:val="0"/>
                    <w:adjustRightInd w:val="0"/>
                    <w:snapToGrid w:val="0"/>
                    <w:jc w:val="center"/>
                    <w:rPr>
                      <w:rFonts w:hint="default" w:ascii="Times New Roman" w:hAnsi="Times New Roman" w:eastAsia="宋体" w:cs="Times New Roman"/>
                      <w:snapToGrid/>
                      <w:color w:val="auto"/>
                      <w:spacing w:val="0"/>
                      <w:kern w:val="0"/>
                      <w:position w:val="0"/>
                      <w:sz w:val="21"/>
                      <w:szCs w:val="24"/>
                      <w:lang w:val="en-US" w:eastAsia="zh-CN" w:bidi="ar-SA"/>
                    </w:rPr>
                  </w:pPr>
                  <w:r>
                    <w:rPr>
                      <w:rFonts w:hint="default" w:ascii="Times New Roman" w:hAnsi="Times New Roman" w:eastAsia="宋体" w:cs="Times New Roman"/>
                      <w:snapToGrid/>
                      <w:color w:val="auto"/>
                      <w:spacing w:val="0"/>
                      <w:kern w:val="0"/>
                      <w:position w:val="0"/>
                      <w:sz w:val="21"/>
                      <w:szCs w:val="24"/>
                      <w:lang w:val="en-US" w:eastAsia="zh-CN" w:bidi="ar-SA"/>
                    </w:rPr>
                    <w:t>pH 值、化学需氧量、氨氮、悬浮物、</w:t>
                  </w: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石油类</w:t>
                  </w:r>
                </w:p>
              </w:tc>
              <w:tc>
                <w:tcPr>
                  <w:tcW w:w="1412" w:type="pct"/>
                  <w:noWrap w:val="0"/>
                  <w:vAlign w:val="center"/>
                </w:tcPr>
                <w:p w14:paraId="6E19AC10">
                  <w:pPr>
                    <w:widowControl w:val="0"/>
                    <w:adjustRightInd w:val="0"/>
                    <w:snapToGrid w:val="0"/>
                    <w:jc w:val="center"/>
                    <w:rPr>
                      <w:rFonts w:hint="default" w:ascii="Times New Roman" w:hAnsi="Times New Roman" w:eastAsia="宋体" w:cs="Times New Roman"/>
                      <w:snapToGrid/>
                      <w:color w:val="auto"/>
                      <w:spacing w:val="0"/>
                      <w:kern w:val="0"/>
                      <w:position w:val="0"/>
                      <w:sz w:val="21"/>
                      <w:szCs w:val="24"/>
                      <w:lang w:val="en-US" w:eastAsia="zh-CN" w:bidi="ar-SA"/>
                    </w:rPr>
                  </w:pPr>
                  <w:r>
                    <w:rPr>
                      <w:rFonts w:hint="default" w:ascii="Times New Roman" w:hAnsi="Times New Roman" w:eastAsia="宋体" w:cs="Times New Roman"/>
                      <w:snapToGrid/>
                      <w:color w:val="auto"/>
                      <w:spacing w:val="0"/>
                      <w:kern w:val="0"/>
                      <w:position w:val="0"/>
                      <w:lang w:val="en-US" w:eastAsia="zh-CN"/>
                    </w:rPr>
                    <w:t>1次/</w:t>
                  </w:r>
                  <w:r>
                    <w:rPr>
                      <w:rFonts w:hint="eastAsia" w:ascii="Times New Roman" w:hAnsi="Times New Roman" w:eastAsia="宋体" w:cs="Times New Roman"/>
                      <w:snapToGrid/>
                      <w:color w:val="auto"/>
                      <w:spacing w:val="0"/>
                      <w:kern w:val="0"/>
                      <w:position w:val="0"/>
                      <w:lang w:val="en-US" w:eastAsia="zh-CN"/>
                    </w:rPr>
                    <w:t>半</w:t>
                  </w:r>
                  <w:r>
                    <w:rPr>
                      <w:rFonts w:hint="default" w:ascii="Times New Roman" w:hAnsi="Times New Roman" w:eastAsia="宋体" w:cs="Times New Roman"/>
                      <w:snapToGrid/>
                      <w:color w:val="auto"/>
                      <w:spacing w:val="0"/>
                      <w:kern w:val="0"/>
                      <w:position w:val="0"/>
                      <w:lang w:val="en-US" w:eastAsia="zh-CN"/>
                    </w:rPr>
                    <w:t>年</w:t>
                  </w:r>
                </w:p>
              </w:tc>
            </w:tr>
          </w:tbl>
          <w:p w14:paraId="683FEBFF">
            <w:pPr>
              <w:pStyle w:val="33"/>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napToGrid w:val="0"/>
                <w:color w:val="000000"/>
                <w:sz w:val="24"/>
                <w:szCs w:val="24"/>
                <w:lang w:val="en-US" w:eastAsia="zh-CN" w:bidi="ar-SA"/>
              </w:rPr>
            </w:pPr>
            <w:r>
              <w:rPr>
                <w:rFonts w:hint="eastAsia" w:ascii="Times New Roman" w:hAnsi="Times New Roman" w:eastAsia="宋体" w:cs="Times New Roman"/>
                <w:b/>
                <w:bCs/>
                <w:snapToGrid w:val="0"/>
                <w:color w:val="000000"/>
                <w:sz w:val="24"/>
                <w:szCs w:val="24"/>
                <w:lang w:val="en-US" w:eastAsia="zh-CN" w:bidi="ar-SA"/>
              </w:rPr>
              <w:t>3、废水接管可行性分析</w:t>
            </w:r>
          </w:p>
          <w:p w14:paraId="76744B6F">
            <w:pPr>
              <w:pStyle w:val="72"/>
              <w:rPr>
                <w:rFonts w:hint="default" w:ascii="Times New Roman" w:hAnsi="Times New Roman" w:eastAsia="宋体" w:cs="Times New Roman"/>
                <w:bCs/>
                <w:color w:val="auto"/>
                <w:kern w:val="0"/>
              </w:rPr>
            </w:pPr>
            <w:r>
              <w:rPr>
                <w:rFonts w:hint="default" w:ascii="Times New Roman" w:hAnsi="Times New Roman" w:eastAsia="宋体" w:cs="Times New Roman"/>
                <w:color w:val="auto"/>
              </w:rPr>
              <w:t>根据《安徽宿州埇桥经济开发区总体发展规划环境影响跟踪评价报告书》可知，北部工业片区内废水经管网收集后统一送宿州市埇桥区曹村污水处理有限公司进行处理。宿州市埇桥区曹村污水处理有限公司占地面积为63亩，日处理能力5000吨，已于2015年建成投入运行，工程总投资4566.8万元，污水处理厂主要接纳开发区北部工业片区生活污水和工业废水（北部片区内化工企业无工业废水排放，工业废水来自其他企业），目前区内企业废水接管率100%，居民生活废水接管率90%。目前污水处理厂收水范围内已建在建企业废水及居民生活废水接管量为79.19万t/a（2169.6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/d），在污水处理厂处理能力范围内；污水处理厂</w:t>
            </w:r>
            <w:r>
              <w:rPr>
                <w:rFonts w:hint="default" w:ascii="Times New Roman" w:hAnsi="Times New Roman" w:eastAsia="宋体" w:cs="Times New Roman"/>
                <w:bCs/>
                <w:color w:val="auto"/>
                <w:kern w:val="0"/>
              </w:rPr>
              <w:t>采用A</w:t>
            </w:r>
            <w:r>
              <w:rPr>
                <w:rFonts w:hint="default" w:ascii="Times New Roman" w:hAnsi="Times New Roman" w:eastAsia="宋体" w:cs="Times New Roman"/>
                <w:bCs/>
                <w:color w:val="auto"/>
                <w:kern w:val="0"/>
                <w:vertAlign w:val="superscript"/>
              </w:rPr>
              <w:t>2</w:t>
            </w:r>
            <w:r>
              <w:rPr>
                <w:rFonts w:hint="default" w:ascii="Times New Roman" w:hAnsi="Times New Roman" w:eastAsia="宋体" w:cs="Times New Roman"/>
                <w:bCs/>
                <w:color w:val="auto"/>
                <w:kern w:val="0"/>
              </w:rPr>
              <w:t>/O污水处理工艺，污水经处理后尾水执行《城镇污水处理厂污染物排放标准》（GB18918-2002）一级标准中的A类标准，</w:t>
            </w:r>
            <w:r>
              <w:rPr>
                <w:rFonts w:hint="default" w:ascii="Times New Roman" w:hAnsi="Times New Roman" w:eastAsia="宋体" w:cs="Times New Roman"/>
                <w:color w:val="auto"/>
                <w:kern w:val="0"/>
              </w:rPr>
              <w:t>尾水先排入淝河</w:t>
            </w:r>
            <w:r>
              <w:rPr>
                <w:rFonts w:hint="default" w:ascii="Times New Roman" w:hAnsi="Times New Roman" w:eastAsia="宋体" w:cs="Times New Roman"/>
                <w:bCs/>
                <w:color w:val="auto"/>
                <w:kern w:val="0"/>
              </w:rPr>
              <w:t>。</w:t>
            </w:r>
          </w:p>
          <w:p w14:paraId="300F2A6E">
            <w:pPr>
              <w:pStyle w:val="72"/>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水质接管可行性：项目废水为生活污水与生产废水，主要污染物为COD、</w:t>
            </w: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kern w:val="0"/>
              </w:rPr>
              <w:t>、NH</w:t>
            </w:r>
            <w:r>
              <w:rPr>
                <w:rFonts w:hint="default" w:ascii="Times New Roman" w:hAnsi="Times New Roman" w:eastAsia="宋体" w:cs="Times New Roman"/>
                <w:color w:val="auto"/>
                <w:kern w:val="0"/>
                <w:vertAlign w:val="subscript"/>
              </w:rPr>
              <w:t>3</w:t>
            </w:r>
            <w:r>
              <w:rPr>
                <w:rFonts w:hint="default" w:ascii="Times New Roman" w:hAnsi="Times New Roman" w:eastAsia="宋体" w:cs="Times New Roman"/>
                <w:color w:val="auto"/>
                <w:kern w:val="0"/>
              </w:rPr>
              <w:t>-N、SS、石油类等，水质简单，项目废水经预处理后能满足接管水质要求，不会对宿州市埇桥区曹村污水处理有限公司处理工艺造成影响，接管水质是可行的。</w:t>
            </w:r>
          </w:p>
          <w:p w14:paraId="02611B87">
            <w:pPr>
              <w:pStyle w:val="72"/>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接管水量可行性：项目废水排放量为</w:t>
            </w:r>
            <w:r>
              <w:rPr>
                <w:rFonts w:hint="eastAsia" w:ascii="Times New Roman" w:hAnsi="Times New Roman" w:eastAsia="宋体" w:cs="Times New Roman"/>
                <w:color w:val="auto"/>
                <w:kern w:val="0"/>
                <w:lang w:val="en-US" w:eastAsia="zh-CN"/>
              </w:rPr>
              <w:t>23.14</w:t>
            </w:r>
            <w:r>
              <w:rPr>
                <w:rFonts w:hint="default" w:ascii="Times New Roman" w:hAnsi="Times New Roman" w:eastAsia="宋体" w:cs="Times New Roman"/>
                <w:color w:val="auto"/>
                <w:kern w:val="0"/>
              </w:rPr>
              <w:t>t/d，目前宿州市埇桥区曹村污水处理有限公司计划日处理污水5000t，本项目废水占目前日处理能力的</w:t>
            </w:r>
            <w:r>
              <w:rPr>
                <w:rFonts w:hint="eastAsia" w:ascii="Times New Roman" w:hAnsi="Times New Roman" w:eastAsia="宋体" w:cs="Times New Roman"/>
                <w:color w:val="auto"/>
                <w:kern w:val="0"/>
                <w:lang w:val="en-US" w:eastAsia="zh-CN"/>
              </w:rPr>
              <w:t>0.4628</w:t>
            </w:r>
            <w:r>
              <w:rPr>
                <w:rFonts w:hint="default" w:ascii="Times New Roman" w:hAnsi="Times New Roman" w:eastAsia="宋体" w:cs="Times New Roman"/>
                <w:color w:val="auto"/>
                <w:kern w:val="0"/>
              </w:rPr>
              <w:t>%，不会对其处理能力造成较大的冲击。接管水量可行。</w:t>
            </w:r>
          </w:p>
          <w:p w14:paraId="7BA453F0">
            <w:pPr>
              <w:pStyle w:val="72"/>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时间、空间可行性：项目位于</w:t>
            </w:r>
            <w:r>
              <w:rPr>
                <w:rFonts w:hint="default" w:ascii="Times New Roman" w:hAnsi="Times New Roman" w:eastAsia="宋体" w:cs="Times New Roman"/>
                <w:color w:val="auto"/>
              </w:rPr>
              <w:t>宿徐现代产业园区</w:t>
            </w:r>
            <w:r>
              <w:rPr>
                <w:rFonts w:hint="default" w:ascii="Times New Roman" w:hAnsi="Times New Roman" w:eastAsia="宋体" w:cs="Times New Roman"/>
                <w:color w:val="auto"/>
                <w:kern w:val="0"/>
              </w:rPr>
              <w:t>埇桥园内，项目周边给排水管网已完成，项目处于宿州市埇桥区曹村污水处理有限公司接管范围内，且园区污水处理厂已经投产运营；因此，从时间和空间上分析，本项目污水排入园区污水处理厂处理都是合理可行的。</w:t>
            </w:r>
          </w:p>
          <w:p w14:paraId="09471CCA">
            <w:pPr>
              <w:pStyle w:val="33"/>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cs="Times New Roman"/>
                <w:szCs w:val="24"/>
                <w:lang w:eastAsia="zh-CN"/>
              </w:rPr>
            </w:pPr>
            <w:r>
              <w:rPr>
                <w:rFonts w:hint="default" w:ascii="Times New Roman" w:hAnsi="Times New Roman" w:eastAsia="宋体" w:cs="Times New Roman"/>
                <w:color w:val="auto"/>
                <w:kern w:val="0"/>
              </w:rPr>
              <w:t>综上所述，本项目生活污水经现有化粪池预处理，生产废水经自建污水处理站预处理，处理达宿州市埇桥区曹村污水处理有限公司接管标准后，通过厂区总排口DW001纳管进入</w:t>
            </w:r>
            <w:r>
              <w:rPr>
                <w:rFonts w:hint="default" w:ascii="Times New Roman" w:hAnsi="Times New Roman" w:eastAsia="宋体" w:cs="Times New Roman"/>
                <w:color w:val="auto"/>
              </w:rPr>
              <w:t>污水处理厂</w:t>
            </w:r>
            <w:r>
              <w:rPr>
                <w:rFonts w:hint="default" w:ascii="Times New Roman" w:hAnsi="Times New Roman" w:eastAsia="宋体" w:cs="Times New Roman"/>
                <w:color w:val="auto"/>
                <w:kern w:val="0"/>
              </w:rPr>
              <w:t>处理，尾水达到</w:t>
            </w:r>
            <w:r>
              <w:rPr>
                <w:rFonts w:hint="default" w:ascii="Times New Roman" w:hAnsi="Times New Roman" w:eastAsia="宋体" w:cs="Times New Roman"/>
                <w:color w:val="auto"/>
              </w:rPr>
              <w:t>《城镇污水处理厂污水排放标准》（GB18918-2002）一级A标准，排入淝河</w:t>
            </w:r>
            <w:r>
              <w:rPr>
                <w:rFonts w:hint="default" w:ascii="Times New Roman" w:hAnsi="Times New Roman" w:eastAsia="宋体" w:cs="Times New Roman"/>
                <w:color w:val="auto"/>
                <w:kern w:val="0"/>
              </w:rPr>
              <w:t>。因此，本项目废水处理是可行的，对区域水环境影响较小。</w:t>
            </w:r>
          </w:p>
          <w:p w14:paraId="3C5D2044">
            <w:pPr>
              <w:pStyle w:val="61"/>
              <w:kinsoku/>
              <w:adjustRightInd/>
              <w:snapToGrid/>
              <w:spacing w:before="0" w:line="360" w:lineRule="auto"/>
              <w:ind w:firstLine="0"/>
              <w:rPr>
                <w:rFonts w:ascii="Times New Roman" w:hAnsi="Times New Roman" w:eastAsia="宋体" w:cs="Times New Roman"/>
                <w:b/>
                <w:bCs/>
                <w:kern w:val="2"/>
                <w:sz w:val="24"/>
                <w:lang w:eastAsia="zh-CN"/>
              </w:rPr>
            </w:pPr>
            <w:r>
              <w:rPr>
                <w:rFonts w:ascii="Times New Roman" w:hAnsi="Times New Roman" w:eastAsia="宋体" w:cs="Times New Roman"/>
                <w:b/>
                <w:bCs/>
                <w:kern w:val="2"/>
                <w:sz w:val="24"/>
                <w:lang w:eastAsia="zh-CN"/>
              </w:rPr>
              <w:t>三、噪声污染</w:t>
            </w:r>
          </w:p>
          <w:p w14:paraId="5BABAFA3">
            <w:pPr>
              <w:pStyle w:val="61"/>
              <w:kinsoku/>
              <w:adjustRightInd/>
              <w:snapToGrid/>
              <w:spacing w:before="0" w:line="360" w:lineRule="auto"/>
              <w:ind w:firstLine="0"/>
              <w:rPr>
                <w:rFonts w:ascii="Times New Roman" w:hAnsi="Times New Roman" w:eastAsia="宋体" w:cs="Times New Roman"/>
                <w:kern w:val="2"/>
                <w:sz w:val="24"/>
                <w:lang w:eastAsia="zh-CN"/>
              </w:rPr>
            </w:pPr>
            <w:r>
              <w:rPr>
                <w:rFonts w:ascii="Times New Roman" w:hAnsi="Times New Roman" w:eastAsia="宋体" w:cs="Times New Roman"/>
                <w:b/>
                <w:bCs/>
                <w:kern w:val="2"/>
                <w:sz w:val="24"/>
                <w:lang w:eastAsia="zh-CN"/>
              </w:rPr>
              <w:t>1、噪声源强</w:t>
            </w:r>
          </w:p>
        </w:tc>
      </w:tr>
    </w:tbl>
    <w:p w14:paraId="4BEF3393">
      <w:pPr>
        <w:rPr>
          <w:lang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2"/>
        <w:tblW w:w="1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16086"/>
      </w:tblGrid>
      <w:tr w14:paraId="6182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1" w:hRule="atLeast"/>
          <w:jc w:val="center"/>
        </w:trPr>
        <w:tc>
          <w:tcPr>
            <w:tcW w:w="240" w:type="dxa"/>
          </w:tcPr>
          <w:p w14:paraId="329A761B">
            <w:pPr>
              <w:kinsoku/>
              <w:rPr>
                <w:lang w:eastAsia="zh-CN"/>
              </w:rPr>
            </w:pPr>
          </w:p>
        </w:tc>
        <w:tc>
          <w:tcPr>
            <w:tcW w:w="16086" w:type="dxa"/>
          </w:tcPr>
          <w:p w14:paraId="6AB1AC45">
            <w:pPr>
              <w:kinsoku/>
              <w:adjustRightInd/>
              <w:snapToGrid/>
              <w:spacing w:line="360" w:lineRule="auto"/>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拟建项目主要噪声源的源强分布情况见</w:t>
            </w:r>
            <w:r>
              <w:rPr>
                <w:rFonts w:hint="eastAsia" w:ascii="Times New Roman" w:hAnsi="Times New Roman" w:eastAsia="宋体" w:cs="Times New Roman"/>
                <w:color w:val="000000" w:themeColor="text1"/>
                <w:sz w:val="24"/>
                <w:lang w:eastAsia="zh-CN"/>
                <w14:textFill>
                  <w14:solidFill>
                    <w14:schemeClr w14:val="tx1"/>
                  </w14:solidFill>
                </w14:textFill>
              </w:rPr>
              <w:t>下表</w:t>
            </w:r>
            <w:r>
              <w:rPr>
                <w:rFonts w:ascii="Times New Roman" w:hAnsi="Times New Roman" w:eastAsia="宋体" w:cs="Times New Roman"/>
                <w:color w:val="000000" w:themeColor="text1"/>
                <w:sz w:val="24"/>
                <w:lang w:eastAsia="zh-CN"/>
                <w14:textFill>
                  <w14:solidFill>
                    <w14:schemeClr w14:val="tx1"/>
                  </w14:solidFill>
                </w14:textFill>
              </w:rPr>
              <w:t>。</w:t>
            </w:r>
          </w:p>
          <w:p w14:paraId="3D2AB154">
            <w:pPr>
              <w:kinsoku/>
              <w:adjustRightInd/>
              <w:snapToGrid/>
              <w:jc w:val="center"/>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b/>
                <w:bCs/>
                <w:color w:val="000000" w:themeColor="text1"/>
                <w:sz w:val="24"/>
                <w:szCs w:val="24"/>
                <w:lang w:eastAsia="zh-CN"/>
                <w14:textFill>
                  <w14:solidFill>
                    <w14:schemeClr w14:val="tx1"/>
                  </w14:solidFill>
                </w14:textFill>
              </w:rPr>
              <w:t>本项目主要产噪设备及其源强（室外声源）</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b/>
                <w:bCs/>
                <w:color w:val="000000" w:themeColor="text1"/>
                <w:sz w:val="24"/>
                <w:szCs w:val="24"/>
                <w:lang w:eastAsia="zh-CN"/>
                <w14:textFill>
                  <w14:solidFill>
                    <w14:schemeClr w14:val="tx1"/>
                  </w14:solidFill>
                </w14:textFill>
              </w:rPr>
              <w:t>单位：dB（A）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3"/>
              <w:gridCol w:w="6497"/>
              <w:gridCol w:w="1277"/>
              <w:gridCol w:w="1272"/>
              <w:gridCol w:w="1273"/>
              <w:gridCol w:w="2697"/>
              <w:gridCol w:w="1801"/>
            </w:tblGrid>
            <w:tr w14:paraId="63CA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3" w:type="dxa"/>
                  <w:vMerge w:val="restart"/>
                  <w:vAlign w:val="center"/>
                </w:tcPr>
                <w:p w14:paraId="29E1AA53">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序号</w:t>
                  </w:r>
                </w:p>
              </w:tc>
              <w:tc>
                <w:tcPr>
                  <w:tcW w:w="6497" w:type="dxa"/>
                  <w:vMerge w:val="restart"/>
                  <w:vAlign w:val="center"/>
                </w:tcPr>
                <w:p w14:paraId="514FFE94">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声源名称</w:t>
                  </w:r>
                </w:p>
              </w:tc>
              <w:tc>
                <w:tcPr>
                  <w:tcW w:w="3822" w:type="dxa"/>
                  <w:gridSpan w:val="3"/>
                  <w:vAlign w:val="center"/>
                </w:tcPr>
                <w:p w14:paraId="04E65819">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空间相对位置</w:t>
                  </w:r>
                </w:p>
              </w:tc>
              <w:tc>
                <w:tcPr>
                  <w:tcW w:w="2697" w:type="dxa"/>
                  <w:vMerge w:val="restart"/>
                  <w:vAlign w:val="center"/>
                </w:tcPr>
                <w:p w14:paraId="13CE72E1">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声功率级dB（A/）</w:t>
                  </w:r>
                </w:p>
              </w:tc>
              <w:tc>
                <w:tcPr>
                  <w:tcW w:w="1801" w:type="dxa"/>
                  <w:vMerge w:val="restart"/>
                  <w:vAlign w:val="center"/>
                </w:tcPr>
                <w:p w14:paraId="7219D343">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声源控制措施</w:t>
                  </w:r>
                </w:p>
              </w:tc>
            </w:tr>
            <w:tr w14:paraId="67B1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3" w:type="dxa"/>
                  <w:vMerge w:val="continue"/>
                  <w:vAlign w:val="center"/>
                </w:tcPr>
                <w:p w14:paraId="7268CEE6">
                  <w:pPr>
                    <w:kinsoku/>
                    <w:adjustRightInd/>
                    <w:snapToGrid/>
                    <w:jc w:val="center"/>
                    <w:rPr>
                      <w:rFonts w:ascii="Times New Roman" w:hAnsi="Times New Roman" w:eastAsia="宋体" w:cs="Times New Roman"/>
                      <w:color w:val="000000" w:themeColor="text1"/>
                      <w14:textFill>
                        <w14:solidFill>
                          <w14:schemeClr w14:val="tx1"/>
                        </w14:solidFill>
                      </w14:textFill>
                    </w:rPr>
                  </w:pPr>
                </w:p>
              </w:tc>
              <w:tc>
                <w:tcPr>
                  <w:tcW w:w="6497" w:type="dxa"/>
                  <w:vMerge w:val="continue"/>
                  <w:vAlign w:val="center"/>
                </w:tcPr>
                <w:p w14:paraId="39D63867">
                  <w:pPr>
                    <w:kinsoku/>
                    <w:adjustRightInd/>
                    <w:snapToGrid/>
                    <w:jc w:val="center"/>
                    <w:rPr>
                      <w:rFonts w:ascii="Times New Roman" w:hAnsi="Times New Roman" w:eastAsia="宋体" w:cs="Times New Roman"/>
                      <w:color w:val="000000" w:themeColor="text1"/>
                      <w14:textFill>
                        <w14:solidFill>
                          <w14:schemeClr w14:val="tx1"/>
                        </w14:solidFill>
                      </w14:textFill>
                    </w:rPr>
                  </w:pPr>
                </w:p>
              </w:tc>
              <w:tc>
                <w:tcPr>
                  <w:tcW w:w="1277" w:type="dxa"/>
                  <w:vAlign w:val="center"/>
                </w:tcPr>
                <w:p w14:paraId="6A3EA227">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X</w:t>
                  </w:r>
                </w:p>
              </w:tc>
              <w:tc>
                <w:tcPr>
                  <w:tcW w:w="1272" w:type="dxa"/>
                  <w:vAlign w:val="center"/>
                </w:tcPr>
                <w:p w14:paraId="7FDFB118">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1273" w:type="dxa"/>
                  <w:vAlign w:val="center"/>
                </w:tcPr>
                <w:p w14:paraId="4399DA62">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Z</w:t>
                  </w:r>
                </w:p>
              </w:tc>
              <w:tc>
                <w:tcPr>
                  <w:tcW w:w="2697" w:type="dxa"/>
                  <w:vMerge w:val="continue"/>
                  <w:vAlign w:val="center"/>
                </w:tcPr>
                <w:p w14:paraId="005BB467">
                  <w:pPr>
                    <w:kinsoku/>
                    <w:adjustRightInd/>
                    <w:snapToGrid/>
                    <w:jc w:val="center"/>
                    <w:rPr>
                      <w:rFonts w:ascii="Times New Roman" w:hAnsi="Times New Roman" w:eastAsia="宋体" w:cs="Times New Roman"/>
                      <w:color w:val="000000" w:themeColor="text1"/>
                      <w14:textFill>
                        <w14:solidFill>
                          <w14:schemeClr w14:val="tx1"/>
                        </w14:solidFill>
                      </w14:textFill>
                    </w:rPr>
                  </w:pPr>
                </w:p>
              </w:tc>
              <w:tc>
                <w:tcPr>
                  <w:tcW w:w="1801" w:type="dxa"/>
                  <w:vMerge w:val="continue"/>
                  <w:vAlign w:val="center"/>
                </w:tcPr>
                <w:p w14:paraId="59247BE1">
                  <w:pPr>
                    <w:kinsoku/>
                    <w:adjustRightInd/>
                    <w:snapToGrid/>
                    <w:jc w:val="center"/>
                    <w:rPr>
                      <w:rFonts w:ascii="Times New Roman" w:hAnsi="Times New Roman" w:eastAsia="宋体" w:cs="Times New Roman"/>
                      <w:color w:val="000000" w:themeColor="text1"/>
                      <w14:textFill>
                        <w14:solidFill>
                          <w14:schemeClr w14:val="tx1"/>
                        </w14:solidFill>
                      </w14:textFill>
                    </w:rPr>
                  </w:pPr>
                </w:p>
              </w:tc>
            </w:tr>
            <w:tr w14:paraId="6ABB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3" w:type="dxa"/>
                  <w:vAlign w:val="center"/>
                </w:tcPr>
                <w:p w14:paraId="1685C823">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6497" w:type="dxa"/>
                  <w:vAlign w:val="center"/>
                </w:tcPr>
                <w:p w14:paraId="255B9F70">
                  <w:pPr>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rPr>
                    <w:t>DA001风机</w:t>
                  </w:r>
                </w:p>
              </w:tc>
              <w:tc>
                <w:tcPr>
                  <w:tcW w:w="1277" w:type="dxa"/>
                  <w:vAlign w:val="center"/>
                </w:tcPr>
                <w:p w14:paraId="4700526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24.5</w:t>
                  </w:r>
                </w:p>
              </w:tc>
              <w:tc>
                <w:tcPr>
                  <w:tcW w:w="1272" w:type="dxa"/>
                  <w:vAlign w:val="center"/>
                </w:tcPr>
                <w:p w14:paraId="7266BEB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13.6</w:t>
                  </w:r>
                </w:p>
              </w:tc>
              <w:tc>
                <w:tcPr>
                  <w:tcW w:w="1273" w:type="dxa"/>
                  <w:vAlign w:val="center"/>
                </w:tcPr>
                <w:p w14:paraId="6AAE74C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0.8</w:t>
                  </w:r>
                </w:p>
              </w:tc>
              <w:tc>
                <w:tcPr>
                  <w:tcW w:w="2697" w:type="dxa"/>
                  <w:vAlign w:val="center"/>
                </w:tcPr>
                <w:p w14:paraId="41C1CBAE">
                  <w:pPr>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85</w:t>
                  </w:r>
                </w:p>
              </w:tc>
              <w:tc>
                <w:tcPr>
                  <w:tcW w:w="1801" w:type="dxa"/>
                  <w:vAlign w:val="center"/>
                </w:tcPr>
                <w:p w14:paraId="42AFBB8F">
                  <w:pPr>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基础减振</w:t>
                  </w:r>
                  <w:r>
                    <w:rPr>
                      <w:rFonts w:hint="eastAsia" w:ascii="Times New Roman" w:hAnsi="Times New Roman" w:eastAsia="宋体" w:cs="Times New Roman"/>
                      <w:color w:val="000000" w:themeColor="text1"/>
                      <w:lang w:eastAsia="zh-CN"/>
                      <w14:textFill>
                        <w14:solidFill>
                          <w14:schemeClr w14:val="tx1"/>
                        </w14:solidFill>
                      </w14:textFill>
                    </w:rPr>
                    <w:t>、隔声罩</w:t>
                  </w:r>
                </w:p>
              </w:tc>
            </w:tr>
            <w:tr w14:paraId="1182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3" w:type="dxa"/>
                  <w:vAlign w:val="center"/>
                </w:tcPr>
                <w:p w14:paraId="3246DE89">
                  <w:pPr>
                    <w:kinsoku/>
                    <w:adjustRightInd/>
                    <w:snapToGrid/>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6497" w:type="dxa"/>
                  <w:vAlign w:val="center"/>
                </w:tcPr>
                <w:p w14:paraId="11D05EBE">
                  <w:pPr>
                    <w:adjustRightInd/>
                    <w:snapToGrid/>
                    <w:jc w:val="center"/>
                    <w:rPr>
                      <w:rFonts w:ascii="Times New Roman" w:hAnsi="Times New Roman" w:eastAsia="宋体" w:cs="Times New Roman"/>
                    </w:rPr>
                  </w:pPr>
                  <w:r>
                    <w:rPr>
                      <w:rFonts w:ascii="Times New Roman" w:hAnsi="Times New Roman" w:eastAsia="宋体" w:cs="Times New Roman"/>
                    </w:rPr>
                    <w:t>DA00</w:t>
                  </w:r>
                  <w:r>
                    <w:rPr>
                      <w:rFonts w:hint="eastAsia" w:ascii="Times New Roman" w:hAnsi="Times New Roman" w:eastAsia="宋体" w:cs="Times New Roman"/>
                      <w:lang w:val="en-US" w:eastAsia="zh-CN"/>
                    </w:rPr>
                    <w:t>2</w:t>
                  </w:r>
                  <w:r>
                    <w:rPr>
                      <w:rFonts w:ascii="Times New Roman" w:hAnsi="Times New Roman" w:eastAsia="宋体" w:cs="Times New Roman"/>
                    </w:rPr>
                    <w:t>风机</w:t>
                  </w:r>
                </w:p>
              </w:tc>
              <w:tc>
                <w:tcPr>
                  <w:tcW w:w="1277" w:type="dxa"/>
                  <w:vAlign w:val="center"/>
                </w:tcPr>
                <w:p w14:paraId="323A231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14.7</w:t>
                  </w:r>
                </w:p>
              </w:tc>
              <w:tc>
                <w:tcPr>
                  <w:tcW w:w="1272" w:type="dxa"/>
                  <w:vAlign w:val="center"/>
                </w:tcPr>
                <w:p w14:paraId="66B1C6C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4.8</w:t>
                  </w:r>
                </w:p>
              </w:tc>
              <w:tc>
                <w:tcPr>
                  <w:tcW w:w="1273" w:type="dxa"/>
                  <w:vAlign w:val="center"/>
                </w:tcPr>
                <w:p w14:paraId="77D06504">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0.8</w:t>
                  </w:r>
                </w:p>
              </w:tc>
              <w:tc>
                <w:tcPr>
                  <w:tcW w:w="2697" w:type="dxa"/>
                  <w:vAlign w:val="center"/>
                </w:tcPr>
                <w:p w14:paraId="14106F29">
                  <w:pPr>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85</w:t>
                  </w:r>
                </w:p>
              </w:tc>
              <w:tc>
                <w:tcPr>
                  <w:tcW w:w="1801" w:type="dxa"/>
                  <w:vAlign w:val="center"/>
                </w:tcPr>
                <w:p w14:paraId="7835F3E8">
                  <w:pPr>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基础减振</w:t>
                  </w:r>
                  <w:r>
                    <w:rPr>
                      <w:rFonts w:hint="eastAsia" w:ascii="Times New Roman" w:hAnsi="Times New Roman" w:eastAsia="宋体" w:cs="Times New Roman"/>
                      <w:color w:val="000000" w:themeColor="text1"/>
                      <w:lang w:eastAsia="zh-CN"/>
                      <w14:textFill>
                        <w14:solidFill>
                          <w14:schemeClr w14:val="tx1"/>
                        </w14:solidFill>
                      </w14:textFill>
                    </w:rPr>
                    <w:t>、隔声罩</w:t>
                  </w:r>
                </w:p>
              </w:tc>
            </w:tr>
            <w:tr w14:paraId="2C49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3" w:type="dxa"/>
                  <w:vAlign w:val="center"/>
                </w:tcPr>
                <w:p w14:paraId="73FC200F">
                  <w:pPr>
                    <w:kinsoku/>
                    <w:adjustRightInd/>
                    <w:snapToGrid/>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6497" w:type="dxa"/>
                  <w:vAlign w:val="center"/>
                </w:tcPr>
                <w:p w14:paraId="73B35606">
                  <w:pPr>
                    <w:adjustRightInd/>
                    <w:snapToGrid/>
                    <w:jc w:val="center"/>
                    <w:rPr>
                      <w:rFonts w:ascii="Times New Roman" w:hAnsi="Times New Roman" w:eastAsia="宋体" w:cs="Times New Roman"/>
                    </w:rPr>
                  </w:pPr>
                  <w:r>
                    <w:rPr>
                      <w:rFonts w:ascii="Times New Roman" w:hAnsi="Times New Roman" w:eastAsia="宋体" w:cs="Times New Roman"/>
                    </w:rPr>
                    <w:t>DA00</w:t>
                  </w:r>
                  <w:r>
                    <w:rPr>
                      <w:rFonts w:hint="eastAsia" w:ascii="Times New Roman" w:hAnsi="Times New Roman" w:eastAsia="宋体" w:cs="Times New Roman"/>
                      <w:lang w:val="en-US" w:eastAsia="zh-CN"/>
                    </w:rPr>
                    <w:t>3</w:t>
                  </w:r>
                  <w:r>
                    <w:rPr>
                      <w:rFonts w:ascii="Times New Roman" w:hAnsi="Times New Roman" w:eastAsia="宋体" w:cs="Times New Roman"/>
                    </w:rPr>
                    <w:t>风机</w:t>
                  </w:r>
                </w:p>
              </w:tc>
              <w:tc>
                <w:tcPr>
                  <w:tcW w:w="1277" w:type="dxa"/>
                  <w:vAlign w:val="center"/>
                </w:tcPr>
                <w:p w14:paraId="17A1AD4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9.8</w:t>
                  </w:r>
                </w:p>
              </w:tc>
              <w:tc>
                <w:tcPr>
                  <w:tcW w:w="1272" w:type="dxa"/>
                  <w:vAlign w:val="center"/>
                </w:tcPr>
                <w:p w14:paraId="030B9D5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-0.3</w:t>
                  </w:r>
                </w:p>
              </w:tc>
              <w:tc>
                <w:tcPr>
                  <w:tcW w:w="1273" w:type="dxa"/>
                  <w:vAlign w:val="center"/>
                </w:tcPr>
                <w:p w14:paraId="1CAE618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0.8</w:t>
                  </w:r>
                </w:p>
              </w:tc>
              <w:tc>
                <w:tcPr>
                  <w:tcW w:w="2697" w:type="dxa"/>
                  <w:vAlign w:val="center"/>
                </w:tcPr>
                <w:p w14:paraId="6D2108CD">
                  <w:pPr>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85</w:t>
                  </w:r>
                </w:p>
              </w:tc>
              <w:tc>
                <w:tcPr>
                  <w:tcW w:w="1801" w:type="dxa"/>
                  <w:vAlign w:val="center"/>
                </w:tcPr>
                <w:p w14:paraId="16A6A870">
                  <w:pPr>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基础减振</w:t>
                  </w:r>
                  <w:r>
                    <w:rPr>
                      <w:rFonts w:hint="eastAsia" w:ascii="Times New Roman" w:hAnsi="Times New Roman" w:eastAsia="宋体" w:cs="Times New Roman"/>
                      <w:color w:val="000000" w:themeColor="text1"/>
                      <w:lang w:eastAsia="zh-CN"/>
                      <w14:textFill>
                        <w14:solidFill>
                          <w14:schemeClr w14:val="tx1"/>
                        </w14:solidFill>
                      </w14:textFill>
                    </w:rPr>
                    <w:t>、隔声罩</w:t>
                  </w:r>
                </w:p>
              </w:tc>
            </w:tr>
            <w:tr w14:paraId="095E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3" w:type="dxa"/>
                  <w:vAlign w:val="center"/>
                </w:tcPr>
                <w:p w14:paraId="63A3ABF1">
                  <w:pPr>
                    <w:kinsoku/>
                    <w:adjustRightInd/>
                    <w:snapToGrid/>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6497" w:type="dxa"/>
                  <w:vAlign w:val="center"/>
                </w:tcPr>
                <w:p w14:paraId="62719ED1">
                  <w:pPr>
                    <w:adjustRightInd/>
                    <w:snapToGrid/>
                    <w:jc w:val="center"/>
                    <w:rPr>
                      <w:rFonts w:ascii="Times New Roman" w:hAnsi="Times New Roman" w:eastAsia="宋体" w:cs="Times New Roman"/>
                    </w:rPr>
                  </w:pPr>
                  <w:r>
                    <w:rPr>
                      <w:rFonts w:ascii="Times New Roman" w:hAnsi="Times New Roman" w:eastAsia="宋体" w:cs="Times New Roman"/>
                    </w:rPr>
                    <w:t>DA00</w:t>
                  </w:r>
                  <w:r>
                    <w:rPr>
                      <w:rFonts w:hint="eastAsia" w:ascii="Times New Roman" w:hAnsi="Times New Roman" w:eastAsia="宋体" w:cs="Times New Roman"/>
                      <w:lang w:val="en-US" w:eastAsia="zh-CN"/>
                    </w:rPr>
                    <w:t>4</w:t>
                  </w:r>
                  <w:r>
                    <w:rPr>
                      <w:rFonts w:ascii="Times New Roman" w:hAnsi="Times New Roman" w:eastAsia="宋体" w:cs="Times New Roman"/>
                    </w:rPr>
                    <w:t>风机</w:t>
                  </w:r>
                </w:p>
              </w:tc>
              <w:tc>
                <w:tcPr>
                  <w:tcW w:w="1277" w:type="dxa"/>
                  <w:vAlign w:val="center"/>
                </w:tcPr>
                <w:p w14:paraId="203712A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w:t>
                  </w:r>
                </w:p>
              </w:tc>
              <w:tc>
                <w:tcPr>
                  <w:tcW w:w="1272" w:type="dxa"/>
                  <w:vAlign w:val="center"/>
                </w:tcPr>
                <w:p w14:paraId="0866AD5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w:t>
                  </w:r>
                </w:p>
              </w:tc>
              <w:tc>
                <w:tcPr>
                  <w:tcW w:w="1273" w:type="dxa"/>
                  <w:vAlign w:val="center"/>
                </w:tcPr>
                <w:p w14:paraId="4942DF9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0.8</w:t>
                  </w:r>
                </w:p>
              </w:tc>
              <w:tc>
                <w:tcPr>
                  <w:tcW w:w="2697" w:type="dxa"/>
                  <w:vAlign w:val="center"/>
                </w:tcPr>
                <w:p w14:paraId="67D4081F">
                  <w:pPr>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85</w:t>
                  </w:r>
                </w:p>
              </w:tc>
              <w:tc>
                <w:tcPr>
                  <w:tcW w:w="1801" w:type="dxa"/>
                  <w:vAlign w:val="center"/>
                </w:tcPr>
                <w:p w14:paraId="35C1FBCA">
                  <w:pPr>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基础减振</w:t>
                  </w:r>
                  <w:r>
                    <w:rPr>
                      <w:rFonts w:hint="eastAsia" w:ascii="Times New Roman" w:hAnsi="Times New Roman" w:eastAsia="宋体" w:cs="Times New Roman"/>
                      <w:color w:val="000000" w:themeColor="text1"/>
                      <w:lang w:eastAsia="zh-CN"/>
                      <w14:textFill>
                        <w14:solidFill>
                          <w14:schemeClr w14:val="tx1"/>
                        </w14:solidFill>
                      </w14:textFill>
                    </w:rPr>
                    <w:t>、隔声罩</w:t>
                  </w:r>
                </w:p>
              </w:tc>
            </w:tr>
            <w:tr w14:paraId="56F9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860" w:type="dxa"/>
                  <w:gridSpan w:val="7"/>
                  <w:vAlign w:val="center"/>
                </w:tcPr>
                <w:p w14:paraId="5688BE4D">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注:</w:t>
                  </w:r>
                  <w:r>
                    <w:rPr>
                      <w:rFonts w:ascii="Times New Roman" w:hAnsi="Times New Roman" w:eastAsia="宋体" w:cs="Times New Roman"/>
                      <w:bCs/>
                      <w:lang w:eastAsia="zh-CN"/>
                    </w:rPr>
                    <w:t>表中坐标以厂界中心（</w:t>
                  </w:r>
                  <w:r>
                    <w:rPr>
                      <w:rFonts w:hint="default" w:ascii="Times New Roman" w:hAnsi="Times New Roman" w:eastAsia="宋体" w:cs="Times New Roman"/>
                      <w:sz w:val="21"/>
                      <w:szCs w:val="21"/>
                    </w:rPr>
                    <w:t>117°9′11.52477″，34°4′29.55901″</w:t>
                  </w:r>
                  <w:r>
                    <w:rPr>
                      <w:rFonts w:ascii="Times New Roman" w:hAnsi="Times New Roman" w:eastAsia="宋体" w:cs="Times New Roman"/>
                      <w:bCs/>
                      <w:lang w:eastAsia="zh-CN"/>
                    </w:rPr>
                    <w:t>）为坐标原点，正东向为X轴正方向，正北向为Y轴正方向</w:t>
                  </w:r>
                </w:p>
              </w:tc>
            </w:tr>
          </w:tbl>
          <w:p w14:paraId="3B628AF5">
            <w:pPr>
              <w:kinsoku/>
              <w:adjustRightInd/>
              <w:snapToGrid/>
              <w:spacing w:before="156" w:beforeLines="50"/>
              <w:jc w:val="center"/>
              <w:rPr>
                <w:lang w:eastAsia="zh-CN"/>
              </w:rPr>
            </w:pPr>
            <w:r>
              <w:rPr>
                <w:rFonts w:ascii="Times New Roman" w:hAnsi="Times New Roman" w:eastAsia="宋体" w:cs="Times New Roman"/>
                <w:b/>
                <w:bCs/>
                <w:color w:val="000000" w:themeColor="text1"/>
                <w:sz w:val="24"/>
                <w:szCs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10</w:t>
            </w:r>
            <w:r>
              <w:rPr>
                <w:rFonts w:ascii="Times New Roman" w:hAnsi="Times New Roman" w:eastAsia="宋体" w:cs="Times New Roman"/>
                <w:b/>
                <w:bCs/>
                <w:color w:val="000000" w:themeColor="text1"/>
                <w:sz w:val="24"/>
                <w:szCs w:val="24"/>
                <w:lang w:eastAsia="zh-CN"/>
                <w14:textFill>
                  <w14:solidFill>
                    <w14:schemeClr w14:val="tx1"/>
                  </w14:solidFill>
                </w14:textFill>
              </w:rPr>
              <w:t xml:space="preserve"> 本项目高噪声设备噪声源强一览表（室</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内</w:t>
            </w:r>
            <w:r>
              <w:rPr>
                <w:rFonts w:ascii="Times New Roman" w:hAnsi="Times New Roman" w:eastAsia="宋体" w:cs="Times New Roman"/>
                <w:b/>
                <w:bCs/>
                <w:color w:val="000000" w:themeColor="text1"/>
                <w:sz w:val="24"/>
                <w:szCs w:val="24"/>
                <w:lang w:eastAsia="zh-CN"/>
                <w14:textFill>
                  <w14:solidFill>
                    <w14:schemeClr w14:val="tx1"/>
                  </w14:solidFill>
                </w14:textFill>
              </w:rPr>
              <w:t>声源）</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b/>
                <w:bCs/>
                <w:color w:val="000000" w:themeColor="text1"/>
                <w:sz w:val="24"/>
                <w:szCs w:val="24"/>
                <w:lang w:eastAsia="zh-CN"/>
                <w14:textFill>
                  <w14:solidFill>
                    <w14:schemeClr w14:val="tx1"/>
                  </w14:solidFill>
                </w14:textFill>
              </w:rPr>
              <w:t>单位：dB（A）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795"/>
              <w:gridCol w:w="866"/>
              <w:gridCol w:w="717"/>
              <w:gridCol w:w="717"/>
              <w:gridCol w:w="717"/>
              <w:gridCol w:w="639"/>
              <w:gridCol w:w="639"/>
              <w:gridCol w:w="639"/>
              <w:gridCol w:w="640"/>
              <w:gridCol w:w="631"/>
              <w:gridCol w:w="631"/>
              <w:gridCol w:w="631"/>
              <w:gridCol w:w="633"/>
              <w:gridCol w:w="547"/>
              <w:gridCol w:w="609"/>
              <w:gridCol w:w="609"/>
              <w:gridCol w:w="609"/>
              <w:gridCol w:w="609"/>
              <w:gridCol w:w="649"/>
              <w:gridCol w:w="649"/>
              <w:gridCol w:w="649"/>
              <w:gridCol w:w="650"/>
              <w:gridCol w:w="898"/>
            </w:tblGrid>
            <w:tr w14:paraId="0E43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87" w:type="dxa"/>
                  <w:vMerge w:val="restart"/>
                  <w:vAlign w:val="center"/>
                </w:tcPr>
                <w:p w14:paraId="4A3F428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bookmarkStart w:id="23" w:name="PT_6"/>
                  <w:r>
                    <w:rPr>
                      <w:rFonts w:ascii="Times New Roman" w:hAnsi="Times New Roman" w:eastAsia="宋体" w:cs="Times New Roman"/>
                      <w:b/>
                    </w:rPr>
                    <w:t>序号</w:t>
                  </w:r>
                </w:p>
              </w:tc>
              <w:tc>
                <w:tcPr>
                  <w:tcW w:w="795" w:type="dxa"/>
                  <w:vMerge w:val="restart"/>
                  <w:vAlign w:val="center"/>
                </w:tcPr>
                <w:p w14:paraId="350DE9A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b/>
                    </w:rPr>
                    <w:t>声源名称</w:t>
                  </w:r>
                </w:p>
              </w:tc>
              <w:tc>
                <w:tcPr>
                  <w:tcW w:w="866" w:type="dxa"/>
                  <w:vAlign w:val="center"/>
                </w:tcPr>
                <w:p w14:paraId="4DBED8D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lang w:eastAsia="zh-CN"/>
                    </w:rPr>
                  </w:pPr>
                  <w:r>
                    <w:rPr>
                      <w:rFonts w:ascii="Times New Roman" w:hAnsi="Times New Roman" w:eastAsia="宋体" w:cs="Times New Roman"/>
                      <w:b/>
                      <w:lang w:eastAsia="zh-CN"/>
                    </w:rPr>
                    <w:t>声源源强</w:t>
                  </w:r>
                </w:p>
              </w:tc>
              <w:tc>
                <w:tcPr>
                  <w:tcW w:w="2151" w:type="dxa"/>
                  <w:gridSpan w:val="3"/>
                  <w:vAlign w:val="center"/>
                </w:tcPr>
                <w:p w14:paraId="71060C1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b/>
                    </w:rPr>
                    <w:t>空间相对位置/m</w:t>
                  </w:r>
                </w:p>
              </w:tc>
              <w:tc>
                <w:tcPr>
                  <w:tcW w:w="2557" w:type="dxa"/>
                  <w:gridSpan w:val="4"/>
                  <w:vAlign w:val="center"/>
                </w:tcPr>
                <w:p w14:paraId="731E60F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b/>
                    </w:rPr>
                  </w:pPr>
                  <w:r>
                    <w:rPr>
                      <w:rFonts w:ascii="Times New Roman" w:hAnsi="Times New Roman" w:eastAsia="宋体" w:cs="Times New Roman"/>
                      <w:b/>
                    </w:rPr>
                    <w:t>距室内边界距离/m</w:t>
                  </w:r>
                </w:p>
              </w:tc>
              <w:tc>
                <w:tcPr>
                  <w:tcW w:w="2526" w:type="dxa"/>
                  <w:gridSpan w:val="4"/>
                  <w:vAlign w:val="center"/>
                </w:tcPr>
                <w:p w14:paraId="0C2359C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b/>
                    </w:rPr>
                  </w:pPr>
                  <w:r>
                    <w:rPr>
                      <w:rFonts w:ascii="Times New Roman" w:hAnsi="Times New Roman" w:eastAsia="宋体" w:cs="Times New Roman"/>
                      <w:b/>
                    </w:rPr>
                    <w:t>室内边界声级/dB(A)</w:t>
                  </w:r>
                </w:p>
              </w:tc>
              <w:tc>
                <w:tcPr>
                  <w:tcW w:w="547" w:type="dxa"/>
                  <w:vMerge w:val="restart"/>
                  <w:vAlign w:val="center"/>
                </w:tcPr>
                <w:p w14:paraId="388536B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b/>
                    </w:rPr>
                    <w:t>运行时段</w:t>
                  </w:r>
                </w:p>
              </w:tc>
              <w:tc>
                <w:tcPr>
                  <w:tcW w:w="2436" w:type="dxa"/>
                  <w:gridSpan w:val="4"/>
                  <w:vAlign w:val="center"/>
                </w:tcPr>
                <w:p w14:paraId="0FD71CD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b/>
                    </w:rPr>
                  </w:pPr>
                  <w:r>
                    <w:rPr>
                      <w:rFonts w:ascii="Times New Roman" w:hAnsi="Times New Roman" w:eastAsia="宋体" w:cs="Times New Roman"/>
                      <w:b/>
                    </w:rPr>
                    <w:t>建筑物插入损失/dB(A)</w:t>
                  </w:r>
                  <w:bookmarkStart w:id="24" w:name="PT_10"/>
                  <w:bookmarkEnd w:id="24"/>
                </w:p>
              </w:tc>
              <w:tc>
                <w:tcPr>
                  <w:tcW w:w="3495" w:type="dxa"/>
                  <w:gridSpan w:val="5"/>
                  <w:vAlign w:val="center"/>
                </w:tcPr>
                <w:p w14:paraId="1573F14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b/>
                    </w:rPr>
                  </w:pPr>
                  <w:r>
                    <w:rPr>
                      <w:rFonts w:ascii="Times New Roman" w:hAnsi="Times New Roman" w:eastAsia="宋体" w:cs="Times New Roman"/>
                      <w:b/>
                    </w:rPr>
                    <w:t>建筑物外噪声声压级/dB(A)</w:t>
                  </w:r>
                </w:p>
              </w:tc>
            </w:tr>
            <w:tr w14:paraId="0E1D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87" w:type="dxa"/>
                  <w:vMerge w:val="continue"/>
                  <w:shd w:val="clear" w:color="auto" w:fill="FFFFFF"/>
                  <w:tcMar>
                    <w:top w:w="0" w:type="dxa"/>
                    <w:left w:w="0" w:type="dxa"/>
                    <w:bottom w:w="0" w:type="dxa"/>
                    <w:right w:w="0" w:type="dxa"/>
                  </w:tcMar>
                  <w:vAlign w:val="center"/>
                </w:tcPr>
                <w:p w14:paraId="49F283E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lang w:eastAsia="zh-CN"/>
                    </w:rPr>
                  </w:pPr>
                </w:p>
              </w:tc>
              <w:tc>
                <w:tcPr>
                  <w:tcW w:w="795" w:type="dxa"/>
                  <w:vMerge w:val="continue"/>
                  <w:shd w:val="clear" w:color="auto" w:fill="FFFFFF"/>
                  <w:tcMar>
                    <w:top w:w="0" w:type="dxa"/>
                    <w:left w:w="0" w:type="dxa"/>
                    <w:bottom w:w="0" w:type="dxa"/>
                    <w:right w:w="0" w:type="dxa"/>
                  </w:tcMar>
                  <w:vAlign w:val="center"/>
                </w:tcPr>
                <w:p w14:paraId="63F121E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p>
              </w:tc>
              <w:tc>
                <w:tcPr>
                  <w:tcW w:w="866" w:type="dxa"/>
                  <w:shd w:val="clear" w:color="auto" w:fill="FFFFFF"/>
                  <w:tcMar>
                    <w:top w:w="0" w:type="dxa"/>
                    <w:left w:w="0" w:type="dxa"/>
                    <w:bottom w:w="0" w:type="dxa"/>
                    <w:right w:w="0" w:type="dxa"/>
                  </w:tcMar>
                  <w:vAlign w:val="center"/>
                </w:tcPr>
                <w:p w14:paraId="20D4677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rPr>
                    <w:t>声功率级/dB(A)</w:t>
                  </w:r>
                </w:p>
              </w:tc>
              <w:tc>
                <w:tcPr>
                  <w:tcW w:w="717" w:type="dxa"/>
                  <w:shd w:val="clear" w:color="auto" w:fill="FFFFFF"/>
                  <w:tcMar>
                    <w:top w:w="0" w:type="dxa"/>
                    <w:left w:w="0" w:type="dxa"/>
                    <w:bottom w:w="0" w:type="dxa"/>
                    <w:right w:w="0" w:type="dxa"/>
                  </w:tcMar>
                  <w:vAlign w:val="center"/>
                </w:tcPr>
                <w:p w14:paraId="65C8126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rPr>
                    <w:t>X</w:t>
                  </w:r>
                </w:p>
              </w:tc>
              <w:tc>
                <w:tcPr>
                  <w:tcW w:w="717" w:type="dxa"/>
                  <w:shd w:val="clear" w:color="auto" w:fill="FFFFFF"/>
                  <w:tcMar>
                    <w:top w:w="0" w:type="dxa"/>
                    <w:left w:w="0" w:type="dxa"/>
                    <w:bottom w:w="0" w:type="dxa"/>
                    <w:right w:w="0" w:type="dxa"/>
                  </w:tcMar>
                  <w:vAlign w:val="center"/>
                </w:tcPr>
                <w:p w14:paraId="28D2AAC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rPr>
                    <w:t>Y</w:t>
                  </w:r>
                </w:p>
              </w:tc>
              <w:tc>
                <w:tcPr>
                  <w:tcW w:w="717" w:type="dxa"/>
                  <w:shd w:val="clear" w:color="auto" w:fill="FFFFFF"/>
                  <w:tcMar>
                    <w:top w:w="0" w:type="dxa"/>
                    <w:left w:w="0" w:type="dxa"/>
                    <w:bottom w:w="0" w:type="dxa"/>
                    <w:right w:w="0" w:type="dxa"/>
                  </w:tcMar>
                  <w:vAlign w:val="center"/>
                </w:tcPr>
                <w:p w14:paraId="2CD3019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rPr>
                    <w:t>Z</w:t>
                  </w:r>
                </w:p>
              </w:tc>
              <w:tc>
                <w:tcPr>
                  <w:tcW w:w="639" w:type="dxa"/>
                  <w:shd w:val="clear" w:color="auto" w:fill="FFFFFF"/>
                  <w:tcMar>
                    <w:top w:w="0" w:type="dxa"/>
                    <w:left w:w="0" w:type="dxa"/>
                    <w:bottom w:w="0" w:type="dxa"/>
                    <w:right w:w="0" w:type="dxa"/>
                  </w:tcMar>
                  <w:vAlign w:val="center"/>
                </w:tcPr>
                <w:p w14:paraId="46FD41E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东</w:t>
                  </w:r>
                </w:p>
              </w:tc>
              <w:tc>
                <w:tcPr>
                  <w:tcW w:w="639" w:type="dxa"/>
                  <w:shd w:val="clear" w:color="auto" w:fill="FFFFFF"/>
                  <w:tcMar>
                    <w:top w:w="0" w:type="dxa"/>
                    <w:left w:w="0" w:type="dxa"/>
                    <w:bottom w:w="0" w:type="dxa"/>
                    <w:right w:w="0" w:type="dxa"/>
                  </w:tcMar>
                  <w:vAlign w:val="center"/>
                </w:tcPr>
                <w:p w14:paraId="612FBC5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南</w:t>
                  </w:r>
                </w:p>
              </w:tc>
              <w:tc>
                <w:tcPr>
                  <w:tcW w:w="639" w:type="dxa"/>
                  <w:shd w:val="clear" w:color="auto" w:fill="FFFFFF"/>
                  <w:tcMar>
                    <w:top w:w="0" w:type="dxa"/>
                    <w:left w:w="0" w:type="dxa"/>
                    <w:bottom w:w="0" w:type="dxa"/>
                    <w:right w:w="0" w:type="dxa"/>
                  </w:tcMar>
                  <w:vAlign w:val="center"/>
                </w:tcPr>
                <w:p w14:paraId="3123CE84">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西</w:t>
                  </w:r>
                </w:p>
              </w:tc>
              <w:tc>
                <w:tcPr>
                  <w:tcW w:w="640" w:type="dxa"/>
                  <w:shd w:val="clear" w:color="auto" w:fill="FFFFFF"/>
                  <w:tcMar>
                    <w:top w:w="0" w:type="dxa"/>
                    <w:left w:w="0" w:type="dxa"/>
                    <w:bottom w:w="0" w:type="dxa"/>
                    <w:right w:w="0" w:type="dxa"/>
                  </w:tcMar>
                  <w:vAlign w:val="center"/>
                </w:tcPr>
                <w:p w14:paraId="706BD14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北</w:t>
                  </w:r>
                </w:p>
              </w:tc>
              <w:tc>
                <w:tcPr>
                  <w:tcW w:w="631" w:type="dxa"/>
                  <w:shd w:val="clear" w:color="auto" w:fill="FFFFFF"/>
                  <w:tcMar>
                    <w:top w:w="0" w:type="dxa"/>
                    <w:left w:w="0" w:type="dxa"/>
                    <w:bottom w:w="0" w:type="dxa"/>
                    <w:right w:w="0" w:type="dxa"/>
                  </w:tcMar>
                  <w:vAlign w:val="center"/>
                </w:tcPr>
                <w:p w14:paraId="4A9BF89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东</w:t>
                  </w:r>
                </w:p>
              </w:tc>
              <w:tc>
                <w:tcPr>
                  <w:tcW w:w="631" w:type="dxa"/>
                  <w:shd w:val="clear" w:color="auto" w:fill="FFFFFF"/>
                  <w:tcMar>
                    <w:top w:w="0" w:type="dxa"/>
                    <w:left w:w="0" w:type="dxa"/>
                    <w:bottom w:w="0" w:type="dxa"/>
                    <w:right w:w="0" w:type="dxa"/>
                  </w:tcMar>
                  <w:vAlign w:val="center"/>
                </w:tcPr>
                <w:p w14:paraId="5308849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南</w:t>
                  </w:r>
                </w:p>
              </w:tc>
              <w:tc>
                <w:tcPr>
                  <w:tcW w:w="631" w:type="dxa"/>
                  <w:shd w:val="clear" w:color="auto" w:fill="FFFFFF"/>
                  <w:tcMar>
                    <w:top w:w="0" w:type="dxa"/>
                    <w:left w:w="0" w:type="dxa"/>
                    <w:bottom w:w="0" w:type="dxa"/>
                    <w:right w:w="0" w:type="dxa"/>
                  </w:tcMar>
                  <w:vAlign w:val="center"/>
                </w:tcPr>
                <w:p w14:paraId="12FAE903">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西</w:t>
                  </w:r>
                </w:p>
              </w:tc>
              <w:tc>
                <w:tcPr>
                  <w:tcW w:w="633" w:type="dxa"/>
                  <w:shd w:val="clear" w:color="auto" w:fill="FFFFFF"/>
                  <w:tcMar>
                    <w:top w:w="0" w:type="dxa"/>
                    <w:left w:w="0" w:type="dxa"/>
                    <w:bottom w:w="0" w:type="dxa"/>
                    <w:right w:w="0" w:type="dxa"/>
                  </w:tcMar>
                  <w:vAlign w:val="center"/>
                </w:tcPr>
                <w:p w14:paraId="5834209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北</w:t>
                  </w:r>
                </w:p>
              </w:tc>
              <w:tc>
                <w:tcPr>
                  <w:tcW w:w="547" w:type="dxa"/>
                  <w:vMerge w:val="continue"/>
                  <w:shd w:val="clear" w:color="auto" w:fill="FFFFFF"/>
                  <w:tcMar>
                    <w:top w:w="0" w:type="dxa"/>
                    <w:left w:w="0" w:type="dxa"/>
                    <w:bottom w:w="0" w:type="dxa"/>
                    <w:right w:w="0" w:type="dxa"/>
                  </w:tcMar>
                  <w:vAlign w:val="center"/>
                </w:tcPr>
                <w:p w14:paraId="02BA257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p>
              </w:tc>
              <w:tc>
                <w:tcPr>
                  <w:tcW w:w="609" w:type="dxa"/>
                  <w:shd w:val="clear" w:color="auto" w:fill="FFFFFF"/>
                  <w:tcMar>
                    <w:top w:w="0" w:type="dxa"/>
                    <w:left w:w="0" w:type="dxa"/>
                    <w:bottom w:w="0" w:type="dxa"/>
                    <w:right w:w="0" w:type="dxa"/>
                  </w:tcMar>
                  <w:vAlign w:val="center"/>
                </w:tcPr>
                <w:p w14:paraId="534BD7F3">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东</w:t>
                  </w:r>
                </w:p>
              </w:tc>
              <w:tc>
                <w:tcPr>
                  <w:tcW w:w="609" w:type="dxa"/>
                  <w:shd w:val="clear" w:color="auto" w:fill="FFFFFF"/>
                  <w:tcMar>
                    <w:top w:w="0" w:type="dxa"/>
                    <w:left w:w="0" w:type="dxa"/>
                    <w:bottom w:w="0" w:type="dxa"/>
                    <w:right w:w="0" w:type="dxa"/>
                  </w:tcMar>
                  <w:vAlign w:val="center"/>
                </w:tcPr>
                <w:p w14:paraId="6C77847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南</w:t>
                  </w:r>
                </w:p>
              </w:tc>
              <w:tc>
                <w:tcPr>
                  <w:tcW w:w="609" w:type="dxa"/>
                  <w:shd w:val="clear" w:color="auto" w:fill="FFFFFF"/>
                  <w:tcMar>
                    <w:top w:w="0" w:type="dxa"/>
                    <w:left w:w="0" w:type="dxa"/>
                    <w:bottom w:w="0" w:type="dxa"/>
                    <w:right w:w="0" w:type="dxa"/>
                  </w:tcMar>
                  <w:vAlign w:val="center"/>
                </w:tcPr>
                <w:p w14:paraId="33A2B92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西</w:t>
                  </w:r>
                </w:p>
              </w:tc>
              <w:tc>
                <w:tcPr>
                  <w:tcW w:w="609" w:type="dxa"/>
                  <w:shd w:val="clear" w:color="auto" w:fill="FFFFFF"/>
                  <w:tcMar>
                    <w:top w:w="0" w:type="dxa"/>
                    <w:left w:w="0" w:type="dxa"/>
                    <w:bottom w:w="0" w:type="dxa"/>
                    <w:right w:w="0" w:type="dxa"/>
                  </w:tcMar>
                  <w:vAlign w:val="center"/>
                </w:tcPr>
                <w:p w14:paraId="26B234C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北</w:t>
                  </w:r>
                </w:p>
              </w:tc>
              <w:tc>
                <w:tcPr>
                  <w:tcW w:w="649" w:type="dxa"/>
                  <w:shd w:val="clear" w:color="auto" w:fill="FFFFFF"/>
                  <w:tcMar>
                    <w:top w:w="0" w:type="dxa"/>
                    <w:left w:w="0" w:type="dxa"/>
                    <w:bottom w:w="0" w:type="dxa"/>
                    <w:right w:w="0" w:type="dxa"/>
                  </w:tcMar>
                  <w:vAlign w:val="center"/>
                </w:tcPr>
                <w:p w14:paraId="35A97CB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东</w:t>
                  </w:r>
                </w:p>
              </w:tc>
              <w:tc>
                <w:tcPr>
                  <w:tcW w:w="649" w:type="dxa"/>
                  <w:shd w:val="clear" w:color="auto" w:fill="FFFFFF"/>
                  <w:tcMar>
                    <w:top w:w="0" w:type="dxa"/>
                    <w:left w:w="0" w:type="dxa"/>
                    <w:bottom w:w="0" w:type="dxa"/>
                    <w:right w:w="0" w:type="dxa"/>
                  </w:tcMar>
                  <w:vAlign w:val="center"/>
                </w:tcPr>
                <w:p w14:paraId="36155CD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南</w:t>
                  </w:r>
                </w:p>
              </w:tc>
              <w:tc>
                <w:tcPr>
                  <w:tcW w:w="649" w:type="dxa"/>
                  <w:shd w:val="clear" w:color="auto" w:fill="FFFFFF"/>
                  <w:tcMar>
                    <w:top w:w="0" w:type="dxa"/>
                    <w:left w:w="0" w:type="dxa"/>
                    <w:bottom w:w="0" w:type="dxa"/>
                    <w:right w:w="0" w:type="dxa"/>
                  </w:tcMar>
                  <w:vAlign w:val="center"/>
                </w:tcPr>
                <w:p w14:paraId="2811770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西</w:t>
                  </w:r>
                </w:p>
              </w:tc>
              <w:tc>
                <w:tcPr>
                  <w:tcW w:w="650" w:type="dxa"/>
                  <w:shd w:val="clear" w:color="auto" w:fill="FFFFFF"/>
                  <w:tcMar>
                    <w:top w:w="0" w:type="dxa"/>
                    <w:left w:w="0" w:type="dxa"/>
                    <w:bottom w:w="0" w:type="dxa"/>
                    <w:right w:w="0" w:type="dxa"/>
                  </w:tcMar>
                  <w:vAlign w:val="center"/>
                </w:tcPr>
                <w:p w14:paraId="61814E5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lang w:eastAsia="zh-CN"/>
                    </w:rPr>
                    <w:t>北</w:t>
                  </w:r>
                </w:p>
              </w:tc>
              <w:tc>
                <w:tcPr>
                  <w:tcW w:w="898" w:type="dxa"/>
                  <w:shd w:val="clear" w:color="auto" w:fill="FFFFFF"/>
                  <w:tcMar>
                    <w:top w:w="0" w:type="dxa"/>
                    <w:left w:w="0" w:type="dxa"/>
                    <w:bottom w:w="0" w:type="dxa"/>
                    <w:right w:w="0" w:type="dxa"/>
                  </w:tcMar>
                  <w:vAlign w:val="center"/>
                </w:tcPr>
                <w:p w14:paraId="5181150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rPr>
                  </w:pPr>
                  <w:r>
                    <w:rPr>
                      <w:rFonts w:ascii="Times New Roman" w:hAnsi="Times New Roman" w:eastAsia="宋体" w:cs="Times New Roman"/>
                    </w:rPr>
                    <w:t>建筑物外距离</w:t>
                  </w:r>
                </w:p>
              </w:tc>
            </w:tr>
            <w:tr w14:paraId="05EE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87" w:type="dxa"/>
                  <w:shd w:val="clear" w:color="auto" w:fill="FFFFFF"/>
                  <w:tcMar>
                    <w:top w:w="0" w:type="dxa"/>
                    <w:left w:w="0" w:type="dxa"/>
                    <w:bottom w:w="0" w:type="dxa"/>
                    <w:right w:w="0" w:type="dxa"/>
                  </w:tcMar>
                  <w:vAlign w:val="center"/>
                </w:tcPr>
                <w:p w14:paraId="3427283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w:t>
                  </w:r>
                </w:p>
              </w:tc>
              <w:tc>
                <w:tcPr>
                  <w:tcW w:w="795" w:type="dxa"/>
                  <w:shd w:val="clear" w:color="auto" w:fill="FFFFFF"/>
                  <w:tcMar>
                    <w:top w:w="0" w:type="dxa"/>
                    <w:left w:w="0" w:type="dxa"/>
                    <w:bottom w:w="0" w:type="dxa"/>
                    <w:right w:w="0" w:type="dxa"/>
                  </w:tcMar>
                  <w:vAlign w:val="center"/>
                </w:tcPr>
                <w:p w14:paraId="1BD74B6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激光切割机</w:t>
                  </w:r>
                </w:p>
              </w:tc>
              <w:tc>
                <w:tcPr>
                  <w:tcW w:w="866" w:type="dxa"/>
                  <w:shd w:val="clear" w:color="auto" w:fill="FFFFFF"/>
                  <w:tcMar>
                    <w:top w:w="0" w:type="dxa"/>
                    <w:left w:w="0" w:type="dxa"/>
                    <w:bottom w:w="0" w:type="dxa"/>
                    <w:right w:w="0" w:type="dxa"/>
                  </w:tcMar>
                  <w:vAlign w:val="center"/>
                </w:tcPr>
                <w:p w14:paraId="264A777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80</w:t>
                  </w:r>
                </w:p>
              </w:tc>
              <w:tc>
                <w:tcPr>
                  <w:tcW w:w="717" w:type="dxa"/>
                  <w:shd w:val="clear" w:color="auto" w:fill="FFFFFF"/>
                  <w:tcMar>
                    <w:top w:w="0" w:type="dxa"/>
                    <w:left w:w="0" w:type="dxa"/>
                    <w:bottom w:w="0" w:type="dxa"/>
                    <w:right w:w="0" w:type="dxa"/>
                  </w:tcMar>
                  <w:vAlign w:val="center"/>
                </w:tcPr>
                <w:p w14:paraId="4224390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31.2</w:t>
                  </w:r>
                </w:p>
              </w:tc>
              <w:tc>
                <w:tcPr>
                  <w:tcW w:w="717" w:type="dxa"/>
                  <w:shd w:val="clear" w:color="auto" w:fill="FFFFFF"/>
                  <w:tcMar>
                    <w:top w:w="0" w:type="dxa"/>
                    <w:left w:w="0" w:type="dxa"/>
                    <w:bottom w:w="0" w:type="dxa"/>
                    <w:right w:w="0" w:type="dxa"/>
                  </w:tcMar>
                  <w:vAlign w:val="center"/>
                </w:tcPr>
                <w:p w14:paraId="30FB171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11.5</w:t>
                  </w:r>
                </w:p>
              </w:tc>
              <w:tc>
                <w:tcPr>
                  <w:tcW w:w="717" w:type="dxa"/>
                  <w:shd w:val="clear" w:color="auto" w:fill="FFFFFF"/>
                  <w:tcMar>
                    <w:top w:w="0" w:type="dxa"/>
                    <w:left w:w="0" w:type="dxa"/>
                    <w:bottom w:w="0" w:type="dxa"/>
                    <w:right w:w="0" w:type="dxa"/>
                  </w:tcMar>
                  <w:vAlign w:val="center"/>
                </w:tcPr>
                <w:p w14:paraId="3DEEC37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1.2</w:t>
                  </w:r>
                </w:p>
              </w:tc>
              <w:tc>
                <w:tcPr>
                  <w:tcW w:w="639" w:type="dxa"/>
                  <w:shd w:val="clear" w:color="auto" w:fill="FFFFFF"/>
                  <w:tcMar>
                    <w:top w:w="0" w:type="dxa"/>
                    <w:left w:w="0" w:type="dxa"/>
                    <w:bottom w:w="0" w:type="dxa"/>
                    <w:right w:w="0" w:type="dxa"/>
                  </w:tcMar>
                  <w:vAlign w:val="center"/>
                </w:tcPr>
                <w:p w14:paraId="12CE238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5.3</w:t>
                  </w:r>
                </w:p>
              </w:tc>
              <w:tc>
                <w:tcPr>
                  <w:tcW w:w="639" w:type="dxa"/>
                  <w:shd w:val="clear" w:color="auto" w:fill="FFFFFF"/>
                  <w:tcMar>
                    <w:top w:w="0" w:type="dxa"/>
                    <w:left w:w="0" w:type="dxa"/>
                    <w:bottom w:w="0" w:type="dxa"/>
                    <w:right w:w="0" w:type="dxa"/>
                  </w:tcMar>
                  <w:vAlign w:val="center"/>
                </w:tcPr>
                <w:p w14:paraId="2BCED88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3.7</w:t>
                  </w:r>
                </w:p>
              </w:tc>
              <w:tc>
                <w:tcPr>
                  <w:tcW w:w="639" w:type="dxa"/>
                  <w:shd w:val="clear" w:color="auto" w:fill="FFFFFF"/>
                  <w:tcMar>
                    <w:top w:w="0" w:type="dxa"/>
                    <w:left w:w="0" w:type="dxa"/>
                    <w:bottom w:w="0" w:type="dxa"/>
                    <w:right w:w="0" w:type="dxa"/>
                  </w:tcMar>
                  <w:vAlign w:val="center"/>
                </w:tcPr>
                <w:p w14:paraId="424F70E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66.1</w:t>
                  </w:r>
                </w:p>
              </w:tc>
              <w:tc>
                <w:tcPr>
                  <w:tcW w:w="640" w:type="dxa"/>
                  <w:shd w:val="clear" w:color="auto" w:fill="FFFFFF"/>
                  <w:tcMar>
                    <w:top w:w="0" w:type="dxa"/>
                    <w:left w:w="0" w:type="dxa"/>
                    <w:bottom w:w="0" w:type="dxa"/>
                    <w:right w:w="0" w:type="dxa"/>
                  </w:tcMar>
                  <w:vAlign w:val="center"/>
                </w:tcPr>
                <w:p w14:paraId="1BEC3B3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17.2</w:t>
                  </w:r>
                </w:p>
              </w:tc>
              <w:tc>
                <w:tcPr>
                  <w:tcW w:w="631" w:type="dxa"/>
                  <w:shd w:val="clear" w:color="auto" w:fill="FFFFFF"/>
                  <w:tcMar>
                    <w:top w:w="0" w:type="dxa"/>
                    <w:left w:w="0" w:type="dxa"/>
                    <w:bottom w:w="0" w:type="dxa"/>
                    <w:right w:w="0" w:type="dxa"/>
                  </w:tcMar>
                  <w:vAlign w:val="center"/>
                </w:tcPr>
                <w:p w14:paraId="6D73C9C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56.8</w:t>
                  </w:r>
                </w:p>
              </w:tc>
              <w:tc>
                <w:tcPr>
                  <w:tcW w:w="631" w:type="dxa"/>
                  <w:shd w:val="clear" w:color="auto" w:fill="FFFFFF"/>
                  <w:tcMar>
                    <w:top w:w="0" w:type="dxa"/>
                    <w:left w:w="0" w:type="dxa"/>
                    <w:bottom w:w="0" w:type="dxa"/>
                    <w:right w:w="0" w:type="dxa"/>
                  </w:tcMar>
                  <w:vAlign w:val="center"/>
                </w:tcPr>
                <w:p w14:paraId="71C44E5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59.4</w:t>
                  </w:r>
                </w:p>
              </w:tc>
              <w:tc>
                <w:tcPr>
                  <w:tcW w:w="631" w:type="dxa"/>
                  <w:shd w:val="clear" w:color="auto" w:fill="FFFFFF"/>
                  <w:tcMar>
                    <w:top w:w="0" w:type="dxa"/>
                    <w:left w:w="0" w:type="dxa"/>
                    <w:bottom w:w="0" w:type="dxa"/>
                    <w:right w:w="0" w:type="dxa"/>
                  </w:tcMar>
                  <w:vAlign w:val="center"/>
                </w:tcPr>
                <w:p w14:paraId="07E87F4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46.9</w:t>
                  </w:r>
                </w:p>
              </w:tc>
              <w:tc>
                <w:tcPr>
                  <w:tcW w:w="633" w:type="dxa"/>
                  <w:shd w:val="clear" w:color="auto" w:fill="FFFFFF"/>
                  <w:tcMar>
                    <w:top w:w="0" w:type="dxa"/>
                    <w:left w:w="0" w:type="dxa"/>
                    <w:bottom w:w="0" w:type="dxa"/>
                    <w:right w:w="0" w:type="dxa"/>
                  </w:tcMar>
                  <w:vAlign w:val="center"/>
                </w:tcPr>
                <w:p w14:paraId="5BC637E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51.8</w:t>
                  </w:r>
                </w:p>
              </w:tc>
              <w:tc>
                <w:tcPr>
                  <w:tcW w:w="547" w:type="dxa"/>
                  <w:shd w:val="clear" w:color="auto" w:fill="FFFFFF"/>
                  <w:tcMar>
                    <w:top w:w="0" w:type="dxa"/>
                    <w:left w:w="0" w:type="dxa"/>
                    <w:bottom w:w="0" w:type="dxa"/>
                    <w:right w:w="0" w:type="dxa"/>
                  </w:tcMar>
                  <w:vAlign w:val="center"/>
                </w:tcPr>
                <w:p w14:paraId="5148BF5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昼间</w:t>
                  </w:r>
                </w:p>
              </w:tc>
              <w:tc>
                <w:tcPr>
                  <w:tcW w:w="609" w:type="dxa"/>
                  <w:shd w:val="clear" w:color="auto" w:fill="FFFFFF"/>
                  <w:tcMar>
                    <w:top w:w="0" w:type="dxa"/>
                    <w:left w:w="0" w:type="dxa"/>
                    <w:bottom w:w="0" w:type="dxa"/>
                    <w:right w:w="0" w:type="dxa"/>
                  </w:tcMar>
                  <w:vAlign w:val="center"/>
                </w:tcPr>
                <w:p w14:paraId="43499B0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42048B4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2210491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058D494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49" w:type="dxa"/>
                  <w:shd w:val="clear" w:color="auto" w:fill="FFFFFF"/>
                  <w:tcMar>
                    <w:top w:w="0" w:type="dxa"/>
                    <w:left w:w="0" w:type="dxa"/>
                    <w:bottom w:w="0" w:type="dxa"/>
                    <w:right w:w="0" w:type="dxa"/>
                  </w:tcMar>
                  <w:vAlign w:val="center"/>
                </w:tcPr>
                <w:p w14:paraId="610AF2B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41.8</w:t>
                  </w:r>
                </w:p>
              </w:tc>
              <w:tc>
                <w:tcPr>
                  <w:tcW w:w="649" w:type="dxa"/>
                  <w:shd w:val="clear" w:color="auto" w:fill="FFFFFF"/>
                  <w:tcMar>
                    <w:top w:w="0" w:type="dxa"/>
                    <w:left w:w="0" w:type="dxa"/>
                    <w:bottom w:w="0" w:type="dxa"/>
                    <w:right w:w="0" w:type="dxa"/>
                  </w:tcMar>
                  <w:vAlign w:val="center"/>
                </w:tcPr>
                <w:p w14:paraId="48815ED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44.4</w:t>
                  </w:r>
                </w:p>
              </w:tc>
              <w:tc>
                <w:tcPr>
                  <w:tcW w:w="649" w:type="dxa"/>
                  <w:shd w:val="clear" w:color="auto" w:fill="FFFFFF"/>
                  <w:tcMar>
                    <w:top w:w="0" w:type="dxa"/>
                    <w:left w:w="0" w:type="dxa"/>
                    <w:bottom w:w="0" w:type="dxa"/>
                    <w:right w:w="0" w:type="dxa"/>
                  </w:tcMar>
                  <w:vAlign w:val="center"/>
                </w:tcPr>
                <w:p w14:paraId="79D3C8C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31.9</w:t>
                  </w:r>
                </w:p>
              </w:tc>
              <w:tc>
                <w:tcPr>
                  <w:tcW w:w="650" w:type="dxa"/>
                  <w:shd w:val="clear" w:color="auto" w:fill="FFFFFF"/>
                  <w:tcMar>
                    <w:top w:w="0" w:type="dxa"/>
                    <w:left w:w="0" w:type="dxa"/>
                    <w:bottom w:w="0" w:type="dxa"/>
                    <w:right w:w="0" w:type="dxa"/>
                  </w:tcMar>
                  <w:vAlign w:val="center"/>
                </w:tcPr>
                <w:p w14:paraId="0588CCD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36.8</w:t>
                  </w:r>
                </w:p>
              </w:tc>
              <w:tc>
                <w:tcPr>
                  <w:tcW w:w="898" w:type="dxa"/>
                  <w:shd w:val="clear" w:color="auto" w:fill="FFFFFF"/>
                  <w:tcMar>
                    <w:top w:w="0" w:type="dxa"/>
                    <w:left w:w="0" w:type="dxa"/>
                    <w:bottom w:w="0" w:type="dxa"/>
                    <w:right w:w="0" w:type="dxa"/>
                  </w:tcMar>
                  <w:vAlign w:val="center"/>
                </w:tcPr>
                <w:p w14:paraId="71E7009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w:t>
                  </w:r>
                </w:p>
              </w:tc>
            </w:tr>
            <w:tr w14:paraId="76AB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87" w:type="dxa"/>
                  <w:shd w:val="clear" w:color="auto" w:fill="FFFFFF"/>
                  <w:tcMar>
                    <w:top w:w="0" w:type="dxa"/>
                    <w:left w:w="0" w:type="dxa"/>
                    <w:bottom w:w="0" w:type="dxa"/>
                    <w:right w:w="0" w:type="dxa"/>
                  </w:tcMar>
                  <w:vAlign w:val="center"/>
                </w:tcPr>
                <w:p w14:paraId="3ACD20E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w:t>
                  </w:r>
                </w:p>
              </w:tc>
              <w:tc>
                <w:tcPr>
                  <w:tcW w:w="795" w:type="dxa"/>
                  <w:shd w:val="clear" w:color="auto" w:fill="FFFFFF"/>
                  <w:tcMar>
                    <w:top w:w="0" w:type="dxa"/>
                    <w:left w:w="0" w:type="dxa"/>
                    <w:bottom w:w="0" w:type="dxa"/>
                    <w:right w:w="0" w:type="dxa"/>
                  </w:tcMar>
                  <w:vAlign w:val="center"/>
                </w:tcPr>
                <w:p w14:paraId="604B27F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台钻</w:t>
                  </w:r>
                </w:p>
              </w:tc>
              <w:tc>
                <w:tcPr>
                  <w:tcW w:w="866" w:type="dxa"/>
                  <w:shd w:val="clear" w:color="auto" w:fill="FFFFFF"/>
                  <w:tcMar>
                    <w:top w:w="0" w:type="dxa"/>
                    <w:left w:w="0" w:type="dxa"/>
                    <w:bottom w:w="0" w:type="dxa"/>
                    <w:right w:w="0" w:type="dxa"/>
                  </w:tcMar>
                  <w:vAlign w:val="center"/>
                </w:tcPr>
                <w:p w14:paraId="0124EBD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80</w:t>
                  </w:r>
                </w:p>
              </w:tc>
              <w:tc>
                <w:tcPr>
                  <w:tcW w:w="717" w:type="dxa"/>
                  <w:shd w:val="clear" w:color="auto" w:fill="FFFFFF"/>
                  <w:tcMar>
                    <w:top w:w="0" w:type="dxa"/>
                    <w:left w:w="0" w:type="dxa"/>
                    <w:bottom w:w="0" w:type="dxa"/>
                    <w:right w:w="0" w:type="dxa"/>
                  </w:tcMar>
                  <w:vAlign w:val="center"/>
                </w:tcPr>
                <w:p w14:paraId="0AFD6C5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32.7</w:t>
                  </w:r>
                </w:p>
              </w:tc>
              <w:tc>
                <w:tcPr>
                  <w:tcW w:w="717" w:type="dxa"/>
                  <w:shd w:val="clear" w:color="auto" w:fill="FFFFFF"/>
                  <w:tcMar>
                    <w:top w:w="0" w:type="dxa"/>
                    <w:left w:w="0" w:type="dxa"/>
                    <w:bottom w:w="0" w:type="dxa"/>
                    <w:right w:w="0" w:type="dxa"/>
                  </w:tcMar>
                  <w:vAlign w:val="center"/>
                </w:tcPr>
                <w:p w14:paraId="7B3FE13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10.8</w:t>
                  </w:r>
                </w:p>
              </w:tc>
              <w:tc>
                <w:tcPr>
                  <w:tcW w:w="717" w:type="dxa"/>
                  <w:shd w:val="clear" w:color="auto" w:fill="FFFFFF"/>
                  <w:tcMar>
                    <w:top w:w="0" w:type="dxa"/>
                    <w:left w:w="0" w:type="dxa"/>
                    <w:bottom w:w="0" w:type="dxa"/>
                    <w:right w:w="0" w:type="dxa"/>
                  </w:tcMar>
                  <w:vAlign w:val="center"/>
                </w:tcPr>
                <w:p w14:paraId="65092B8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1.2</w:t>
                  </w:r>
                </w:p>
              </w:tc>
              <w:tc>
                <w:tcPr>
                  <w:tcW w:w="639" w:type="dxa"/>
                  <w:shd w:val="clear" w:color="auto" w:fill="FFFFFF"/>
                  <w:tcMar>
                    <w:top w:w="0" w:type="dxa"/>
                    <w:left w:w="0" w:type="dxa"/>
                    <w:bottom w:w="0" w:type="dxa"/>
                    <w:right w:w="0" w:type="dxa"/>
                  </w:tcMar>
                  <w:vAlign w:val="center"/>
                </w:tcPr>
                <w:p w14:paraId="70691C5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4.1</w:t>
                  </w:r>
                </w:p>
              </w:tc>
              <w:tc>
                <w:tcPr>
                  <w:tcW w:w="639" w:type="dxa"/>
                  <w:shd w:val="clear" w:color="auto" w:fill="FFFFFF"/>
                  <w:tcMar>
                    <w:top w:w="0" w:type="dxa"/>
                    <w:left w:w="0" w:type="dxa"/>
                    <w:bottom w:w="0" w:type="dxa"/>
                    <w:right w:w="0" w:type="dxa"/>
                  </w:tcMar>
                  <w:vAlign w:val="center"/>
                </w:tcPr>
                <w:p w14:paraId="2FC8DC2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4.3</w:t>
                  </w:r>
                </w:p>
              </w:tc>
              <w:tc>
                <w:tcPr>
                  <w:tcW w:w="639" w:type="dxa"/>
                  <w:shd w:val="clear" w:color="auto" w:fill="FFFFFF"/>
                  <w:tcMar>
                    <w:top w:w="0" w:type="dxa"/>
                    <w:left w:w="0" w:type="dxa"/>
                    <w:bottom w:w="0" w:type="dxa"/>
                    <w:right w:w="0" w:type="dxa"/>
                  </w:tcMar>
                  <w:vAlign w:val="center"/>
                </w:tcPr>
                <w:p w14:paraId="2AD8623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67.8</w:t>
                  </w:r>
                </w:p>
              </w:tc>
              <w:tc>
                <w:tcPr>
                  <w:tcW w:w="640" w:type="dxa"/>
                  <w:shd w:val="clear" w:color="auto" w:fill="FFFFFF"/>
                  <w:tcMar>
                    <w:top w:w="0" w:type="dxa"/>
                    <w:left w:w="0" w:type="dxa"/>
                    <w:bottom w:w="0" w:type="dxa"/>
                    <w:right w:w="0" w:type="dxa"/>
                  </w:tcMar>
                  <w:vAlign w:val="center"/>
                </w:tcPr>
                <w:p w14:paraId="0BD9DD1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18.5</w:t>
                  </w:r>
                </w:p>
              </w:tc>
              <w:tc>
                <w:tcPr>
                  <w:tcW w:w="631" w:type="dxa"/>
                  <w:shd w:val="clear" w:color="auto" w:fill="FFFFFF"/>
                  <w:tcMar>
                    <w:top w:w="0" w:type="dxa"/>
                    <w:left w:w="0" w:type="dxa"/>
                    <w:bottom w:w="0" w:type="dxa"/>
                    <w:right w:w="0" w:type="dxa"/>
                  </w:tcMar>
                  <w:vAlign w:val="center"/>
                </w:tcPr>
                <w:p w14:paraId="0E07DAA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56.5</w:t>
                  </w:r>
                </w:p>
              </w:tc>
              <w:tc>
                <w:tcPr>
                  <w:tcW w:w="631" w:type="dxa"/>
                  <w:shd w:val="clear" w:color="auto" w:fill="FFFFFF"/>
                  <w:tcMar>
                    <w:top w:w="0" w:type="dxa"/>
                    <w:left w:w="0" w:type="dxa"/>
                    <w:bottom w:w="0" w:type="dxa"/>
                    <w:right w:w="0" w:type="dxa"/>
                  </w:tcMar>
                  <w:vAlign w:val="center"/>
                </w:tcPr>
                <w:p w14:paraId="78E5B67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55.7</w:t>
                  </w:r>
                </w:p>
              </w:tc>
              <w:tc>
                <w:tcPr>
                  <w:tcW w:w="631" w:type="dxa"/>
                  <w:shd w:val="clear" w:color="auto" w:fill="FFFFFF"/>
                  <w:tcMar>
                    <w:top w:w="0" w:type="dxa"/>
                    <w:left w:w="0" w:type="dxa"/>
                    <w:bottom w:w="0" w:type="dxa"/>
                    <w:right w:w="0" w:type="dxa"/>
                  </w:tcMar>
                  <w:vAlign w:val="center"/>
                </w:tcPr>
                <w:p w14:paraId="5332B33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47.6</w:t>
                  </w:r>
                </w:p>
              </w:tc>
              <w:tc>
                <w:tcPr>
                  <w:tcW w:w="633" w:type="dxa"/>
                  <w:shd w:val="clear" w:color="auto" w:fill="FFFFFF"/>
                  <w:tcMar>
                    <w:top w:w="0" w:type="dxa"/>
                    <w:left w:w="0" w:type="dxa"/>
                    <w:bottom w:w="0" w:type="dxa"/>
                    <w:right w:w="0" w:type="dxa"/>
                  </w:tcMar>
                  <w:vAlign w:val="center"/>
                </w:tcPr>
                <w:p w14:paraId="03AAF10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49.9</w:t>
                  </w:r>
                </w:p>
              </w:tc>
              <w:tc>
                <w:tcPr>
                  <w:tcW w:w="547" w:type="dxa"/>
                  <w:shd w:val="clear" w:color="auto" w:fill="FFFFFF"/>
                  <w:tcMar>
                    <w:top w:w="0" w:type="dxa"/>
                    <w:left w:w="0" w:type="dxa"/>
                    <w:bottom w:w="0" w:type="dxa"/>
                    <w:right w:w="0" w:type="dxa"/>
                  </w:tcMar>
                  <w:vAlign w:val="center"/>
                </w:tcPr>
                <w:p w14:paraId="40FF3F5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昼间</w:t>
                  </w:r>
                </w:p>
              </w:tc>
              <w:tc>
                <w:tcPr>
                  <w:tcW w:w="609" w:type="dxa"/>
                  <w:shd w:val="clear" w:color="auto" w:fill="FFFFFF"/>
                  <w:tcMar>
                    <w:top w:w="0" w:type="dxa"/>
                    <w:left w:w="0" w:type="dxa"/>
                    <w:bottom w:w="0" w:type="dxa"/>
                    <w:right w:w="0" w:type="dxa"/>
                  </w:tcMar>
                  <w:vAlign w:val="center"/>
                </w:tcPr>
                <w:p w14:paraId="53D4D00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502A0A1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27A3ED2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0ED189A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49" w:type="dxa"/>
                  <w:shd w:val="clear" w:color="auto" w:fill="FFFFFF"/>
                  <w:tcMar>
                    <w:top w:w="0" w:type="dxa"/>
                    <w:left w:w="0" w:type="dxa"/>
                    <w:bottom w:w="0" w:type="dxa"/>
                    <w:right w:w="0" w:type="dxa"/>
                  </w:tcMar>
                  <w:vAlign w:val="center"/>
                </w:tcPr>
                <w:p w14:paraId="3B17D64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41.5</w:t>
                  </w:r>
                </w:p>
              </w:tc>
              <w:tc>
                <w:tcPr>
                  <w:tcW w:w="649" w:type="dxa"/>
                  <w:shd w:val="clear" w:color="auto" w:fill="FFFFFF"/>
                  <w:tcMar>
                    <w:top w:w="0" w:type="dxa"/>
                    <w:left w:w="0" w:type="dxa"/>
                    <w:bottom w:w="0" w:type="dxa"/>
                    <w:right w:w="0" w:type="dxa"/>
                  </w:tcMar>
                  <w:vAlign w:val="center"/>
                </w:tcPr>
                <w:p w14:paraId="62309DD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40.7</w:t>
                  </w:r>
                </w:p>
              </w:tc>
              <w:tc>
                <w:tcPr>
                  <w:tcW w:w="649" w:type="dxa"/>
                  <w:shd w:val="clear" w:color="auto" w:fill="FFFFFF"/>
                  <w:tcMar>
                    <w:top w:w="0" w:type="dxa"/>
                    <w:left w:w="0" w:type="dxa"/>
                    <w:bottom w:w="0" w:type="dxa"/>
                    <w:right w:w="0" w:type="dxa"/>
                  </w:tcMar>
                  <w:vAlign w:val="center"/>
                </w:tcPr>
                <w:p w14:paraId="5030258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32.6</w:t>
                  </w:r>
                </w:p>
              </w:tc>
              <w:tc>
                <w:tcPr>
                  <w:tcW w:w="650" w:type="dxa"/>
                  <w:shd w:val="clear" w:color="auto" w:fill="FFFFFF"/>
                  <w:tcMar>
                    <w:top w:w="0" w:type="dxa"/>
                    <w:left w:w="0" w:type="dxa"/>
                    <w:bottom w:w="0" w:type="dxa"/>
                    <w:right w:w="0" w:type="dxa"/>
                  </w:tcMar>
                  <w:vAlign w:val="center"/>
                </w:tcPr>
                <w:p w14:paraId="0452A6F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34.9</w:t>
                  </w:r>
                </w:p>
              </w:tc>
              <w:tc>
                <w:tcPr>
                  <w:tcW w:w="898" w:type="dxa"/>
                  <w:shd w:val="clear" w:color="auto" w:fill="FFFFFF"/>
                  <w:tcMar>
                    <w:top w:w="0" w:type="dxa"/>
                    <w:left w:w="0" w:type="dxa"/>
                    <w:bottom w:w="0" w:type="dxa"/>
                    <w:right w:w="0" w:type="dxa"/>
                  </w:tcMar>
                  <w:vAlign w:val="center"/>
                </w:tcPr>
                <w:p w14:paraId="33CAAE4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w:t>
                  </w:r>
                </w:p>
              </w:tc>
            </w:tr>
            <w:tr w14:paraId="4DE7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87" w:type="dxa"/>
                  <w:shd w:val="clear" w:color="auto" w:fill="FFFFFF"/>
                  <w:tcMar>
                    <w:top w:w="0" w:type="dxa"/>
                    <w:left w:w="0" w:type="dxa"/>
                    <w:bottom w:w="0" w:type="dxa"/>
                    <w:right w:w="0" w:type="dxa"/>
                  </w:tcMar>
                  <w:vAlign w:val="center"/>
                </w:tcPr>
                <w:p w14:paraId="1E2958B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w:t>
                  </w:r>
                </w:p>
              </w:tc>
              <w:tc>
                <w:tcPr>
                  <w:tcW w:w="795" w:type="dxa"/>
                  <w:shd w:val="clear" w:color="auto" w:fill="FFFFFF"/>
                  <w:tcMar>
                    <w:top w:w="0" w:type="dxa"/>
                    <w:left w:w="0" w:type="dxa"/>
                    <w:bottom w:w="0" w:type="dxa"/>
                    <w:right w:w="0" w:type="dxa"/>
                  </w:tcMar>
                  <w:vAlign w:val="center"/>
                </w:tcPr>
                <w:p w14:paraId="15989D1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折弯机</w:t>
                  </w:r>
                </w:p>
              </w:tc>
              <w:tc>
                <w:tcPr>
                  <w:tcW w:w="866" w:type="dxa"/>
                  <w:shd w:val="clear" w:color="auto" w:fill="FFFFFF"/>
                  <w:tcMar>
                    <w:top w:w="0" w:type="dxa"/>
                    <w:left w:w="0" w:type="dxa"/>
                    <w:bottom w:w="0" w:type="dxa"/>
                    <w:right w:w="0" w:type="dxa"/>
                  </w:tcMar>
                  <w:vAlign w:val="center"/>
                </w:tcPr>
                <w:p w14:paraId="633CC42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80</w:t>
                  </w:r>
                </w:p>
              </w:tc>
              <w:tc>
                <w:tcPr>
                  <w:tcW w:w="717" w:type="dxa"/>
                  <w:shd w:val="clear" w:color="auto" w:fill="FFFFFF"/>
                  <w:tcMar>
                    <w:top w:w="0" w:type="dxa"/>
                    <w:left w:w="0" w:type="dxa"/>
                    <w:bottom w:w="0" w:type="dxa"/>
                    <w:right w:w="0" w:type="dxa"/>
                  </w:tcMar>
                  <w:vAlign w:val="center"/>
                </w:tcPr>
                <w:p w14:paraId="5567A27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34.1</w:t>
                  </w:r>
                </w:p>
              </w:tc>
              <w:tc>
                <w:tcPr>
                  <w:tcW w:w="717" w:type="dxa"/>
                  <w:shd w:val="clear" w:color="auto" w:fill="FFFFFF"/>
                  <w:tcMar>
                    <w:top w:w="0" w:type="dxa"/>
                    <w:left w:w="0" w:type="dxa"/>
                    <w:bottom w:w="0" w:type="dxa"/>
                    <w:right w:w="0" w:type="dxa"/>
                  </w:tcMar>
                  <w:vAlign w:val="center"/>
                </w:tcPr>
                <w:p w14:paraId="1FC1138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9.6</w:t>
                  </w:r>
                </w:p>
              </w:tc>
              <w:tc>
                <w:tcPr>
                  <w:tcW w:w="717" w:type="dxa"/>
                  <w:shd w:val="clear" w:color="auto" w:fill="FFFFFF"/>
                  <w:tcMar>
                    <w:top w:w="0" w:type="dxa"/>
                    <w:left w:w="0" w:type="dxa"/>
                    <w:bottom w:w="0" w:type="dxa"/>
                    <w:right w:w="0" w:type="dxa"/>
                  </w:tcMar>
                  <w:vAlign w:val="center"/>
                </w:tcPr>
                <w:p w14:paraId="5087E8B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1.2</w:t>
                  </w:r>
                </w:p>
              </w:tc>
              <w:tc>
                <w:tcPr>
                  <w:tcW w:w="639" w:type="dxa"/>
                  <w:shd w:val="clear" w:color="auto" w:fill="FFFFFF"/>
                  <w:tcMar>
                    <w:top w:w="0" w:type="dxa"/>
                    <w:left w:w="0" w:type="dxa"/>
                    <w:bottom w:w="0" w:type="dxa"/>
                    <w:right w:w="0" w:type="dxa"/>
                  </w:tcMar>
                  <w:vAlign w:val="center"/>
                </w:tcPr>
                <w:p w14:paraId="027D5CE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2.7</w:t>
                  </w:r>
                </w:p>
              </w:tc>
              <w:tc>
                <w:tcPr>
                  <w:tcW w:w="639" w:type="dxa"/>
                  <w:shd w:val="clear" w:color="auto" w:fill="FFFFFF"/>
                  <w:tcMar>
                    <w:top w:w="0" w:type="dxa"/>
                    <w:left w:w="0" w:type="dxa"/>
                    <w:bottom w:w="0" w:type="dxa"/>
                    <w:right w:w="0" w:type="dxa"/>
                  </w:tcMar>
                  <w:vAlign w:val="center"/>
                </w:tcPr>
                <w:p w14:paraId="2895373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5.4</w:t>
                  </w:r>
                </w:p>
              </w:tc>
              <w:tc>
                <w:tcPr>
                  <w:tcW w:w="639" w:type="dxa"/>
                  <w:shd w:val="clear" w:color="auto" w:fill="FFFFFF"/>
                  <w:tcMar>
                    <w:top w:w="0" w:type="dxa"/>
                    <w:left w:w="0" w:type="dxa"/>
                    <w:bottom w:w="0" w:type="dxa"/>
                    <w:right w:w="0" w:type="dxa"/>
                  </w:tcMar>
                  <w:vAlign w:val="center"/>
                </w:tcPr>
                <w:p w14:paraId="6B11D20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69.3</w:t>
                  </w:r>
                </w:p>
              </w:tc>
              <w:tc>
                <w:tcPr>
                  <w:tcW w:w="640" w:type="dxa"/>
                  <w:shd w:val="clear" w:color="auto" w:fill="FFFFFF"/>
                  <w:tcMar>
                    <w:top w:w="0" w:type="dxa"/>
                    <w:left w:w="0" w:type="dxa"/>
                    <w:bottom w:w="0" w:type="dxa"/>
                    <w:right w:w="0" w:type="dxa"/>
                  </w:tcMar>
                  <w:vAlign w:val="center"/>
                </w:tcPr>
                <w:p w14:paraId="03AC9A6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19.6</w:t>
                  </w:r>
                </w:p>
              </w:tc>
              <w:tc>
                <w:tcPr>
                  <w:tcW w:w="631" w:type="dxa"/>
                  <w:shd w:val="clear" w:color="auto" w:fill="FFFFFF"/>
                  <w:tcMar>
                    <w:top w:w="0" w:type="dxa"/>
                    <w:left w:w="0" w:type="dxa"/>
                    <w:bottom w:w="0" w:type="dxa"/>
                    <w:right w:w="0" w:type="dxa"/>
                  </w:tcMar>
                  <w:vAlign w:val="center"/>
                </w:tcPr>
                <w:p w14:paraId="5AEB599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58.9</w:t>
                  </w:r>
                </w:p>
              </w:tc>
              <w:tc>
                <w:tcPr>
                  <w:tcW w:w="631" w:type="dxa"/>
                  <w:shd w:val="clear" w:color="auto" w:fill="FFFFFF"/>
                  <w:tcMar>
                    <w:top w:w="0" w:type="dxa"/>
                    <w:left w:w="0" w:type="dxa"/>
                    <w:bottom w:w="0" w:type="dxa"/>
                    <w:right w:w="0" w:type="dxa"/>
                  </w:tcMar>
                  <w:vAlign w:val="center"/>
                </w:tcPr>
                <w:p w14:paraId="6E01E41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53.6</w:t>
                  </w:r>
                </w:p>
              </w:tc>
              <w:tc>
                <w:tcPr>
                  <w:tcW w:w="631" w:type="dxa"/>
                  <w:shd w:val="clear" w:color="auto" w:fill="FFFFFF"/>
                  <w:tcMar>
                    <w:top w:w="0" w:type="dxa"/>
                    <w:left w:w="0" w:type="dxa"/>
                    <w:bottom w:w="0" w:type="dxa"/>
                    <w:right w:w="0" w:type="dxa"/>
                  </w:tcMar>
                  <w:vAlign w:val="center"/>
                </w:tcPr>
                <w:p w14:paraId="405C636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45.1</w:t>
                  </w:r>
                </w:p>
              </w:tc>
              <w:tc>
                <w:tcPr>
                  <w:tcW w:w="633" w:type="dxa"/>
                  <w:shd w:val="clear" w:color="auto" w:fill="FFFFFF"/>
                  <w:tcMar>
                    <w:top w:w="0" w:type="dxa"/>
                    <w:left w:w="0" w:type="dxa"/>
                    <w:bottom w:w="0" w:type="dxa"/>
                    <w:right w:w="0" w:type="dxa"/>
                  </w:tcMar>
                  <w:vAlign w:val="center"/>
                </w:tcPr>
                <w:p w14:paraId="3B32A5A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48.5</w:t>
                  </w:r>
                </w:p>
              </w:tc>
              <w:tc>
                <w:tcPr>
                  <w:tcW w:w="547" w:type="dxa"/>
                  <w:shd w:val="clear" w:color="auto" w:fill="FFFFFF"/>
                  <w:tcMar>
                    <w:top w:w="0" w:type="dxa"/>
                    <w:left w:w="0" w:type="dxa"/>
                    <w:bottom w:w="0" w:type="dxa"/>
                    <w:right w:w="0" w:type="dxa"/>
                  </w:tcMar>
                  <w:vAlign w:val="center"/>
                </w:tcPr>
                <w:p w14:paraId="0D1ED41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昼间</w:t>
                  </w:r>
                </w:p>
              </w:tc>
              <w:tc>
                <w:tcPr>
                  <w:tcW w:w="609" w:type="dxa"/>
                  <w:shd w:val="clear" w:color="auto" w:fill="FFFFFF"/>
                  <w:tcMar>
                    <w:top w:w="0" w:type="dxa"/>
                    <w:left w:w="0" w:type="dxa"/>
                    <w:bottom w:w="0" w:type="dxa"/>
                    <w:right w:w="0" w:type="dxa"/>
                  </w:tcMar>
                  <w:vAlign w:val="center"/>
                </w:tcPr>
                <w:p w14:paraId="0BDDA0BC">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14BBAE63">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565BD4D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47AD52D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49" w:type="dxa"/>
                  <w:shd w:val="clear" w:color="auto" w:fill="FFFFFF"/>
                  <w:tcMar>
                    <w:top w:w="0" w:type="dxa"/>
                    <w:left w:w="0" w:type="dxa"/>
                    <w:bottom w:w="0" w:type="dxa"/>
                    <w:right w:w="0" w:type="dxa"/>
                  </w:tcMar>
                  <w:vAlign w:val="center"/>
                </w:tcPr>
                <w:p w14:paraId="29C8C75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43.9</w:t>
                  </w:r>
                </w:p>
              </w:tc>
              <w:tc>
                <w:tcPr>
                  <w:tcW w:w="649" w:type="dxa"/>
                  <w:shd w:val="clear" w:color="auto" w:fill="FFFFFF"/>
                  <w:tcMar>
                    <w:top w:w="0" w:type="dxa"/>
                    <w:left w:w="0" w:type="dxa"/>
                    <w:bottom w:w="0" w:type="dxa"/>
                    <w:right w:w="0" w:type="dxa"/>
                  </w:tcMar>
                  <w:vAlign w:val="center"/>
                </w:tcPr>
                <w:p w14:paraId="120D16A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38.6</w:t>
                  </w:r>
                </w:p>
              </w:tc>
              <w:tc>
                <w:tcPr>
                  <w:tcW w:w="649" w:type="dxa"/>
                  <w:shd w:val="clear" w:color="auto" w:fill="FFFFFF"/>
                  <w:tcMar>
                    <w:top w:w="0" w:type="dxa"/>
                    <w:left w:w="0" w:type="dxa"/>
                    <w:bottom w:w="0" w:type="dxa"/>
                    <w:right w:w="0" w:type="dxa"/>
                  </w:tcMar>
                  <w:vAlign w:val="center"/>
                </w:tcPr>
                <w:p w14:paraId="76E19A1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30.1</w:t>
                  </w:r>
                </w:p>
              </w:tc>
              <w:tc>
                <w:tcPr>
                  <w:tcW w:w="650" w:type="dxa"/>
                  <w:shd w:val="clear" w:color="auto" w:fill="FFFFFF"/>
                  <w:tcMar>
                    <w:top w:w="0" w:type="dxa"/>
                    <w:left w:w="0" w:type="dxa"/>
                    <w:bottom w:w="0" w:type="dxa"/>
                    <w:right w:w="0" w:type="dxa"/>
                  </w:tcMar>
                  <w:vAlign w:val="center"/>
                </w:tcPr>
                <w:p w14:paraId="5CC0E42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33.5</w:t>
                  </w:r>
                </w:p>
              </w:tc>
              <w:tc>
                <w:tcPr>
                  <w:tcW w:w="898" w:type="dxa"/>
                  <w:shd w:val="clear" w:color="auto" w:fill="FFFFFF"/>
                  <w:tcMar>
                    <w:top w:w="0" w:type="dxa"/>
                    <w:left w:w="0" w:type="dxa"/>
                    <w:bottom w:w="0" w:type="dxa"/>
                    <w:right w:w="0" w:type="dxa"/>
                  </w:tcMar>
                  <w:vAlign w:val="center"/>
                </w:tcPr>
                <w:p w14:paraId="1E165F3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w:t>
                  </w:r>
                </w:p>
              </w:tc>
            </w:tr>
            <w:tr w14:paraId="7ADC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87" w:type="dxa"/>
                  <w:shd w:val="clear" w:color="auto" w:fill="FFFFFF"/>
                  <w:tcMar>
                    <w:top w:w="0" w:type="dxa"/>
                    <w:left w:w="0" w:type="dxa"/>
                    <w:bottom w:w="0" w:type="dxa"/>
                    <w:right w:w="0" w:type="dxa"/>
                  </w:tcMar>
                  <w:vAlign w:val="center"/>
                </w:tcPr>
                <w:p w14:paraId="56DBA674">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w:t>
                  </w:r>
                </w:p>
              </w:tc>
              <w:tc>
                <w:tcPr>
                  <w:tcW w:w="795" w:type="dxa"/>
                  <w:shd w:val="clear" w:color="auto" w:fill="FFFFFF"/>
                  <w:tcMar>
                    <w:top w:w="0" w:type="dxa"/>
                    <w:left w:w="0" w:type="dxa"/>
                    <w:bottom w:w="0" w:type="dxa"/>
                    <w:right w:w="0" w:type="dxa"/>
                  </w:tcMar>
                  <w:vAlign w:val="center"/>
                </w:tcPr>
                <w:p w14:paraId="4372AFF8">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抛丸机</w:t>
                  </w:r>
                </w:p>
              </w:tc>
              <w:tc>
                <w:tcPr>
                  <w:tcW w:w="866" w:type="dxa"/>
                  <w:shd w:val="clear" w:color="auto" w:fill="FFFFFF"/>
                  <w:tcMar>
                    <w:top w:w="0" w:type="dxa"/>
                    <w:left w:w="0" w:type="dxa"/>
                    <w:bottom w:w="0" w:type="dxa"/>
                    <w:right w:w="0" w:type="dxa"/>
                  </w:tcMar>
                  <w:vAlign w:val="center"/>
                </w:tcPr>
                <w:p w14:paraId="745D5E8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85</w:t>
                  </w:r>
                </w:p>
              </w:tc>
              <w:tc>
                <w:tcPr>
                  <w:tcW w:w="717" w:type="dxa"/>
                  <w:shd w:val="clear" w:color="auto" w:fill="FFFFFF"/>
                  <w:tcMar>
                    <w:top w:w="0" w:type="dxa"/>
                    <w:left w:w="0" w:type="dxa"/>
                    <w:bottom w:w="0" w:type="dxa"/>
                    <w:right w:w="0" w:type="dxa"/>
                  </w:tcMar>
                  <w:vAlign w:val="center"/>
                </w:tcPr>
                <w:p w14:paraId="3D3800B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35.8</w:t>
                  </w:r>
                </w:p>
              </w:tc>
              <w:tc>
                <w:tcPr>
                  <w:tcW w:w="717" w:type="dxa"/>
                  <w:shd w:val="clear" w:color="auto" w:fill="FFFFFF"/>
                  <w:tcMar>
                    <w:top w:w="0" w:type="dxa"/>
                    <w:left w:w="0" w:type="dxa"/>
                    <w:bottom w:w="0" w:type="dxa"/>
                    <w:right w:w="0" w:type="dxa"/>
                  </w:tcMar>
                  <w:vAlign w:val="center"/>
                </w:tcPr>
                <w:p w14:paraId="7CC2D60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12.4</w:t>
                  </w:r>
                </w:p>
              </w:tc>
              <w:tc>
                <w:tcPr>
                  <w:tcW w:w="717" w:type="dxa"/>
                  <w:shd w:val="clear" w:color="auto" w:fill="FFFFFF"/>
                  <w:tcMar>
                    <w:top w:w="0" w:type="dxa"/>
                    <w:left w:w="0" w:type="dxa"/>
                    <w:bottom w:w="0" w:type="dxa"/>
                    <w:right w:w="0" w:type="dxa"/>
                  </w:tcMar>
                  <w:vAlign w:val="center"/>
                </w:tcPr>
                <w:p w14:paraId="2FC79B04">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1.2</w:t>
                  </w:r>
                </w:p>
              </w:tc>
              <w:tc>
                <w:tcPr>
                  <w:tcW w:w="639" w:type="dxa"/>
                  <w:shd w:val="clear" w:color="auto" w:fill="FFFFFF"/>
                  <w:tcMar>
                    <w:top w:w="0" w:type="dxa"/>
                    <w:left w:w="0" w:type="dxa"/>
                    <w:bottom w:w="0" w:type="dxa"/>
                    <w:right w:w="0" w:type="dxa"/>
                  </w:tcMar>
                  <w:vAlign w:val="center"/>
                </w:tcPr>
                <w:p w14:paraId="0367E8D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1.8</w:t>
                  </w:r>
                </w:p>
              </w:tc>
              <w:tc>
                <w:tcPr>
                  <w:tcW w:w="639" w:type="dxa"/>
                  <w:shd w:val="clear" w:color="auto" w:fill="FFFFFF"/>
                  <w:tcMar>
                    <w:top w:w="0" w:type="dxa"/>
                    <w:left w:w="0" w:type="dxa"/>
                    <w:bottom w:w="0" w:type="dxa"/>
                    <w:right w:w="0" w:type="dxa"/>
                  </w:tcMar>
                  <w:vAlign w:val="center"/>
                </w:tcPr>
                <w:p w14:paraId="181F5784">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2.6</w:t>
                  </w:r>
                </w:p>
              </w:tc>
              <w:tc>
                <w:tcPr>
                  <w:tcW w:w="639" w:type="dxa"/>
                  <w:shd w:val="clear" w:color="auto" w:fill="FFFFFF"/>
                  <w:tcMar>
                    <w:top w:w="0" w:type="dxa"/>
                    <w:left w:w="0" w:type="dxa"/>
                    <w:bottom w:w="0" w:type="dxa"/>
                    <w:right w:w="0" w:type="dxa"/>
                  </w:tcMar>
                  <w:vAlign w:val="center"/>
                </w:tcPr>
                <w:p w14:paraId="7D269C3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70.7</w:t>
                  </w:r>
                </w:p>
              </w:tc>
              <w:tc>
                <w:tcPr>
                  <w:tcW w:w="640" w:type="dxa"/>
                  <w:shd w:val="clear" w:color="auto" w:fill="FFFFFF"/>
                  <w:tcMar>
                    <w:top w:w="0" w:type="dxa"/>
                    <w:left w:w="0" w:type="dxa"/>
                    <w:bottom w:w="0" w:type="dxa"/>
                    <w:right w:w="0" w:type="dxa"/>
                  </w:tcMar>
                  <w:vAlign w:val="center"/>
                </w:tcPr>
                <w:p w14:paraId="4CA92BC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16.5</w:t>
                  </w:r>
                </w:p>
              </w:tc>
              <w:tc>
                <w:tcPr>
                  <w:tcW w:w="631" w:type="dxa"/>
                  <w:shd w:val="clear" w:color="auto" w:fill="FFFFFF"/>
                  <w:tcMar>
                    <w:top w:w="0" w:type="dxa"/>
                    <w:left w:w="0" w:type="dxa"/>
                    <w:bottom w:w="0" w:type="dxa"/>
                    <w:right w:w="0" w:type="dxa"/>
                  </w:tcMar>
                  <w:vAlign w:val="center"/>
                </w:tcPr>
                <w:p w14:paraId="5A530EA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62.9</w:t>
                  </w:r>
                </w:p>
              </w:tc>
              <w:tc>
                <w:tcPr>
                  <w:tcW w:w="631" w:type="dxa"/>
                  <w:shd w:val="clear" w:color="auto" w:fill="FFFFFF"/>
                  <w:tcMar>
                    <w:top w:w="0" w:type="dxa"/>
                    <w:left w:w="0" w:type="dxa"/>
                    <w:bottom w:w="0" w:type="dxa"/>
                    <w:right w:w="0" w:type="dxa"/>
                  </w:tcMar>
                  <w:vAlign w:val="center"/>
                </w:tcPr>
                <w:p w14:paraId="1FD892D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61.4</w:t>
                  </w:r>
                </w:p>
              </w:tc>
              <w:tc>
                <w:tcPr>
                  <w:tcW w:w="631" w:type="dxa"/>
                  <w:shd w:val="clear" w:color="auto" w:fill="FFFFFF"/>
                  <w:tcMar>
                    <w:top w:w="0" w:type="dxa"/>
                    <w:left w:w="0" w:type="dxa"/>
                    <w:bottom w:w="0" w:type="dxa"/>
                    <w:right w:w="0" w:type="dxa"/>
                  </w:tcMar>
                  <w:vAlign w:val="center"/>
                </w:tcPr>
                <w:p w14:paraId="5E385263">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44.2</w:t>
                  </w:r>
                </w:p>
              </w:tc>
              <w:tc>
                <w:tcPr>
                  <w:tcW w:w="633" w:type="dxa"/>
                  <w:shd w:val="clear" w:color="auto" w:fill="FFFFFF"/>
                  <w:tcMar>
                    <w:top w:w="0" w:type="dxa"/>
                    <w:left w:w="0" w:type="dxa"/>
                    <w:bottom w:w="0" w:type="dxa"/>
                    <w:right w:w="0" w:type="dxa"/>
                  </w:tcMar>
                  <w:vAlign w:val="center"/>
                </w:tcPr>
                <w:p w14:paraId="3F0066D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51.9</w:t>
                  </w:r>
                </w:p>
              </w:tc>
              <w:tc>
                <w:tcPr>
                  <w:tcW w:w="547" w:type="dxa"/>
                  <w:shd w:val="clear" w:color="auto" w:fill="FFFFFF"/>
                  <w:tcMar>
                    <w:top w:w="0" w:type="dxa"/>
                    <w:left w:w="0" w:type="dxa"/>
                    <w:bottom w:w="0" w:type="dxa"/>
                    <w:right w:w="0" w:type="dxa"/>
                  </w:tcMar>
                  <w:vAlign w:val="center"/>
                </w:tcPr>
                <w:p w14:paraId="6938E38E">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昼间</w:t>
                  </w:r>
                </w:p>
              </w:tc>
              <w:tc>
                <w:tcPr>
                  <w:tcW w:w="609" w:type="dxa"/>
                  <w:shd w:val="clear" w:color="auto" w:fill="FFFFFF"/>
                  <w:tcMar>
                    <w:top w:w="0" w:type="dxa"/>
                    <w:left w:w="0" w:type="dxa"/>
                    <w:bottom w:w="0" w:type="dxa"/>
                    <w:right w:w="0" w:type="dxa"/>
                  </w:tcMar>
                  <w:vAlign w:val="center"/>
                </w:tcPr>
                <w:p w14:paraId="2F325FC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255002E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4C6CCE6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2B212F53">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49" w:type="dxa"/>
                  <w:shd w:val="clear" w:color="auto" w:fill="FFFFFF"/>
                  <w:tcMar>
                    <w:top w:w="0" w:type="dxa"/>
                    <w:left w:w="0" w:type="dxa"/>
                    <w:bottom w:w="0" w:type="dxa"/>
                    <w:right w:w="0" w:type="dxa"/>
                  </w:tcMar>
                  <w:vAlign w:val="center"/>
                </w:tcPr>
                <w:p w14:paraId="2CF638B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47.9</w:t>
                  </w:r>
                </w:p>
              </w:tc>
              <w:tc>
                <w:tcPr>
                  <w:tcW w:w="649" w:type="dxa"/>
                  <w:shd w:val="clear" w:color="auto" w:fill="FFFFFF"/>
                  <w:tcMar>
                    <w:top w:w="0" w:type="dxa"/>
                    <w:left w:w="0" w:type="dxa"/>
                    <w:bottom w:w="0" w:type="dxa"/>
                    <w:right w:w="0" w:type="dxa"/>
                  </w:tcMar>
                  <w:vAlign w:val="center"/>
                </w:tcPr>
                <w:p w14:paraId="16589BA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46.4</w:t>
                  </w:r>
                </w:p>
              </w:tc>
              <w:tc>
                <w:tcPr>
                  <w:tcW w:w="649" w:type="dxa"/>
                  <w:shd w:val="clear" w:color="auto" w:fill="FFFFFF"/>
                  <w:tcMar>
                    <w:top w:w="0" w:type="dxa"/>
                    <w:left w:w="0" w:type="dxa"/>
                    <w:bottom w:w="0" w:type="dxa"/>
                    <w:right w:w="0" w:type="dxa"/>
                  </w:tcMar>
                  <w:vAlign w:val="center"/>
                </w:tcPr>
                <w:p w14:paraId="4490386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29.2</w:t>
                  </w:r>
                </w:p>
              </w:tc>
              <w:tc>
                <w:tcPr>
                  <w:tcW w:w="650" w:type="dxa"/>
                  <w:shd w:val="clear" w:color="auto" w:fill="FFFFFF"/>
                  <w:tcMar>
                    <w:top w:w="0" w:type="dxa"/>
                    <w:left w:w="0" w:type="dxa"/>
                    <w:bottom w:w="0" w:type="dxa"/>
                    <w:right w:w="0" w:type="dxa"/>
                  </w:tcMar>
                  <w:vAlign w:val="center"/>
                </w:tcPr>
                <w:p w14:paraId="2C94D84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36.9</w:t>
                  </w:r>
                </w:p>
              </w:tc>
              <w:tc>
                <w:tcPr>
                  <w:tcW w:w="898" w:type="dxa"/>
                  <w:shd w:val="clear" w:color="auto" w:fill="FFFFFF"/>
                  <w:tcMar>
                    <w:top w:w="0" w:type="dxa"/>
                    <w:left w:w="0" w:type="dxa"/>
                    <w:bottom w:w="0" w:type="dxa"/>
                    <w:right w:w="0" w:type="dxa"/>
                  </w:tcMar>
                  <w:vAlign w:val="center"/>
                </w:tcPr>
                <w:p w14:paraId="67A7325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w:t>
                  </w:r>
                </w:p>
              </w:tc>
            </w:tr>
            <w:tr w14:paraId="1EF6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87" w:type="dxa"/>
                  <w:shd w:val="clear" w:color="auto" w:fill="FFFFFF"/>
                  <w:tcMar>
                    <w:top w:w="0" w:type="dxa"/>
                    <w:left w:w="0" w:type="dxa"/>
                    <w:bottom w:w="0" w:type="dxa"/>
                    <w:right w:w="0" w:type="dxa"/>
                  </w:tcMar>
                  <w:vAlign w:val="center"/>
                </w:tcPr>
                <w:p w14:paraId="4ECC094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w:t>
                  </w:r>
                </w:p>
              </w:tc>
              <w:tc>
                <w:tcPr>
                  <w:tcW w:w="795" w:type="dxa"/>
                  <w:shd w:val="clear" w:color="auto" w:fill="FFFFFF"/>
                  <w:tcMar>
                    <w:top w:w="0" w:type="dxa"/>
                    <w:left w:w="0" w:type="dxa"/>
                    <w:bottom w:w="0" w:type="dxa"/>
                    <w:right w:w="0" w:type="dxa"/>
                  </w:tcMar>
                  <w:vAlign w:val="center"/>
                </w:tcPr>
                <w:p w14:paraId="62157E79">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纯水机</w:t>
                  </w:r>
                </w:p>
              </w:tc>
              <w:tc>
                <w:tcPr>
                  <w:tcW w:w="866" w:type="dxa"/>
                  <w:shd w:val="clear" w:color="auto" w:fill="FFFFFF"/>
                  <w:tcMar>
                    <w:top w:w="0" w:type="dxa"/>
                    <w:left w:w="0" w:type="dxa"/>
                    <w:bottom w:w="0" w:type="dxa"/>
                    <w:right w:w="0" w:type="dxa"/>
                  </w:tcMar>
                  <w:vAlign w:val="center"/>
                </w:tcPr>
                <w:p w14:paraId="3D1FCC5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75</w:t>
                  </w:r>
                </w:p>
              </w:tc>
              <w:tc>
                <w:tcPr>
                  <w:tcW w:w="717" w:type="dxa"/>
                  <w:shd w:val="clear" w:color="auto" w:fill="FFFFFF"/>
                  <w:tcMar>
                    <w:top w:w="0" w:type="dxa"/>
                    <w:left w:w="0" w:type="dxa"/>
                    <w:bottom w:w="0" w:type="dxa"/>
                    <w:right w:w="0" w:type="dxa"/>
                  </w:tcMar>
                  <w:vAlign w:val="center"/>
                </w:tcPr>
                <w:p w14:paraId="7ACE38C7">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-29.4</w:t>
                  </w:r>
                </w:p>
              </w:tc>
              <w:tc>
                <w:tcPr>
                  <w:tcW w:w="717" w:type="dxa"/>
                  <w:shd w:val="clear" w:color="auto" w:fill="FFFFFF"/>
                  <w:tcMar>
                    <w:top w:w="0" w:type="dxa"/>
                    <w:left w:w="0" w:type="dxa"/>
                    <w:bottom w:w="0" w:type="dxa"/>
                    <w:right w:w="0" w:type="dxa"/>
                  </w:tcMar>
                  <w:vAlign w:val="center"/>
                </w:tcPr>
                <w:p w14:paraId="7ECB269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-11.6</w:t>
                  </w:r>
                </w:p>
              </w:tc>
              <w:tc>
                <w:tcPr>
                  <w:tcW w:w="717" w:type="dxa"/>
                  <w:shd w:val="clear" w:color="auto" w:fill="FFFFFF"/>
                  <w:tcMar>
                    <w:top w:w="0" w:type="dxa"/>
                    <w:left w:w="0" w:type="dxa"/>
                    <w:bottom w:w="0" w:type="dxa"/>
                    <w:right w:w="0" w:type="dxa"/>
                  </w:tcMar>
                  <w:vAlign w:val="center"/>
                </w:tcPr>
                <w:p w14:paraId="2A2CDE40">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w:t>
                  </w:r>
                </w:p>
              </w:tc>
              <w:tc>
                <w:tcPr>
                  <w:tcW w:w="639" w:type="dxa"/>
                  <w:shd w:val="clear" w:color="auto" w:fill="FFFFFF"/>
                  <w:tcMar>
                    <w:top w:w="0" w:type="dxa"/>
                    <w:left w:w="0" w:type="dxa"/>
                    <w:bottom w:w="0" w:type="dxa"/>
                    <w:right w:w="0" w:type="dxa"/>
                  </w:tcMar>
                  <w:vAlign w:val="center"/>
                </w:tcPr>
                <w:p w14:paraId="77D56143">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67.3</w:t>
                  </w:r>
                </w:p>
              </w:tc>
              <w:tc>
                <w:tcPr>
                  <w:tcW w:w="639" w:type="dxa"/>
                  <w:shd w:val="clear" w:color="auto" w:fill="FFFFFF"/>
                  <w:tcMar>
                    <w:top w:w="0" w:type="dxa"/>
                    <w:left w:w="0" w:type="dxa"/>
                    <w:bottom w:w="0" w:type="dxa"/>
                    <w:right w:w="0" w:type="dxa"/>
                  </w:tcMar>
                  <w:vAlign w:val="center"/>
                </w:tcPr>
                <w:p w14:paraId="0926B69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17.4</w:t>
                  </w:r>
                </w:p>
              </w:tc>
              <w:tc>
                <w:tcPr>
                  <w:tcW w:w="639" w:type="dxa"/>
                  <w:shd w:val="clear" w:color="auto" w:fill="FFFFFF"/>
                  <w:tcMar>
                    <w:top w:w="0" w:type="dxa"/>
                    <w:left w:w="0" w:type="dxa"/>
                    <w:bottom w:w="0" w:type="dxa"/>
                    <w:right w:w="0" w:type="dxa"/>
                  </w:tcMar>
                  <w:vAlign w:val="center"/>
                </w:tcPr>
                <w:p w14:paraId="6B36374A">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5.7</w:t>
                  </w:r>
                </w:p>
              </w:tc>
              <w:tc>
                <w:tcPr>
                  <w:tcW w:w="640" w:type="dxa"/>
                  <w:shd w:val="clear" w:color="auto" w:fill="FFFFFF"/>
                  <w:tcMar>
                    <w:top w:w="0" w:type="dxa"/>
                    <w:left w:w="0" w:type="dxa"/>
                    <w:bottom w:w="0" w:type="dxa"/>
                    <w:right w:w="0" w:type="dxa"/>
                  </w:tcMar>
                  <w:vAlign w:val="center"/>
                </w:tcPr>
                <w:p w14:paraId="43844A9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41.3</w:t>
                  </w:r>
                </w:p>
              </w:tc>
              <w:tc>
                <w:tcPr>
                  <w:tcW w:w="631" w:type="dxa"/>
                  <w:shd w:val="clear" w:color="auto" w:fill="FFFFFF"/>
                  <w:tcMar>
                    <w:top w:w="0" w:type="dxa"/>
                    <w:left w:w="0" w:type="dxa"/>
                    <w:bottom w:w="0" w:type="dxa"/>
                    <w:right w:w="0" w:type="dxa"/>
                  </w:tcMar>
                  <w:vAlign w:val="center"/>
                </w:tcPr>
                <w:p w14:paraId="4944960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42.9</w:t>
                  </w:r>
                </w:p>
              </w:tc>
              <w:tc>
                <w:tcPr>
                  <w:tcW w:w="631" w:type="dxa"/>
                  <w:shd w:val="clear" w:color="auto" w:fill="FFFFFF"/>
                  <w:tcMar>
                    <w:top w:w="0" w:type="dxa"/>
                    <w:left w:w="0" w:type="dxa"/>
                    <w:bottom w:w="0" w:type="dxa"/>
                    <w:right w:w="0" w:type="dxa"/>
                  </w:tcMar>
                  <w:vAlign w:val="center"/>
                </w:tcPr>
                <w:p w14:paraId="6660035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46.8</w:t>
                  </w:r>
                </w:p>
              </w:tc>
              <w:tc>
                <w:tcPr>
                  <w:tcW w:w="631" w:type="dxa"/>
                  <w:shd w:val="clear" w:color="auto" w:fill="FFFFFF"/>
                  <w:tcMar>
                    <w:top w:w="0" w:type="dxa"/>
                    <w:left w:w="0" w:type="dxa"/>
                    <w:bottom w:w="0" w:type="dxa"/>
                    <w:right w:w="0" w:type="dxa"/>
                  </w:tcMar>
                  <w:vAlign w:val="center"/>
                </w:tcPr>
                <w:p w14:paraId="2A97C38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57.9</w:t>
                  </w:r>
                </w:p>
              </w:tc>
              <w:tc>
                <w:tcPr>
                  <w:tcW w:w="633" w:type="dxa"/>
                  <w:shd w:val="clear" w:color="auto" w:fill="FFFFFF"/>
                  <w:tcMar>
                    <w:top w:w="0" w:type="dxa"/>
                    <w:left w:w="0" w:type="dxa"/>
                    <w:bottom w:w="0" w:type="dxa"/>
                    <w:right w:w="0" w:type="dxa"/>
                  </w:tcMar>
                  <w:vAlign w:val="center"/>
                </w:tcPr>
                <w:p w14:paraId="0EA9F17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42.1</w:t>
                  </w:r>
                </w:p>
              </w:tc>
              <w:tc>
                <w:tcPr>
                  <w:tcW w:w="547" w:type="dxa"/>
                  <w:shd w:val="clear" w:color="auto" w:fill="FFFFFF"/>
                  <w:tcMar>
                    <w:top w:w="0" w:type="dxa"/>
                    <w:left w:w="0" w:type="dxa"/>
                    <w:bottom w:w="0" w:type="dxa"/>
                    <w:right w:w="0" w:type="dxa"/>
                  </w:tcMar>
                  <w:vAlign w:val="center"/>
                </w:tcPr>
                <w:p w14:paraId="6D0A2BA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昼间</w:t>
                  </w:r>
                </w:p>
              </w:tc>
              <w:tc>
                <w:tcPr>
                  <w:tcW w:w="609" w:type="dxa"/>
                  <w:shd w:val="clear" w:color="auto" w:fill="FFFFFF"/>
                  <w:tcMar>
                    <w:top w:w="0" w:type="dxa"/>
                    <w:left w:w="0" w:type="dxa"/>
                    <w:bottom w:w="0" w:type="dxa"/>
                    <w:right w:w="0" w:type="dxa"/>
                  </w:tcMar>
                  <w:vAlign w:val="center"/>
                </w:tcPr>
                <w:p w14:paraId="61566EAF">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0F4BB512">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4274B36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09" w:type="dxa"/>
                  <w:shd w:val="clear" w:color="auto" w:fill="FFFFFF"/>
                  <w:tcMar>
                    <w:top w:w="0" w:type="dxa"/>
                    <w:left w:w="0" w:type="dxa"/>
                    <w:bottom w:w="0" w:type="dxa"/>
                    <w:right w:w="0" w:type="dxa"/>
                  </w:tcMar>
                  <w:vAlign w:val="center"/>
                </w:tcPr>
                <w:p w14:paraId="6CDE582D">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15</w:t>
                  </w:r>
                </w:p>
              </w:tc>
              <w:tc>
                <w:tcPr>
                  <w:tcW w:w="649" w:type="dxa"/>
                  <w:shd w:val="clear" w:color="auto" w:fill="FFFFFF"/>
                  <w:tcMar>
                    <w:top w:w="0" w:type="dxa"/>
                    <w:left w:w="0" w:type="dxa"/>
                    <w:bottom w:w="0" w:type="dxa"/>
                    <w:right w:w="0" w:type="dxa"/>
                  </w:tcMar>
                  <w:vAlign w:val="center"/>
                </w:tcPr>
                <w:p w14:paraId="63CAB2D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27.9</w:t>
                  </w:r>
                </w:p>
              </w:tc>
              <w:tc>
                <w:tcPr>
                  <w:tcW w:w="649" w:type="dxa"/>
                  <w:shd w:val="clear" w:color="auto" w:fill="FFFFFF"/>
                  <w:tcMar>
                    <w:top w:w="0" w:type="dxa"/>
                    <w:left w:w="0" w:type="dxa"/>
                    <w:bottom w:w="0" w:type="dxa"/>
                    <w:right w:w="0" w:type="dxa"/>
                  </w:tcMar>
                  <w:vAlign w:val="center"/>
                </w:tcPr>
                <w:p w14:paraId="1A02FD44">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31.8</w:t>
                  </w:r>
                </w:p>
              </w:tc>
              <w:tc>
                <w:tcPr>
                  <w:tcW w:w="649" w:type="dxa"/>
                  <w:shd w:val="clear" w:color="auto" w:fill="FFFFFF"/>
                  <w:tcMar>
                    <w:top w:w="0" w:type="dxa"/>
                    <w:left w:w="0" w:type="dxa"/>
                    <w:bottom w:w="0" w:type="dxa"/>
                    <w:right w:w="0" w:type="dxa"/>
                  </w:tcMar>
                  <w:vAlign w:val="center"/>
                </w:tcPr>
                <w:p w14:paraId="3945EF61">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42.9</w:t>
                  </w:r>
                </w:p>
              </w:tc>
              <w:tc>
                <w:tcPr>
                  <w:tcW w:w="650" w:type="dxa"/>
                  <w:shd w:val="clear" w:color="auto" w:fill="FFFFFF"/>
                  <w:tcMar>
                    <w:top w:w="0" w:type="dxa"/>
                    <w:left w:w="0" w:type="dxa"/>
                    <w:bottom w:w="0" w:type="dxa"/>
                    <w:right w:w="0" w:type="dxa"/>
                  </w:tcMar>
                  <w:vAlign w:val="center"/>
                </w:tcPr>
                <w:p w14:paraId="5CAD2CA6">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27.1</w:t>
                  </w:r>
                </w:p>
              </w:tc>
              <w:tc>
                <w:tcPr>
                  <w:tcW w:w="898" w:type="dxa"/>
                  <w:shd w:val="clear" w:color="auto" w:fill="FFFFFF"/>
                  <w:tcMar>
                    <w:top w:w="0" w:type="dxa"/>
                    <w:left w:w="0" w:type="dxa"/>
                    <w:bottom w:w="0" w:type="dxa"/>
                    <w:right w:w="0" w:type="dxa"/>
                  </w:tcMar>
                  <w:vAlign w:val="center"/>
                </w:tcPr>
                <w:p w14:paraId="1087C6C5">
                  <w:pPr>
                    <w:keepNext w:val="0"/>
                    <w:keepLines w:val="0"/>
                    <w:pageBreakBefore w:val="0"/>
                    <w:widowControl/>
                    <w:wordWrap/>
                    <w:overflowPunct/>
                    <w:topLinePunct w:val="0"/>
                    <w:autoSpaceDE w:val="0"/>
                    <w:autoSpaceDN w:val="0"/>
                    <w:adjustRightInd/>
                    <w:snapToGrid/>
                    <w:spacing w:line="160" w:lineRule="atLeast"/>
                    <w:jc w:val="center"/>
                    <w:textAlignment w:val="baseline"/>
                    <w:rPr>
                      <w:rFonts w:hint="default" w:ascii="Times New Roman" w:hAnsi="Times New Roman" w:eastAsia="宋体" w:cs="Times New Roman"/>
                    </w:rPr>
                  </w:pPr>
                  <w:r>
                    <w:rPr>
                      <w:rFonts w:hint="default" w:ascii="Times New Roman" w:hAnsi="Times New Roman" w:eastAsia="宋体" w:cs="Times New Roman"/>
                      <w:lang w:val="en-US" w:eastAsia="zh-CN"/>
                    </w:rPr>
                    <w:t>1.0</w:t>
                  </w:r>
                </w:p>
              </w:tc>
            </w:tr>
            <w:tr w14:paraId="5282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5860" w:type="dxa"/>
                  <w:gridSpan w:val="24"/>
                  <w:shd w:val="clear" w:color="auto" w:fill="FFFFFF"/>
                  <w:tcMar>
                    <w:top w:w="0" w:type="dxa"/>
                    <w:left w:w="0" w:type="dxa"/>
                    <w:bottom w:w="0" w:type="dxa"/>
                    <w:right w:w="0" w:type="dxa"/>
                  </w:tcMar>
                  <w:vAlign w:val="center"/>
                </w:tcPr>
                <w:p w14:paraId="7D402A0B">
                  <w:pPr>
                    <w:keepNext w:val="0"/>
                    <w:keepLines w:val="0"/>
                    <w:pageBreakBefore w:val="0"/>
                    <w:widowControl/>
                    <w:wordWrap/>
                    <w:overflowPunct/>
                    <w:topLinePunct w:val="0"/>
                    <w:autoSpaceDE w:val="0"/>
                    <w:autoSpaceDN w:val="0"/>
                    <w:adjustRightInd/>
                    <w:snapToGrid/>
                    <w:spacing w:line="160" w:lineRule="atLeast"/>
                    <w:jc w:val="center"/>
                    <w:textAlignment w:val="baseline"/>
                    <w:rPr>
                      <w:rFonts w:ascii="Times New Roman" w:hAnsi="Times New Roman" w:eastAsia="宋体" w:cs="Times New Roman"/>
                      <w:lang w:eastAsia="zh-CN"/>
                    </w:rPr>
                  </w:pPr>
                  <w:r>
                    <w:rPr>
                      <w:rFonts w:hint="eastAsia" w:ascii="Times New Roman" w:hAnsi="Times New Roman" w:eastAsia="宋体" w:cs="Times New Roman"/>
                      <w:lang w:eastAsia="zh-CN"/>
                    </w:rPr>
                    <w:t>注：</w:t>
                  </w:r>
                  <w:r>
                    <w:rPr>
                      <w:rFonts w:ascii="Times New Roman" w:hAnsi="Times New Roman" w:eastAsia="宋体" w:cs="Times New Roman"/>
                      <w:bCs/>
                      <w:lang w:eastAsia="zh-CN"/>
                    </w:rPr>
                    <w:t>表中坐标以厂界中心（</w:t>
                  </w:r>
                  <w:r>
                    <w:rPr>
                      <w:rFonts w:hint="default" w:ascii="Times New Roman" w:hAnsi="Times New Roman" w:eastAsia="宋体" w:cs="Times New Roman"/>
                      <w:sz w:val="21"/>
                      <w:szCs w:val="21"/>
                    </w:rPr>
                    <w:t>117°9′11.52477″，34°4′29.55901″</w:t>
                  </w:r>
                  <w:r>
                    <w:rPr>
                      <w:rFonts w:ascii="Times New Roman" w:hAnsi="Times New Roman" w:eastAsia="宋体" w:cs="Times New Roman"/>
                      <w:bCs/>
                      <w:lang w:eastAsia="zh-CN"/>
                    </w:rPr>
                    <w:t>）为坐标原点，正东向为X轴正方向，正北向为Y轴正方向</w:t>
                  </w:r>
                </w:p>
              </w:tc>
            </w:tr>
            <w:bookmarkEnd w:id="23"/>
          </w:tbl>
          <w:p w14:paraId="7DD5D0FE">
            <w:pPr>
              <w:kinsoku/>
              <w:rPr>
                <w:color w:val="E54C5E" w:themeColor="accent6"/>
                <w:lang w:eastAsia="zh-CN"/>
                <w14:textFill>
                  <w14:solidFill>
                    <w14:schemeClr w14:val="accent6"/>
                  </w14:solidFill>
                </w14:textFill>
              </w:rPr>
            </w:pPr>
          </w:p>
        </w:tc>
      </w:tr>
    </w:tbl>
    <w:p w14:paraId="5EE209BF">
      <w:pPr>
        <w:rPr>
          <w:lang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0087"/>
      </w:tblGrid>
      <w:tr w14:paraId="6702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3" w:hRule="atLeast"/>
          <w:jc w:val="center"/>
        </w:trPr>
        <w:tc>
          <w:tcPr>
            <w:tcW w:w="505" w:type="dxa"/>
            <w:vAlign w:val="top"/>
          </w:tcPr>
          <w:p w14:paraId="209CBD7B">
            <w:pPr>
              <w:pStyle w:val="33"/>
              <w:numPr>
                <w:ilvl w:val="1"/>
                <w:numId w:val="0"/>
              </w:numPr>
              <w:kinsoku/>
              <w:rPr>
                <w:rFonts w:ascii="Times New Roman" w:hAnsi="Times New Roman" w:cs="Times New Roman"/>
                <w:lang w:eastAsia="zh-CN"/>
              </w:rPr>
            </w:pPr>
          </w:p>
        </w:tc>
        <w:tc>
          <w:tcPr>
            <w:tcW w:w="8556" w:type="dxa"/>
            <w:vAlign w:val="top"/>
          </w:tcPr>
          <w:p w14:paraId="030F45A6">
            <w:pPr>
              <w:pStyle w:val="61"/>
              <w:kinsoku/>
              <w:adjustRightInd/>
              <w:snapToGrid/>
              <w:spacing w:before="0" w:line="360" w:lineRule="auto"/>
              <w:ind w:firstLine="0"/>
              <w:rPr>
                <w:rFonts w:ascii="Times New Roman" w:hAnsi="Times New Roman" w:eastAsia="宋体" w:cs="Times New Roman"/>
                <w:b/>
                <w:bCs/>
                <w:kern w:val="2"/>
                <w:sz w:val="24"/>
                <w:lang w:eastAsia="zh-CN"/>
              </w:rPr>
            </w:pPr>
            <w:r>
              <w:rPr>
                <w:rFonts w:ascii="Times New Roman" w:hAnsi="Times New Roman" w:eastAsia="宋体" w:cs="Times New Roman"/>
                <w:b/>
                <w:bCs/>
                <w:kern w:val="2"/>
                <w:sz w:val="24"/>
                <w:lang w:eastAsia="zh-CN"/>
              </w:rPr>
              <w:t>2、厂界达标情况分析</w:t>
            </w:r>
          </w:p>
          <w:p w14:paraId="7BEFB5A3">
            <w:pPr>
              <w:kinsoku/>
              <w:adjustRightInd/>
              <w:snapToGrid/>
              <w:spacing w:line="360" w:lineRule="auto"/>
              <w:ind w:firstLine="480" w:firstLineChars="200"/>
              <w:rPr>
                <w:rFonts w:ascii="Times New Roman" w:hAnsi="Times New Roman" w:eastAsia="宋体" w:cs="Times New Roman"/>
                <w:bCs/>
                <w:spacing w:val="8"/>
                <w:sz w:val="24"/>
                <w:lang w:eastAsia="zh-CN"/>
              </w:rPr>
            </w:pPr>
            <w:r>
              <w:rPr>
                <w:rFonts w:ascii="Times New Roman" w:hAnsi="Times New Roman" w:eastAsia="宋体" w:cs="Times New Roman"/>
                <w:sz w:val="24"/>
                <w:lang w:eastAsia="zh-CN"/>
              </w:rPr>
              <w:t>预测模式采用《环境影响评价技术导则 声环境》（HJ2.4—2021）中推荐的模型。根据建设项目噪声源和环境特征，预测过程中考虑了厂房等建筑物的屏障作用、空气吸收效应。</w:t>
            </w:r>
          </w:p>
          <w:p w14:paraId="3618213C">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（1）室外声源</w:t>
            </w:r>
          </w:p>
          <w:p w14:paraId="56BFBE4E">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①计算某个声源在预测点的倍频带声压级</w:t>
            </w:r>
          </w:p>
          <w:p w14:paraId="14F4A96E">
            <w:pPr>
              <w:kinsoku/>
              <w:adjustRightInd/>
              <w:snapToGrid/>
              <w:spacing w:line="360" w:lineRule="auto"/>
              <w:jc w:val="center"/>
              <w:rPr>
                <w:rFonts w:ascii="Times New Roman" w:hAnsi="Times New Roman" w:eastAsia="宋体" w:cs="Times New Roman"/>
                <w:lang w:val="zh-CN"/>
              </w:rPr>
            </w:pPr>
            <w:r>
              <w:rPr>
                <w:rFonts w:ascii="Times New Roman" w:hAnsi="Times New Roman" w:eastAsia="宋体" w:cs="Times New Roman"/>
                <w:lang w:eastAsia="zh-CN"/>
              </w:rPr>
              <w:drawing>
                <wp:inline distT="0" distB="0" distL="114300" distR="114300">
                  <wp:extent cx="2016760" cy="436880"/>
                  <wp:effectExtent l="0" t="0" r="2540" b="127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6"/>
                          <a:stretch>
                            <a:fillRect/>
                          </a:stretch>
                        </pic:blipFill>
                        <pic:spPr>
                          <a:xfrm>
                            <a:off x="0" y="0"/>
                            <a:ext cx="2016760" cy="436880"/>
                          </a:xfrm>
                          <a:prstGeom prst="rect">
                            <a:avLst/>
                          </a:prstGeom>
                          <a:noFill/>
                          <a:ln>
                            <a:noFill/>
                          </a:ln>
                        </pic:spPr>
                      </pic:pic>
                    </a:graphicData>
                  </a:graphic>
                </wp:inline>
              </w:drawing>
            </w:r>
          </w:p>
          <w:p w14:paraId="09149471">
            <w:pPr>
              <w:kinsoku/>
              <w:adjustRightInd/>
              <w:snapToGrid/>
              <w:spacing w:line="360" w:lineRule="auto"/>
              <w:ind w:firstLine="480" w:firstLineChars="200"/>
              <w:rPr>
                <w:rFonts w:ascii="Times New Roman" w:hAnsi="Times New Roman" w:eastAsia="宋体" w:cs="Times New Roman"/>
                <w:iCs/>
                <w:sz w:val="24"/>
                <w:lang w:val="zh-CN" w:eastAsia="zh-CN"/>
              </w:rPr>
            </w:pPr>
            <w:r>
              <w:rPr>
                <w:rFonts w:ascii="Times New Roman" w:hAnsi="Times New Roman" w:eastAsia="宋体" w:cs="Times New Roman"/>
                <w:iCs/>
                <w:sz w:val="24"/>
                <w:lang w:val="zh-CN" w:eastAsia="zh-CN"/>
              </w:rPr>
              <w:t>式中：</w:t>
            </w:r>
          </w:p>
          <w:p w14:paraId="758F5E5B">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i/>
                <w:iCs/>
                <w:sz w:val="24"/>
                <w:lang w:val="zh-CN" w:eastAsia="zh-CN"/>
              </w:rPr>
              <w:t>L</w:t>
            </w:r>
            <w:r>
              <w:rPr>
                <w:rFonts w:ascii="Times New Roman" w:hAnsi="Times New Roman" w:eastAsia="宋体" w:cs="Times New Roman"/>
                <w:sz w:val="24"/>
                <w:vertAlign w:val="subscript"/>
                <w:lang w:eastAsia="zh-CN"/>
              </w:rPr>
              <w:t>oct</w:t>
            </w:r>
            <w:r>
              <w:rPr>
                <w:rFonts w:ascii="Times New Roman" w:hAnsi="Times New Roman" w:eastAsia="宋体" w:cs="Times New Roman"/>
                <w:i/>
                <w:iCs/>
                <w:sz w:val="24"/>
                <w:lang w:eastAsia="zh-CN"/>
              </w:rPr>
              <w:t>(r)</w:t>
            </w:r>
            <w:r>
              <w:rPr>
                <w:rFonts w:ascii="Times New Roman" w:hAnsi="Times New Roman" w:eastAsia="宋体" w:cs="Times New Roman"/>
                <w:sz w:val="24"/>
                <w:lang w:eastAsia="zh-CN"/>
              </w:rPr>
              <w:t>——点声源在预测点产生的倍频带声压级；</w:t>
            </w:r>
          </w:p>
          <w:p w14:paraId="1823C8D0">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i/>
                <w:iCs/>
                <w:sz w:val="24"/>
                <w:lang w:eastAsia="zh-CN"/>
              </w:rPr>
              <w:t>L</w:t>
            </w:r>
            <w:r>
              <w:rPr>
                <w:rFonts w:ascii="Times New Roman" w:hAnsi="Times New Roman" w:eastAsia="宋体" w:cs="Times New Roman"/>
                <w:sz w:val="24"/>
                <w:vertAlign w:val="subscript"/>
                <w:lang w:eastAsia="zh-CN"/>
              </w:rPr>
              <w:t>oct</w:t>
            </w:r>
            <w:r>
              <w:rPr>
                <w:rFonts w:ascii="Times New Roman" w:hAnsi="Times New Roman" w:eastAsia="宋体" w:cs="Times New Roman"/>
                <w:i/>
                <w:iCs/>
                <w:sz w:val="24"/>
                <w:lang w:eastAsia="zh-CN"/>
              </w:rPr>
              <w:t>(r</w:t>
            </w:r>
            <w:r>
              <w:rPr>
                <w:rFonts w:ascii="Times New Roman" w:hAnsi="Times New Roman" w:eastAsia="宋体" w:cs="Times New Roman"/>
                <w:i/>
                <w:iCs/>
                <w:sz w:val="24"/>
                <w:vertAlign w:val="subscript"/>
                <w:lang w:eastAsia="zh-CN"/>
              </w:rPr>
              <w:t>0</w:t>
            </w:r>
            <w:r>
              <w:rPr>
                <w:rFonts w:ascii="Times New Roman" w:hAnsi="Times New Roman" w:eastAsia="宋体" w:cs="Times New Roman"/>
                <w:i/>
                <w:iCs/>
                <w:sz w:val="24"/>
                <w:lang w:eastAsia="zh-CN"/>
              </w:rPr>
              <w:t>)</w:t>
            </w:r>
            <w:r>
              <w:rPr>
                <w:rFonts w:ascii="Times New Roman" w:hAnsi="Times New Roman" w:eastAsia="宋体" w:cs="Times New Roman"/>
                <w:sz w:val="24"/>
                <w:lang w:eastAsia="zh-CN"/>
              </w:rPr>
              <w:t>——参考位置</w:t>
            </w:r>
            <w:r>
              <w:rPr>
                <w:rFonts w:ascii="Times New Roman" w:hAnsi="Times New Roman" w:eastAsia="宋体" w:cs="Times New Roman"/>
                <w:i/>
                <w:iCs/>
                <w:sz w:val="24"/>
                <w:lang w:eastAsia="zh-CN"/>
              </w:rPr>
              <w:t>r</w:t>
            </w:r>
            <w:r>
              <w:rPr>
                <w:rFonts w:ascii="Times New Roman" w:hAnsi="Times New Roman" w:eastAsia="宋体" w:cs="Times New Roman"/>
                <w:i/>
                <w:iCs/>
                <w:sz w:val="24"/>
                <w:vertAlign w:val="subscript"/>
                <w:lang w:eastAsia="zh-CN"/>
              </w:rPr>
              <w:t>0</w:t>
            </w:r>
            <w:r>
              <w:rPr>
                <w:rFonts w:ascii="Times New Roman" w:hAnsi="Times New Roman" w:eastAsia="宋体" w:cs="Times New Roman"/>
                <w:sz w:val="24"/>
                <w:lang w:eastAsia="zh-CN"/>
              </w:rPr>
              <w:t>处的倍频带声压级；</w:t>
            </w:r>
          </w:p>
          <w:p w14:paraId="2FDBA1DD">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i/>
                <w:iCs/>
                <w:sz w:val="24"/>
                <w:lang w:eastAsia="zh-CN"/>
              </w:rPr>
              <w:t>r</w:t>
            </w:r>
            <w:r>
              <w:rPr>
                <w:rFonts w:ascii="Times New Roman" w:hAnsi="Times New Roman" w:eastAsia="宋体" w:cs="Times New Roman"/>
                <w:sz w:val="24"/>
                <w:lang w:eastAsia="zh-CN"/>
              </w:rPr>
              <w:t>——预测点距声源的距离，m；</w:t>
            </w:r>
          </w:p>
          <w:p w14:paraId="17DD6E02">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i/>
                <w:iCs/>
                <w:sz w:val="24"/>
                <w:lang w:eastAsia="zh-CN"/>
              </w:rPr>
              <w:t>r</w:t>
            </w:r>
            <w:r>
              <w:rPr>
                <w:rFonts w:ascii="Times New Roman" w:hAnsi="Times New Roman" w:eastAsia="宋体" w:cs="Times New Roman"/>
                <w:i/>
                <w:iCs/>
                <w:sz w:val="24"/>
                <w:vertAlign w:val="subscript"/>
                <w:lang w:eastAsia="zh-CN"/>
              </w:rPr>
              <w:t>0</w:t>
            </w:r>
            <w:r>
              <w:rPr>
                <w:rFonts w:ascii="Times New Roman" w:hAnsi="Times New Roman" w:eastAsia="宋体" w:cs="Times New Roman"/>
                <w:sz w:val="24"/>
                <w:lang w:eastAsia="zh-CN"/>
              </w:rPr>
              <w:t>——参考位置距声源的距离，m；</w:t>
            </w:r>
          </w:p>
          <w:p w14:paraId="24D20A96">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i/>
                <w:iCs/>
                <w:sz w:val="24"/>
              </w:rPr>
              <w:t>Δ</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oct</w:t>
            </w:r>
            <w:r>
              <w:rPr>
                <w:rFonts w:ascii="Times New Roman" w:hAnsi="Times New Roman" w:eastAsia="宋体" w:cs="Times New Roman"/>
                <w:sz w:val="24"/>
                <w:lang w:eastAsia="zh-CN"/>
              </w:rPr>
              <w:t>——各种因素引起的衰减量（包括声屏障、遮挡物、空气吸收、地面效应等引起的衰减量，其计算方法详见“导则”正文）。</w:t>
            </w:r>
          </w:p>
          <w:p w14:paraId="28ECD763">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如果已知声源的倍频带声功率级</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woct</w:t>
            </w:r>
            <w:r>
              <w:rPr>
                <w:rFonts w:ascii="Times New Roman" w:hAnsi="Times New Roman" w:eastAsia="宋体" w:cs="Times New Roman"/>
                <w:sz w:val="24"/>
                <w:lang w:eastAsia="zh-CN"/>
              </w:rPr>
              <w:t>，且声源可看作是位于地面上的，则</w:t>
            </w:r>
          </w:p>
          <w:p w14:paraId="210FC1F7">
            <w:pPr>
              <w:kinsoku/>
              <w:adjustRightInd/>
              <w:snapToGrid/>
              <w:spacing w:line="360" w:lineRule="auto"/>
              <w:jc w:val="center"/>
              <w:rPr>
                <w:rFonts w:ascii="Times New Roman" w:hAnsi="Times New Roman" w:eastAsia="宋体" w:cs="Times New Roman"/>
                <w:sz w:val="24"/>
                <w:lang w:val="zh-CN"/>
              </w:rPr>
            </w:pPr>
            <w:r>
              <w:rPr>
                <w:rFonts w:ascii="Times New Roman" w:hAnsi="Times New Roman" w:eastAsia="宋体" w:cs="Times New Roman"/>
                <w:position w:val="-14"/>
                <w:sz w:val="24"/>
                <w:lang w:eastAsia="zh-CN"/>
              </w:rPr>
              <w:drawing>
                <wp:inline distT="0" distB="0" distL="114300" distR="114300">
                  <wp:extent cx="1795780" cy="230505"/>
                  <wp:effectExtent l="0" t="0" r="13970" b="1778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1795780" cy="230505"/>
                          </a:xfrm>
                          <a:prstGeom prst="rect">
                            <a:avLst/>
                          </a:prstGeom>
                          <a:noFill/>
                          <a:ln>
                            <a:noFill/>
                          </a:ln>
                        </pic:spPr>
                      </pic:pic>
                    </a:graphicData>
                  </a:graphic>
                </wp:inline>
              </w:drawing>
            </w:r>
          </w:p>
          <w:p w14:paraId="7490E1C4">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②由各倍频带声压级合成计算出该声源产生的声级</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A</w:t>
            </w:r>
            <w:r>
              <w:rPr>
                <w:rFonts w:ascii="Times New Roman" w:hAnsi="Times New Roman" w:eastAsia="宋体" w:cs="Times New Roman"/>
                <w:sz w:val="24"/>
                <w:lang w:eastAsia="zh-CN"/>
              </w:rPr>
              <w:t>。</w:t>
            </w:r>
          </w:p>
          <w:p w14:paraId="75320F84">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（2）室内声源</w:t>
            </w:r>
          </w:p>
          <w:p w14:paraId="1C8A29C6">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①首先计算出某个室内靠近围护结构处的倍频带声压级：</w:t>
            </w:r>
          </w:p>
          <w:p w14:paraId="7B715D47">
            <w:pPr>
              <w:kinsoku/>
              <w:adjustRightInd/>
              <w:snapToGrid/>
              <w:spacing w:line="360" w:lineRule="auto"/>
              <w:jc w:val="center"/>
              <w:rPr>
                <w:rFonts w:ascii="Times New Roman" w:hAnsi="Times New Roman" w:eastAsia="宋体" w:cs="Times New Roman"/>
                <w:lang w:val="zh-CN"/>
              </w:rPr>
            </w:pPr>
            <w:r>
              <w:rPr>
                <w:rFonts w:ascii="Times New Roman" w:hAnsi="Times New Roman" w:eastAsia="宋体" w:cs="Times New Roman"/>
                <w:lang w:eastAsia="zh-CN"/>
              </w:rPr>
              <w:drawing>
                <wp:inline distT="0" distB="0" distL="114300" distR="114300">
                  <wp:extent cx="2017395" cy="485775"/>
                  <wp:effectExtent l="0" t="0" r="1905" b="889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2017395" cy="485775"/>
                          </a:xfrm>
                          <a:prstGeom prst="rect">
                            <a:avLst/>
                          </a:prstGeom>
                          <a:noFill/>
                          <a:ln>
                            <a:noFill/>
                          </a:ln>
                        </pic:spPr>
                      </pic:pic>
                    </a:graphicData>
                  </a:graphic>
                </wp:inline>
              </w:drawing>
            </w:r>
          </w:p>
          <w:p w14:paraId="47147084">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val="zh-CN" w:eastAsia="zh-CN"/>
              </w:rPr>
              <w:t>式中：</w:t>
            </w:r>
            <w:r>
              <w:rPr>
                <w:rFonts w:ascii="Times New Roman" w:hAnsi="Times New Roman" w:eastAsia="宋体" w:cs="Times New Roman"/>
                <w:i/>
                <w:iCs/>
                <w:sz w:val="24"/>
                <w:lang w:val="zh-CN" w:eastAsia="zh-CN"/>
              </w:rPr>
              <w:t>L</w:t>
            </w:r>
            <w:r>
              <w:rPr>
                <w:rFonts w:ascii="Times New Roman" w:hAnsi="Times New Roman" w:eastAsia="宋体" w:cs="Times New Roman"/>
                <w:i/>
                <w:iCs/>
                <w:sz w:val="24"/>
                <w:vertAlign w:val="subscript"/>
                <w:lang w:eastAsia="zh-CN"/>
              </w:rPr>
              <w:t>oct,1</w:t>
            </w:r>
            <w:r>
              <w:rPr>
                <w:rFonts w:ascii="Times New Roman" w:hAnsi="Times New Roman" w:eastAsia="宋体" w:cs="Times New Roman"/>
                <w:sz w:val="24"/>
                <w:lang w:eastAsia="zh-CN"/>
              </w:rPr>
              <w:t>为某个室内声源在靠近围护结构处产生的倍频带声压级，</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woct</w:t>
            </w:r>
            <w:r>
              <w:rPr>
                <w:rFonts w:ascii="Times New Roman" w:hAnsi="Times New Roman" w:eastAsia="宋体" w:cs="Times New Roman"/>
                <w:sz w:val="24"/>
                <w:lang w:eastAsia="zh-CN"/>
              </w:rPr>
              <w:t>为某个声源的倍频带声功率级，r</w:t>
            </w:r>
            <w:r>
              <w:rPr>
                <w:rFonts w:ascii="Times New Roman" w:hAnsi="Times New Roman" w:eastAsia="宋体" w:cs="Times New Roman"/>
                <w:sz w:val="24"/>
                <w:vertAlign w:val="subscript"/>
                <w:lang w:eastAsia="zh-CN"/>
              </w:rPr>
              <w:t>1</w:t>
            </w:r>
            <w:r>
              <w:rPr>
                <w:rFonts w:ascii="Times New Roman" w:hAnsi="Times New Roman" w:eastAsia="宋体" w:cs="Times New Roman"/>
                <w:sz w:val="24"/>
                <w:lang w:eastAsia="zh-CN"/>
              </w:rPr>
              <w:t>为室内某个声源与靠近围护结构处的距离，R为房间常数，Q为方向因子。</w:t>
            </w:r>
          </w:p>
          <w:p w14:paraId="762D5E61">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②计算出所有室内声源在靠近围护结构处产生的总倍频带声压级：</w:t>
            </w:r>
          </w:p>
          <w:p w14:paraId="7077220A">
            <w:pPr>
              <w:kinsoku/>
              <w:adjustRightInd/>
              <w:snapToGrid/>
              <w:spacing w:line="360" w:lineRule="auto"/>
              <w:jc w:val="center"/>
              <w:rPr>
                <w:rFonts w:ascii="Times New Roman" w:hAnsi="Times New Roman" w:eastAsia="宋体" w:cs="Times New Roman"/>
                <w:sz w:val="24"/>
                <w:lang w:eastAsia="zh-CN"/>
              </w:rPr>
            </w:pPr>
            <w:r>
              <w:rPr>
                <w:rFonts w:ascii="Times New Roman" w:hAnsi="Times New Roman" w:eastAsia="宋体" w:cs="Times New Roman"/>
                <w:lang w:eastAsia="zh-CN"/>
              </w:rPr>
              <w:drawing>
                <wp:inline distT="0" distB="0" distL="114300" distR="114300">
                  <wp:extent cx="1837690" cy="461010"/>
                  <wp:effectExtent l="0" t="0" r="10160" b="158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1837690" cy="461010"/>
                          </a:xfrm>
                          <a:prstGeom prst="rect">
                            <a:avLst/>
                          </a:prstGeom>
                          <a:noFill/>
                          <a:ln>
                            <a:noFill/>
                          </a:ln>
                        </pic:spPr>
                      </pic:pic>
                    </a:graphicData>
                  </a:graphic>
                </wp:inline>
              </w:drawing>
            </w:r>
          </w:p>
          <w:p w14:paraId="2561CE60">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③计算出室外靠近围护结构处的声压级：</w:t>
            </w:r>
          </w:p>
          <w:p w14:paraId="3436EC5A">
            <w:pPr>
              <w:kinsoku/>
              <w:adjustRightInd/>
              <w:snapToGrid/>
              <w:spacing w:line="360" w:lineRule="auto"/>
              <w:ind w:firstLine="360" w:firstLineChars="200"/>
              <w:jc w:val="center"/>
              <w:rPr>
                <w:rFonts w:ascii="Times New Roman" w:hAnsi="Times New Roman" w:eastAsia="宋体" w:cs="Times New Roman"/>
              </w:rPr>
            </w:pPr>
            <w:r>
              <w:rPr>
                <w:rFonts w:ascii="Times New Roman" w:hAnsi="Times New Roman" w:eastAsia="宋体" w:cs="Times New Roman"/>
                <w:sz w:val="18"/>
                <w:szCs w:val="18"/>
                <w:lang w:eastAsia="zh-CN"/>
              </w:rPr>
              <w:drawing>
                <wp:inline distT="0" distB="0" distL="114300" distR="114300">
                  <wp:extent cx="1952625" cy="230505"/>
                  <wp:effectExtent l="0" t="0" r="9525" b="1778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0"/>
                          <a:stretch>
                            <a:fillRect/>
                          </a:stretch>
                        </pic:blipFill>
                        <pic:spPr>
                          <a:xfrm>
                            <a:off x="0" y="0"/>
                            <a:ext cx="1952625" cy="230505"/>
                          </a:xfrm>
                          <a:prstGeom prst="rect">
                            <a:avLst/>
                          </a:prstGeom>
                          <a:noFill/>
                          <a:ln>
                            <a:noFill/>
                          </a:ln>
                        </pic:spPr>
                      </pic:pic>
                    </a:graphicData>
                  </a:graphic>
                </wp:inline>
              </w:drawing>
            </w:r>
          </w:p>
          <w:p w14:paraId="3A160A5E">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④将室外声级</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oct,2</w:t>
            </w:r>
            <w:r>
              <w:rPr>
                <w:rFonts w:ascii="Times New Roman" w:hAnsi="Times New Roman" w:eastAsia="宋体" w:cs="Times New Roman"/>
                <w:i/>
                <w:iCs/>
                <w:sz w:val="24"/>
                <w:lang w:eastAsia="zh-CN"/>
              </w:rPr>
              <w:t>(T)</w:t>
            </w:r>
            <w:r>
              <w:rPr>
                <w:rFonts w:ascii="Times New Roman" w:hAnsi="Times New Roman" w:eastAsia="宋体" w:cs="Times New Roman"/>
                <w:sz w:val="24"/>
                <w:lang w:eastAsia="zh-CN"/>
              </w:rPr>
              <w:t>和透声面积换算成等效的室外声源，计算出等效声源第i个倍频带的声功率级</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woct</w:t>
            </w:r>
            <w:r>
              <w:rPr>
                <w:rFonts w:ascii="Times New Roman" w:hAnsi="Times New Roman" w:eastAsia="宋体" w:cs="Times New Roman"/>
                <w:sz w:val="24"/>
                <w:lang w:eastAsia="zh-CN"/>
              </w:rPr>
              <w:t>：</w:t>
            </w:r>
          </w:p>
          <w:p w14:paraId="7A989189">
            <w:pPr>
              <w:kinsoku/>
              <w:adjustRightInd/>
              <w:snapToGrid/>
              <w:spacing w:line="360" w:lineRule="auto"/>
              <w:jc w:val="center"/>
              <w:rPr>
                <w:rFonts w:ascii="Times New Roman" w:hAnsi="Times New Roman" w:eastAsia="宋体" w:cs="Times New Roman"/>
              </w:rPr>
            </w:pPr>
            <w:r>
              <w:rPr>
                <w:rFonts w:ascii="Times New Roman" w:hAnsi="Times New Roman" w:eastAsia="宋体" w:cs="Times New Roman"/>
                <w:lang w:eastAsia="zh-CN"/>
              </w:rPr>
              <w:drawing>
                <wp:inline distT="0" distB="0" distL="114300" distR="114300">
                  <wp:extent cx="1929765" cy="273685"/>
                  <wp:effectExtent l="0" t="0" r="13335" b="1333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1"/>
                          <a:stretch>
                            <a:fillRect/>
                          </a:stretch>
                        </pic:blipFill>
                        <pic:spPr>
                          <a:xfrm>
                            <a:off x="0" y="0"/>
                            <a:ext cx="1929765" cy="273685"/>
                          </a:xfrm>
                          <a:prstGeom prst="rect">
                            <a:avLst/>
                          </a:prstGeom>
                          <a:noFill/>
                          <a:ln>
                            <a:noFill/>
                          </a:ln>
                        </pic:spPr>
                      </pic:pic>
                    </a:graphicData>
                  </a:graphic>
                </wp:inline>
              </w:drawing>
            </w:r>
          </w:p>
          <w:p w14:paraId="4A14295C">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式中：S为透声面积，m</w:t>
            </w:r>
            <w:r>
              <w:rPr>
                <w:rFonts w:ascii="Times New Roman" w:hAnsi="Times New Roman" w:eastAsia="宋体" w:cs="Times New Roman"/>
                <w:sz w:val="24"/>
                <w:vertAlign w:val="superscript"/>
                <w:lang w:eastAsia="zh-CN"/>
              </w:rPr>
              <w:t>2</w:t>
            </w:r>
            <w:r>
              <w:rPr>
                <w:rFonts w:ascii="Times New Roman" w:hAnsi="Times New Roman" w:eastAsia="宋体" w:cs="Times New Roman"/>
                <w:sz w:val="24"/>
                <w:lang w:eastAsia="zh-CN"/>
              </w:rPr>
              <w:t>。</w:t>
            </w:r>
          </w:p>
          <w:p w14:paraId="02837A2E">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⑤等效室外声源的位置为围护结构的位置，其倍频带声功率级为</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woct</w:t>
            </w:r>
            <w:r>
              <w:rPr>
                <w:rFonts w:ascii="Times New Roman" w:hAnsi="Times New Roman" w:eastAsia="宋体" w:cs="Times New Roman"/>
                <w:sz w:val="24"/>
                <w:lang w:eastAsia="zh-CN"/>
              </w:rPr>
              <w:t>，由此按室外声源方法计算等效室外声源在预测点产生的声级。</w:t>
            </w:r>
          </w:p>
          <w:p w14:paraId="08F2DC54">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（3）计算总声压级</w:t>
            </w:r>
          </w:p>
          <w:p w14:paraId="67FB3D09">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设第i个室外声源在预测点产生的A声级为</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Ain,i</w:t>
            </w:r>
            <w:r>
              <w:rPr>
                <w:rFonts w:ascii="Times New Roman" w:hAnsi="Times New Roman" w:eastAsia="宋体" w:cs="Times New Roman"/>
                <w:sz w:val="24"/>
                <w:lang w:eastAsia="zh-CN"/>
              </w:rPr>
              <w:t>，在T时间内该声源工作时间为</w:t>
            </w:r>
            <w:r>
              <w:rPr>
                <w:rFonts w:ascii="Times New Roman" w:hAnsi="Times New Roman" w:eastAsia="宋体" w:cs="Times New Roman"/>
                <w:i/>
                <w:iCs/>
                <w:sz w:val="24"/>
                <w:lang w:eastAsia="zh-CN"/>
              </w:rPr>
              <w:t>t</w:t>
            </w:r>
            <w:r>
              <w:rPr>
                <w:rFonts w:ascii="Times New Roman" w:hAnsi="Times New Roman" w:eastAsia="宋体" w:cs="Times New Roman"/>
                <w:i/>
                <w:iCs/>
                <w:sz w:val="24"/>
                <w:vertAlign w:val="subscript"/>
                <w:lang w:eastAsia="zh-CN"/>
              </w:rPr>
              <w:t>in,i</w:t>
            </w:r>
            <w:r>
              <w:rPr>
                <w:rFonts w:ascii="Times New Roman" w:hAnsi="Times New Roman" w:eastAsia="宋体" w:cs="Times New Roman"/>
                <w:sz w:val="24"/>
                <w:lang w:eastAsia="zh-CN"/>
              </w:rPr>
              <w:t>；第j个等效室外声源在预测点产生的A声级为</w:t>
            </w:r>
            <w:r>
              <w:rPr>
                <w:rFonts w:ascii="Times New Roman" w:hAnsi="Times New Roman" w:eastAsia="宋体" w:cs="Times New Roman"/>
                <w:i/>
                <w:iCs/>
                <w:sz w:val="24"/>
                <w:lang w:eastAsia="zh-CN"/>
              </w:rPr>
              <w:t>L</w:t>
            </w:r>
            <w:r>
              <w:rPr>
                <w:rFonts w:ascii="Times New Roman" w:hAnsi="Times New Roman" w:eastAsia="宋体" w:cs="Times New Roman"/>
                <w:i/>
                <w:iCs/>
                <w:sz w:val="24"/>
                <w:vertAlign w:val="subscript"/>
                <w:lang w:eastAsia="zh-CN"/>
              </w:rPr>
              <w:t>Aout,j</w:t>
            </w:r>
            <w:r>
              <w:rPr>
                <w:rFonts w:ascii="Times New Roman" w:hAnsi="Times New Roman" w:eastAsia="宋体" w:cs="Times New Roman"/>
                <w:sz w:val="24"/>
                <w:lang w:eastAsia="zh-CN"/>
              </w:rPr>
              <w:t>，在T时间内该声源工作时间为</w:t>
            </w:r>
            <w:r>
              <w:rPr>
                <w:rFonts w:ascii="Times New Roman" w:hAnsi="Times New Roman" w:eastAsia="宋体" w:cs="Times New Roman"/>
                <w:i/>
                <w:iCs/>
                <w:sz w:val="24"/>
                <w:lang w:eastAsia="zh-CN"/>
              </w:rPr>
              <w:t>t</w:t>
            </w:r>
            <w:r>
              <w:rPr>
                <w:rFonts w:ascii="Times New Roman" w:hAnsi="Times New Roman" w:eastAsia="宋体" w:cs="Times New Roman"/>
                <w:i/>
                <w:iCs/>
                <w:sz w:val="24"/>
                <w:vertAlign w:val="subscript"/>
                <w:lang w:eastAsia="zh-CN"/>
              </w:rPr>
              <w:t>out,j</w:t>
            </w:r>
            <w:r>
              <w:rPr>
                <w:rFonts w:ascii="Times New Roman" w:hAnsi="Times New Roman" w:eastAsia="宋体" w:cs="Times New Roman"/>
                <w:sz w:val="24"/>
                <w:lang w:eastAsia="zh-CN"/>
              </w:rPr>
              <w:t>，则预测点的总等效声级为：</w:t>
            </w:r>
          </w:p>
          <w:p w14:paraId="2C616DC9">
            <w:pPr>
              <w:kinsoku/>
              <w:adjustRightInd/>
              <w:snapToGrid/>
              <w:spacing w:line="360" w:lineRule="auto"/>
              <w:jc w:val="center"/>
              <w:rPr>
                <w:rFonts w:ascii="Times New Roman" w:hAnsi="Times New Roman" w:eastAsia="宋体" w:cs="Times New Roman"/>
              </w:rPr>
            </w:pPr>
            <w:r>
              <w:rPr>
                <w:rFonts w:ascii="Times New Roman" w:hAnsi="Times New Roman" w:eastAsia="宋体" w:cs="Times New Roman"/>
                <w:lang w:eastAsia="zh-CN"/>
              </w:rPr>
              <w:drawing>
                <wp:inline distT="0" distB="0" distL="114300" distR="114300">
                  <wp:extent cx="3409315" cy="485775"/>
                  <wp:effectExtent l="0" t="0" r="635" b="889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2"/>
                          <a:stretch>
                            <a:fillRect/>
                          </a:stretch>
                        </pic:blipFill>
                        <pic:spPr>
                          <a:xfrm>
                            <a:off x="0" y="0"/>
                            <a:ext cx="3409315" cy="485775"/>
                          </a:xfrm>
                          <a:prstGeom prst="rect">
                            <a:avLst/>
                          </a:prstGeom>
                          <a:noFill/>
                          <a:ln>
                            <a:noFill/>
                          </a:ln>
                        </pic:spPr>
                      </pic:pic>
                    </a:graphicData>
                  </a:graphic>
                </wp:inline>
              </w:drawing>
            </w:r>
          </w:p>
          <w:p w14:paraId="6F4A47DD">
            <w:pPr>
              <w:kinsoku/>
              <w:adjustRightInd/>
              <w:snapToGrid/>
              <w:spacing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sz w:val="24"/>
                <w:lang w:eastAsia="zh-CN"/>
              </w:rPr>
              <w:t>式中：T为计算等效声级的时间，N为室外声源个数，M为等效室外声源个数。</w:t>
            </w:r>
          </w:p>
          <w:p w14:paraId="0FB3E645">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（4）预测结果</w:t>
            </w:r>
          </w:p>
          <w:p w14:paraId="039597A6">
            <w:pPr>
              <w:pStyle w:val="61"/>
              <w:kinsoku/>
              <w:adjustRightInd/>
              <w:snapToGrid/>
              <w:spacing w:before="0" w:line="360" w:lineRule="auto"/>
              <w:ind w:firstLine="480" w:firstLineChars="200"/>
              <w:rPr>
                <w:rFonts w:ascii="Times New Roman" w:hAnsi="Times New Roman" w:eastAsia="宋体" w:cs="Times New Roman"/>
                <w:b/>
                <w:bCs/>
                <w:sz w:val="24"/>
                <w:lang w:eastAsia="zh-CN"/>
              </w:rPr>
            </w:pPr>
            <w:r>
              <w:rPr>
                <w:rFonts w:ascii="Times New Roman" w:hAnsi="Times New Roman" w:eastAsia="宋体" w:cs="Times New Roman"/>
                <w:kern w:val="2"/>
                <w:sz w:val="24"/>
                <w:lang w:eastAsia="zh-CN"/>
              </w:rPr>
              <w:t>项目噪声预测结果见下表。</w:t>
            </w:r>
          </w:p>
          <w:p w14:paraId="1CE75FB9">
            <w:pPr>
              <w:kinsoku/>
              <w:adjustRightInd/>
              <w:snapToGrid/>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表4-</w:t>
            </w:r>
            <w:r>
              <w:rPr>
                <w:rFonts w:hint="eastAsia" w:ascii="Times New Roman" w:hAnsi="Times New Roman" w:eastAsia="宋体" w:cs="Times New Roman"/>
                <w:b/>
                <w:bCs/>
                <w:sz w:val="24"/>
                <w:lang w:val="en-US" w:eastAsia="zh-CN"/>
              </w:rPr>
              <w:t>11</w:t>
            </w:r>
            <w:r>
              <w:rPr>
                <w:rFonts w:ascii="Times New Roman" w:hAnsi="Times New Roman" w:eastAsia="宋体" w:cs="Times New Roman"/>
                <w:b/>
                <w:bCs/>
                <w:sz w:val="24"/>
                <w:lang w:eastAsia="zh-CN"/>
              </w:rPr>
              <w:t xml:space="preserve"> 噪声预测结果单位：dB（A）</w:t>
            </w:r>
          </w:p>
          <w:tbl>
            <w:tblPr>
              <w:tblStyle w:val="22"/>
              <w:tblW w:w="5000" w:type="pct"/>
              <w:tblInd w:w="-2"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 w:type="dxa"/>
                <w:bottom w:w="0" w:type="dxa"/>
                <w:right w:w="10" w:type="dxa"/>
              </w:tblCellMar>
            </w:tblPr>
            <w:tblGrid>
              <w:gridCol w:w="1644"/>
              <w:gridCol w:w="1644"/>
              <w:gridCol w:w="1644"/>
              <w:gridCol w:w="1644"/>
              <w:gridCol w:w="1645"/>
              <w:gridCol w:w="1645"/>
            </w:tblGrid>
            <w:tr w14:paraId="0AADDD62">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233" w:type="dxa"/>
                  <w:tcBorders>
                    <w:tl2br w:val="nil"/>
                    <w:tr2bl w:val="nil"/>
                  </w:tcBorders>
                  <w:tcMar>
                    <w:top w:w="60" w:type="dxa"/>
                    <w:left w:w="120" w:type="dxa"/>
                    <w:bottom w:w="30" w:type="dxa"/>
                    <w:right w:w="120" w:type="dxa"/>
                  </w:tcMar>
                  <w:vAlign w:val="center"/>
                </w:tcPr>
                <w:p w14:paraId="3A36E5E1">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序号</w:t>
                  </w:r>
                </w:p>
              </w:tc>
              <w:tc>
                <w:tcPr>
                  <w:tcW w:w="1233" w:type="dxa"/>
                  <w:tcBorders>
                    <w:tl2br w:val="nil"/>
                    <w:tr2bl w:val="nil"/>
                  </w:tcBorders>
                  <w:tcMar>
                    <w:top w:w="60" w:type="dxa"/>
                    <w:left w:w="120" w:type="dxa"/>
                    <w:bottom w:w="30" w:type="dxa"/>
                    <w:right w:w="120" w:type="dxa"/>
                  </w:tcMar>
                  <w:vAlign w:val="center"/>
                </w:tcPr>
                <w:p w14:paraId="669555B1">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预测点名称</w:t>
                  </w:r>
                </w:p>
              </w:tc>
              <w:tc>
                <w:tcPr>
                  <w:tcW w:w="1233" w:type="dxa"/>
                  <w:tcBorders>
                    <w:tl2br w:val="nil"/>
                    <w:tr2bl w:val="nil"/>
                  </w:tcBorders>
                  <w:tcMar>
                    <w:top w:w="60" w:type="dxa"/>
                    <w:left w:w="120" w:type="dxa"/>
                    <w:bottom w:w="30" w:type="dxa"/>
                    <w:right w:w="120" w:type="dxa"/>
                  </w:tcMar>
                  <w:vAlign w:val="center"/>
                </w:tcPr>
                <w:p w14:paraId="0E2B4DAF">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预测时段</w:t>
                  </w:r>
                </w:p>
              </w:tc>
              <w:tc>
                <w:tcPr>
                  <w:tcW w:w="1233" w:type="dxa"/>
                  <w:tcBorders>
                    <w:tl2br w:val="nil"/>
                    <w:tr2bl w:val="nil"/>
                  </w:tcBorders>
                  <w:tcMar>
                    <w:top w:w="60" w:type="dxa"/>
                    <w:left w:w="120" w:type="dxa"/>
                    <w:bottom w:w="30" w:type="dxa"/>
                    <w:right w:w="120" w:type="dxa"/>
                  </w:tcMar>
                  <w:vAlign w:val="center"/>
                </w:tcPr>
                <w:p w14:paraId="0BB59DE4">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贡献值</w:t>
                  </w:r>
                </w:p>
              </w:tc>
              <w:tc>
                <w:tcPr>
                  <w:tcW w:w="1234" w:type="dxa"/>
                  <w:tcBorders>
                    <w:tl2br w:val="nil"/>
                    <w:tr2bl w:val="nil"/>
                  </w:tcBorders>
                  <w:tcMar>
                    <w:top w:w="60" w:type="dxa"/>
                    <w:left w:w="120" w:type="dxa"/>
                    <w:bottom w:w="30" w:type="dxa"/>
                    <w:right w:w="120" w:type="dxa"/>
                  </w:tcMar>
                  <w:vAlign w:val="center"/>
                </w:tcPr>
                <w:p w14:paraId="521EC4B3">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3类标准限值</w:t>
                  </w:r>
                </w:p>
              </w:tc>
              <w:tc>
                <w:tcPr>
                  <w:tcW w:w="1234" w:type="dxa"/>
                  <w:tcBorders>
                    <w:tl2br w:val="nil"/>
                    <w:tr2bl w:val="nil"/>
                  </w:tcBorders>
                  <w:tcMar>
                    <w:top w:w="60" w:type="dxa"/>
                    <w:left w:w="120" w:type="dxa"/>
                    <w:bottom w:w="30" w:type="dxa"/>
                    <w:right w:w="120" w:type="dxa"/>
                  </w:tcMar>
                  <w:vAlign w:val="center"/>
                </w:tcPr>
                <w:p w14:paraId="5BE186AD">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达标情况</w:t>
                  </w:r>
                </w:p>
              </w:tc>
            </w:tr>
            <w:tr w14:paraId="3B9B7FA3">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233" w:type="dxa"/>
                  <w:tcBorders>
                    <w:tl2br w:val="nil"/>
                    <w:tr2bl w:val="nil"/>
                  </w:tcBorders>
                  <w:tcMar>
                    <w:top w:w="60" w:type="dxa"/>
                    <w:left w:w="120" w:type="dxa"/>
                    <w:bottom w:w="30" w:type="dxa"/>
                    <w:right w:w="120" w:type="dxa"/>
                  </w:tcMar>
                  <w:vAlign w:val="center"/>
                </w:tcPr>
                <w:p w14:paraId="619654CC">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233" w:type="dxa"/>
                  <w:tcBorders>
                    <w:tl2br w:val="nil"/>
                    <w:tr2bl w:val="nil"/>
                  </w:tcBorders>
                  <w:tcMar>
                    <w:top w:w="60" w:type="dxa"/>
                    <w:left w:w="120" w:type="dxa"/>
                    <w:bottom w:w="30" w:type="dxa"/>
                    <w:right w:w="120" w:type="dxa"/>
                  </w:tcMar>
                  <w:vAlign w:val="center"/>
                </w:tcPr>
                <w:p w14:paraId="548E009C">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东厂界</w:t>
                  </w:r>
                </w:p>
              </w:tc>
              <w:tc>
                <w:tcPr>
                  <w:tcW w:w="1233" w:type="dxa"/>
                  <w:tcBorders>
                    <w:tl2br w:val="nil"/>
                    <w:tr2bl w:val="nil"/>
                  </w:tcBorders>
                  <w:tcMar>
                    <w:top w:w="60" w:type="dxa"/>
                    <w:left w:w="120" w:type="dxa"/>
                    <w:bottom w:w="30" w:type="dxa"/>
                    <w:right w:w="120" w:type="dxa"/>
                  </w:tcMar>
                  <w:vAlign w:val="center"/>
                </w:tcPr>
                <w:p w14:paraId="14C21617">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昼间</w:t>
                  </w:r>
                </w:p>
              </w:tc>
              <w:tc>
                <w:tcPr>
                  <w:tcW w:w="1233" w:type="dxa"/>
                  <w:tcBorders>
                    <w:tl2br w:val="nil"/>
                    <w:tr2bl w:val="nil"/>
                  </w:tcBorders>
                  <w:tcMar>
                    <w:top w:w="60" w:type="dxa"/>
                    <w:left w:w="120" w:type="dxa"/>
                    <w:bottom w:w="30" w:type="dxa"/>
                    <w:right w:w="120" w:type="dxa"/>
                  </w:tcMar>
                  <w:vAlign w:val="center"/>
                </w:tcPr>
                <w:p w14:paraId="6D03D826">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58.2</w:t>
                  </w:r>
                </w:p>
              </w:tc>
              <w:tc>
                <w:tcPr>
                  <w:tcW w:w="1234" w:type="dxa"/>
                  <w:tcBorders>
                    <w:tl2br w:val="nil"/>
                    <w:tr2bl w:val="nil"/>
                  </w:tcBorders>
                  <w:tcMar>
                    <w:top w:w="60" w:type="dxa"/>
                    <w:left w:w="120" w:type="dxa"/>
                    <w:bottom w:w="30" w:type="dxa"/>
                    <w:right w:w="120" w:type="dxa"/>
                  </w:tcMar>
                  <w:vAlign w:val="center"/>
                </w:tcPr>
                <w:p w14:paraId="50D8BFC6">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65</w:t>
                  </w:r>
                </w:p>
              </w:tc>
              <w:tc>
                <w:tcPr>
                  <w:tcW w:w="1234" w:type="dxa"/>
                  <w:tcBorders>
                    <w:tl2br w:val="nil"/>
                    <w:tr2bl w:val="nil"/>
                  </w:tcBorders>
                  <w:tcMar>
                    <w:top w:w="60" w:type="dxa"/>
                    <w:left w:w="120" w:type="dxa"/>
                    <w:bottom w:w="30" w:type="dxa"/>
                    <w:right w:w="120" w:type="dxa"/>
                  </w:tcMar>
                  <w:vAlign w:val="center"/>
                </w:tcPr>
                <w:p w14:paraId="585AED47">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409B492E">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233" w:type="dxa"/>
                  <w:tcBorders>
                    <w:tl2br w:val="nil"/>
                    <w:tr2bl w:val="nil"/>
                  </w:tcBorders>
                  <w:tcMar>
                    <w:top w:w="60" w:type="dxa"/>
                    <w:left w:w="120" w:type="dxa"/>
                    <w:bottom w:w="30" w:type="dxa"/>
                    <w:right w:w="120" w:type="dxa"/>
                  </w:tcMar>
                  <w:vAlign w:val="center"/>
                </w:tcPr>
                <w:p w14:paraId="28918BC1">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233" w:type="dxa"/>
                  <w:tcBorders>
                    <w:tl2br w:val="nil"/>
                    <w:tr2bl w:val="nil"/>
                  </w:tcBorders>
                  <w:tcMar>
                    <w:top w:w="60" w:type="dxa"/>
                    <w:left w:w="120" w:type="dxa"/>
                    <w:bottom w:w="30" w:type="dxa"/>
                    <w:right w:w="120" w:type="dxa"/>
                  </w:tcMar>
                  <w:vAlign w:val="center"/>
                </w:tcPr>
                <w:p w14:paraId="56514848">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南厂界</w:t>
                  </w:r>
                </w:p>
              </w:tc>
              <w:tc>
                <w:tcPr>
                  <w:tcW w:w="1233" w:type="dxa"/>
                  <w:tcBorders>
                    <w:tl2br w:val="nil"/>
                    <w:tr2bl w:val="nil"/>
                  </w:tcBorders>
                  <w:tcMar>
                    <w:top w:w="60" w:type="dxa"/>
                    <w:left w:w="120" w:type="dxa"/>
                    <w:bottom w:w="30" w:type="dxa"/>
                    <w:right w:w="120" w:type="dxa"/>
                  </w:tcMar>
                  <w:vAlign w:val="center"/>
                </w:tcPr>
                <w:p w14:paraId="345274B6">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昼间</w:t>
                  </w:r>
                </w:p>
              </w:tc>
              <w:tc>
                <w:tcPr>
                  <w:tcW w:w="1233" w:type="dxa"/>
                  <w:tcBorders>
                    <w:tl2br w:val="nil"/>
                    <w:tr2bl w:val="nil"/>
                  </w:tcBorders>
                  <w:tcMar>
                    <w:top w:w="60" w:type="dxa"/>
                    <w:left w:w="120" w:type="dxa"/>
                    <w:bottom w:w="30" w:type="dxa"/>
                    <w:right w:w="120" w:type="dxa"/>
                  </w:tcMar>
                  <w:vAlign w:val="center"/>
                </w:tcPr>
                <w:p w14:paraId="16C6C52F">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60.4</w:t>
                  </w:r>
                </w:p>
              </w:tc>
              <w:tc>
                <w:tcPr>
                  <w:tcW w:w="1234" w:type="dxa"/>
                  <w:tcBorders>
                    <w:tl2br w:val="nil"/>
                    <w:tr2bl w:val="nil"/>
                  </w:tcBorders>
                  <w:tcMar>
                    <w:top w:w="60" w:type="dxa"/>
                    <w:left w:w="120" w:type="dxa"/>
                    <w:bottom w:w="30" w:type="dxa"/>
                    <w:right w:w="120" w:type="dxa"/>
                  </w:tcMar>
                  <w:vAlign w:val="center"/>
                </w:tcPr>
                <w:p w14:paraId="418430C7">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65</w:t>
                  </w:r>
                </w:p>
              </w:tc>
              <w:tc>
                <w:tcPr>
                  <w:tcW w:w="1234" w:type="dxa"/>
                  <w:tcBorders>
                    <w:tl2br w:val="nil"/>
                    <w:tr2bl w:val="nil"/>
                  </w:tcBorders>
                  <w:tcMar>
                    <w:top w:w="60" w:type="dxa"/>
                    <w:left w:w="120" w:type="dxa"/>
                    <w:bottom w:w="30" w:type="dxa"/>
                    <w:right w:w="120" w:type="dxa"/>
                  </w:tcMar>
                  <w:vAlign w:val="center"/>
                </w:tcPr>
                <w:p w14:paraId="23F1ED9B">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3FE553D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233" w:type="dxa"/>
                  <w:tcBorders>
                    <w:tl2br w:val="nil"/>
                    <w:tr2bl w:val="nil"/>
                  </w:tcBorders>
                  <w:tcMar>
                    <w:top w:w="60" w:type="dxa"/>
                    <w:left w:w="120" w:type="dxa"/>
                    <w:bottom w:w="30" w:type="dxa"/>
                    <w:right w:w="120" w:type="dxa"/>
                  </w:tcMar>
                  <w:vAlign w:val="center"/>
                </w:tcPr>
                <w:p w14:paraId="5FA836C1">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233" w:type="dxa"/>
                  <w:tcBorders>
                    <w:tl2br w:val="nil"/>
                    <w:tr2bl w:val="nil"/>
                  </w:tcBorders>
                  <w:tcMar>
                    <w:top w:w="60" w:type="dxa"/>
                    <w:left w:w="120" w:type="dxa"/>
                    <w:bottom w:w="30" w:type="dxa"/>
                    <w:right w:w="120" w:type="dxa"/>
                  </w:tcMar>
                  <w:vAlign w:val="center"/>
                </w:tcPr>
                <w:p w14:paraId="14CF9C37">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西厂界</w:t>
                  </w:r>
                </w:p>
              </w:tc>
              <w:tc>
                <w:tcPr>
                  <w:tcW w:w="1233" w:type="dxa"/>
                  <w:tcBorders>
                    <w:tl2br w:val="nil"/>
                    <w:tr2bl w:val="nil"/>
                  </w:tcBorders>
                  <w:tcMar>
                    <w:top w:w="60" w:type="dxa"/>
                    <w:left w:w="120" w:type="dxa"/>
                    <w:bottom w:w="30" w:type="dxa"/>
                    <w:right w:w="120" w:type="dxa"/>
                  </w:tcMar>
                  <w:vAlign w:val="center"/>
                </w:tcPr>
                <w:p w14:paraId="1F1FACBD">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昼间</w:t>
                  </w:r>
                </w:p>
              </w:tc>
              <w:tc>
                <w:tcPr>
                  <w:tcW w:w="1233" w:type="dxa"/>
                  <w:tcBorders>
                    <w:tl2br w:val="nil"/>
                    <w:tr2bl w:val="nil"/>
                  </w:tcBorders>
                  <w:tcMar>
                    <w:top w:w="60" w:type="dxa"/>
                    <w:left w:w="120" w:type="dxa"/>
                    <w:bottom w:w="30" w:type="dxa"/>
                    <w:right w:w="120" w:type="dxa"/>
                  </w:tcMar>
                  <w:vAlign w:val="center"/>
                </w:tcPr>
                <w:p w14:paraId="157F36DE">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56.5</w:t>
                  </w:r>
                </w:p>
              </w:tc>
              <w:tc>
                <w:tcPr>
                  <w:tcW w:w="1234" w:type="dxa"/>
                  <w:tcBorders>
                    <w:tl2br w:val="nil"/>
                    <w:tr2bl w:val="nil"/>
                  </w:tcBorders>
                  <w:tcMar>
                    <w:top w:w="60" w:type="dxa"/>
                    <w:left w:w="120" w:type="dxa"/>
                    <w:bottom w:w="30" w:type="dxa"/>
                    <w:right w:w="120" w:type="dxa"/>
                  </w:tcMar>
                  <w:vAlign w:val="center"/>
                </w:tcPr>
                <w:p w14:paraId="696F70D3">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65</w:t>
                  </w:r>
                </w:p>
              </w:tc>
              <w:tc>
                <w:tcPr>
                  <w:tcW w:w="1234" w:type="dxa"/>
                  <w:tcBorders>
                    <w:tl2br w:val="nil"/>
                    <w:tr2bl w:val="nil"/>
                  </w:tcBorders>
                  <w:tcMar>
                    <w:top w:w="60" w:type="dxa"/>
                    <w:left w:w="120" w:type="dxa"/>
                    <w:bottom w:w="30" w:type="dxa"/>
                    <w:right w:w="120" w:type="dxa"/>
                  </w:tcMar>
                  <w:vAlign w:val="center"/>
                </w:tcPr>
                <w:p w14:paraId="2BB2F2B5">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3BEABA7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233" w:type="dxa"/>
                  <w:tcBorders>
                    <w:tl2br w:val="nil"/>
                    <w:tr2bl w:val="nil"/>
                  </w:tcBorders>
                  <w:tcMar>
                    <w:top w:w="60" w:type="dxa"/>
                    <w:left w:w="120" w:type="dxa"/>
                    <w:bottom w:w="30" w:type="dxa"/>
                    <w:right w:w="120" w:type="dxa"/>
                  </w:tcMar>
                  <w:vAlign w:val="center"/>
                </w:tcPr>
                <w:p w14:paraId="53E431C7">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233" w:type="dxa"/>
                  <w:tcBorders>
                    <w:tl2br w:val="nil"/>
                    <w:tr2bl w:val="nil"/>
                  </w:tcBorders>
                  <w:tcMar>
                    <w:top w:w="60" w:type="dxa"/>
                    <w:left w:w="120" w:type="dxa"/>
                    <w:bottom w:w="30" w:type="dxa"/>
                    <w:right w:w="120" w:type="dxa"/>
                  </w:tcMar>
                  <w:vAlign w:val="center"/>
                </w:tcPr>
                <w:p w14:paraId="7FDCC960">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北厂界</w:t>
                  </w:r>
                </w:p>
              </w:tc>
              <w:tc>
                <w:tcPr>
                  <w:tcW w:w="1233" w:type="dxa"/>
                  <w:tcBorders>
                    <w:tl2br w:val="nil"/>
                    <w:tr2bl w:val="nil"/>
                  </w:tcBorders>
                  <w:tcMar>
                    <w:top w:w="60" w:type="dxa"/>
                    <w:left w:w="120" w:type="dxa"/>
                    <w:bottom w:w="30" w:type="dxa"/>
                    <w:right w:w="120" w:type="dxa"/>
                  </w:tcMar>
                  <w:vAlign w:val="center"/>
                </w:tcPr>
                <w:p w14:paraId="14BE1AB7">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昼间</w:t>
                  </w:r>
                </w:p>
              </w:tc>
              <w:tc>
                <w:tcPr>
                  <w:tcW w:w="1233" w:type="dxa"/>
                  <w:tcBorders>
                    <w:tl2br w:val="nil"/>
                    <w:tr2bl w:val="nil"/>
                  </w:tcBorders>
                  <w:tcMar>
                    <w:top w:w="60" w:type="dxa"/>
                    <w:left w:w="120" w:type="dxa"/>
                    <w:bottom w:w="30" w:type="dxa"/>
                    <w:right w:w="120" w:type="dxa"/>
                  </w:tcMar>
                  <w:vAlign w:val="center"/>
                </w:tcPr>
                <w:p w14:paraId="1BB96775">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61</w:t>
                  </w:r>
                </w:p>
              </w:tc>
              <w:tc>
                <w:tcPr>
                  <w:tcW w:w="1234" w:type="dxa"/>
                  <w:tcBorders>
                    <w:tl2br w:val="nil"/>
                    <w:tr2bl w:val="nil"/>
                  </w:tcBorders>
                  <w:tcMar>
                    <w:top w:w="60" w:type="dxa"/>
                    <w:left w:w="120" w:type="dxa"/>
                    <w:bottom w:w="30" w:type="dxa"/>
                    <w:right w:w="120" w:type="dxa"/>
                  </w:tcMar>
                  <w:vAlign w:val="center"/>
                </w:tcPr>
                <w:p w14:paraId="65C7ECCB">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65</w:t>
                  </w:r>
                </w:p>
              </w:tc>
              <w:tc>
                <w:tcPr>
                  <w:tcW w:w="1234" w:type="dxa"/>
                  <w:tcBorders>
                    <w:tl2br w:val="nil"/>
                    <w:tr2bl w:val="nil"/>
                  </w:tcBorders>
                  <w:tcMar>
                    <w:top w:w="60" w:type="dxa"/>
                    <w:left w:w="120" w:type="dxa"/>
                    <w:bottom w:w="30" w:type="dxa"/>
                    <w:right w:w="120" w:type="dxa"/>
                  </w:tcMar>
                  <w:vAlign w:val="center"/>
                </w:tcPr>
                <w:p w14:paraId="70A4246F">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bl>
          <w:p w14:paraId="0B521B6C">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eastAsia="宋体" w:cs="Times New Roman"/>
                <w:color w:val="000000" w:themeColor="text1"/>
                <w:kern w:val="2"/>
                <w:sz w:val="24"/>
                <w:lang w:eastAsia="zh-CN"/>
                <w14:textFill>
                  <w14:solidFill>
                    <w14:schemeClr w14:val="tx1"/>
                  </w14:solidFill>
                </w14:textFill>
              </w:rPr>
            </w:pPr>
            <w:r>
              <w:rPr>
                <w:rFonts w:ascii="Times New Roman" w:hAnsi="Times New Roman" w:eastAsia="宋体" w:cs="Times New Roman"/>
                <w:b/>
                <w:bCs/>
                <w:sz w:val="24"/>
                <w:lang w:eastAsia="zh-CN"/>
              </w:rPr>
              <w:t>表 4-1</w:t>
            </w:r>
            <w:r>
              <w:rPr>
                <w:rFonts w:hint="eastAsia" w:ascii="Times New Roman" w:hAnsi="Times New Roman" w:eastAsia="宋体" w:cs="Times New Roman"/>
                <w:b/>
                <w:bCs/>
                <w:sz w:val="24"/>
                <w:lang w:val="en-US" w:eastAsia="zh-CN"/>
              </w:rPr>
              <w:t>2</w:t>
            </w:r>
            <w:r>
              <w:rPr>
                <w:rFonts w:ascii="Times New Roman" w:hAnsi="Times New Roman" w:eastAsia="宋体" w:cs="Times New Roman"/>
                <w:b/>
                <w:bCs/>
                <w:sz w:val="24"/>
                <w:lang w:eastAsia="zh-CN"/>
              </w:rPr>
              <w:t xml:space="preserve"> 工业企业声环境保护目标噪声预测结果与达标分析表 单位:dB(A)</w:t>
            </w:r>
          </w:p>
          <w:tbl>
            <w:tblPr>
              <w:tblStyle w:val="22"/>
              <w:tblW w:w="4994" w:type="pct"/>
              <w:tblInd w:w="-2"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 w:type="dxa"/>
                <w:bottom w:w="0" w:type="dxa"/>
                <w:right w:w="10" w:type="dxa"/>
              </w:tblCellMar>
            </w:tblPr>
            <w:tblGrid>
              <w:gridCol w:w="1800"/>
              <w:gridCol w:w="1484"/>
              <w:gridCol w:w="1643"/>
              <w:gridCol w:w="1643"/>
              <w:gridCol w:w="1642"/>
              <w:gridCol w:w="1642"/>
            </w:tblGrid>
            <w:tr w14:paraId="4DC0F004">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801" w:type="dxa"/>
                  <w:vMerge w:val="restart"/>
                  <w:tcBorders>
                    <w:tl2br w:val="nil"/>
                    <w:tr2bl w:val="nil"/>
                  </w:tcBorders>
                  <w:tcMar>
                    <w:top w:w="60" w:type="dxa"/>
                    <w:left w:w="120" w:type="dxa"/>
                    <w:bottom w:w="30" w:type="dxa"/>
                    <w:right w:w="120" w:type="dxa"/>
                  </w:tcMar>
                  <w:vAlign w:val="center"/>
                </w:tcPr>
                <w:p w14:paraId="102C5892">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声环境保护目标</w:t>
                  </w:r>
                </w:p>
              </w:tc>
              <w:tc>
                <w:tcPr>
                  <w:tcW w:w="1484" w:type="dxa"/>
                  <w:tcBorders>
                    <w:tl2br w:val="nil"/>
                    <w:tr2bl w:val="nil"/>
                  </w:tcBorders>
                  <w:tcMar>
                    <w:top w:w="60" w:type="dxa"/>
                    <w:left w:w="120" w:type="dxa"/>
                    <w:bottom w:w="30" w:type="dxa"/>
                    <w:right w:w="120" w:type="dxa"/>
                  </w:tcMar>
                  <w:vAlign w:val="center"/>
                </w:tcPr>
                <w:p w14:paraId="5FCE7D59">
                  <w:pPr>
                    <w:widowControl w:val="0"/>
                    <w:kinsoku/>
                    <w:adjustRightInd/>
                    <w:snapToGrid/>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背景值</w:t>
                  </w:r>
                </w:p>
              </w:tc>
              <w:tc>
                <w:tcPr>
                  <w:tcW w:w="1643" w:type="dxa"/>
                  <w:tcBorders>
                    <w:tl2br w:val="nil"/>
                    <w:tr2bl w:val="nil"/>
                  </w:tcBorders>
                  <w:tcMar>
                    <w:top w:w="60" w:type="dxa"/>
                    <w:left w:w="120" w:type="dxa"/>
                    <w:bottom w:w="30" w:type="dxa"/>
                    <w:right w:w="120" w:type="dxa"/>
                  </w:tcMar>
                  <w:vAlign w:val="center"/>
                </w:tcPr>
                <w:p w14:paraId="24F4D8BD">
                  <w:pPr>
                    <w:widowControl w:val="0"/>
                    <w:kinsoku/>
                    <w:adjustRightInd/>
                    <w:snapToGrid/>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贡献值</w:t>
                  </w:r>
                </w:p>
              </w:tc>
              <w:tc>
                <w:tcPr>
                  <w:tcW w:w="1643" w:type="dxa"/>
                  <w:tcBorders>
                    <w:tl2br w:val="nil"/>
                    <w:tr2bl w:val="nil"/>
                  </w:tcBorders>
                  <w:tcMar>
                    <w:top w:w="60" w:type="dxa"/>
                    <w:left w:w="120" w:type="dxa"/>
                    <w:bottom w:w="30" w:type="dxa"/>
                    <w:right w:w="120" w:type="dxa"/>
                  </w:tcMar>
                  <w:vAlign w:val="center"/>
                </w:tcPr>
                <w:p w14:paraId="56717D74">
                  <w:pPr>
                    <w:widowControl w:val="0"/>
                    <w:kinsoku/>
                    <w:adjustRightInd/>
                    <w:snapToGrid/>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预测值</w:t>
                  </w:r>
                </w:p>
              </w:tc>
              <w:tc>
                <w:tcPr>
                  <w:tcW w:w="1643" w:type="dxa"/>
                  <w:tcBorders>
                    <w:tl2br w:val="nil"/>
                    <w:tr2bl w:val="nil"/>
                  </w:tcBorders>
                  <w:tcMar>
                    <w:top w:w="60" w:type="dxa"/>
                    <w:left w:w="120" w:type="dxa"/>
                    <w:bottom w:w="30" w:type="dxa"/>
                    <w:right w:w="120" w:type="dxa"/>
                  </w:tcMar>
                  <w:vAlign w:val="center"/>
                </w:tcPr>
                <w:p w14:paraId="026B239D">
                  <w:pPr>
                    <w:widowControl w:val="0"/>
                    <w:kinsoku/>
                    <w:adjustRightInd/>
                    <w:snapToGrid/>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评价标准</w:t>
                  </w:r>
                </w:p>
              </w:tc>
              <w:tc>
                <w:tcPr>
                  <w:tcW w:w="1643" w:type="dxa"/>
                  <w:vMerge w:val="restart"/>
                  <w:tcBorders>
                    <w:tl2br w:val="nil"/>
                    <w:tr2bl w:val="nil"/>
                  </w:tcBorders>
                  <w:tcMar>
                    <w:top w:w="60" w:type="dxa"/>
                    <w:left w:w="120" w:type="dxa"/>
                    <w:bottom w:w="30" w:type="dxa"/>
                    <w:right w:w="120" w:type="dxa"/>
                  </w:tcMar>
                  <w:vAlign w:val="center"/>
                </w:tcPr>
                <w:p w14:paraId="6DD5266E">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达标情况</w:t>
                  </w:r>
                </w:p>
              </w:tc>
            </w:tr>
            <w:tr w14:paraId="207EA37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801" w:type="dxa"/>
                  <w:vMerge w:val="continue"/>
                  <w:tcBorders>
                    <w:tl2br w:val="nil"/>
                    <w:tr2bl w:val="nil"/>
                  </w:tcBorders>
                  <w:tcMar>
                    <w:top w:w="60" w:type="dxa"/>
                    <w:left w:w="120" w:type="dxa"/>
                    <w:bottom w:w="30" w:type="dxa"/>
                    <w:right w:w="120" w:type="dxa"/>
                  </w:tcMar>
                  <w:vAlign w:val="center"/>
                </w:tcPr>
                <w:p w14:paraId="064B2AA5">
                  <w:pPr>
                    <w:widowControl w:val="0"/>
                    <w:kinsoku/>
                    <w:adjustRightInd/>
                    <w:snapToGrid/>
                    <w:jc w:val="center"/>
                    <w:rPr>
                      <w:rFonts w:hint="eastAsia" w:ascii="Times New Roman" w:hAnsi="Times New Roman" w:eastAsia="宋体" w:cs="Times New Roman"/>
                      <w:lang w:val="en-US" w:eastAsia="zh-CN"/>
                    </w:rPr>
                  </w:pPr>
                </w:p>
              </w:tc>
              <w:tc>
                <w:tcPr>
                  <w:tcW w:w="1484" w:type="dxa"/>
                  <w:tcBorders>
                    <w:tl2br w:val="nil"/>
                    <w:tr2bl w:val="nil"/>
                  </w:tcBorders>
                  <w:tcMar>
                    <w:top w:w="60" w:type="dxa"/>
                    <w:left w:w="120" w:type="dxa"/>
                    <w:bottom w:w="30" w:type="dxa"/>
                    <w:right w:w="120" w:type="dxa"/>
                  </w:tcMar>
                  <w:vAlign w:val="center"/>
                </w:tcPr>
                <w:p w14:paraId="272A6126">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昼间</w:t>
                  </w:r>
                </w:p>
              </w:tc>
              <w:tc>
                <w:tcPr>
                  <w:tcW w:w="1643" w:type="dxa"/>
                  <w:tcBorders>
                    <w:tl2br w:val="nil"/>
                    <w:tr2bl w:val="nil"/>
                  </w:tcBorders>
                  <w:tcMar>
                    <w:top w:w="60" w:type="dxa"/>
                    <w:left w:w="120" w:type="dxa"/>
                    <w:bottom w:w="30" w:type="dxa"/>
                    <w:right w:w="120" w:type="dxa"/>
                  </w:tcMar>
                  <w:vAlign w:val="center"/>
                </w:tcPr>
                <w:p w14:paraId="7D4E3EDB">
                  <w:pPr>
                    <w:widowControl w:val="0"/>
                    <w:kinsoku/>
                    <w:adjustRightInd/>
                    <w:snapToGrid/>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昼间</w:t>
                  </w:r>
                </w:p>
              </w:tc>
              <w:tc>
                <w:tcPr>
                  <w:tcW w:w="1643" w:type="dxa"/>
                  <w:tcBorders>
                    <w:tl2br w:val="nil"/>
                    <w:tr2bl w:val="nil"/>
                  </w:tcBorders>
                  <w:tcMar>
                    <w:top w:w="60" w:type="dxa"/>
                    <w:left w:w="120" w:type="dxa"/>
                    <w:bottom w:w="30" w:type="dxa"/>
                    <w:right w:w="120" w:type="dxa"/>
                  </w:tcMar>
                  <w:vAlign w:val="center"/>
                </w:tcPr>
                <w:p w14:paraId="3C1A179B">
                  <w:pPr>
                    <w:widowControl w:val="0"/>
                    <w:kinsoku/>
                    <w:adjustRightInd/>
                    <w:snapToGrid/>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昼间</w:t>
                  </w:r>
                </w:p>
              </w:tc>
              <w:tc>
                <w:tcPr>
                  <w:tcW w:w="1643" w:type="dxa"/>
                  <w:tcBorders>
                    <w:tl2br w:val="nil"/>
                    <w:tr2bl w:val="nil"/>
                  </w:tcBorders>
                  <w:tcMar>
                    <w:top w:w="60" w:type="dxa"/>
                    <w:left w:w="120" w:type="dxa"/>
                    <w:bottom w:w="30" w:type="dxa"/>
                    <w:right w:w="120" w:type="dxa"/>
                  </w:tcMar>
                  <w:vAlign w:val="center"/>
                </w:tcPr>
                <w:p w14:paraId="75E5B0D7">
                  <w:pPr>
                    <w:widowControl w:val="0"/>
                    <w:kinsoku/>
                    <w:adjustRightInd/>
                    <w:snapToGrid/>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昼间</w:t>
                  </w:r>
                </w:p>
              </w:tc>
              <w:tc>
                <w:tcPr>
                  <w:tcW w:w="1643" w:type="dxa"/>
                  <w:vMerge w:val="continue"/>
                  <w:tcBorders>
                    <w:tl2br w:val="nil"/>
                    <w:tr2bl w:val="nil"/>
                  </w:tcBorders>
                  <w:tcMar>
                    <w:top w:w="60" w:type="dxa"/>
                    <w:left w:w="120" w:type="dxa"/>
                    <w:bottom w:w="30" w:type="dxa"/>
                    <w:right w:w="120" w:type="dxa"/>
                  </w:tcMar>
                  <w:vAlign w:val="center"/>
                </w:tcPr>
                <w:p w14:paraId="42C0AAC8">
                  <w:pPr>
                    <w:widowControl w:val="0"/>
                    <w:kinsoku/>
                    <w:adjustRightInd/>
                    <w:snapToGrid/>
                    <w:jc w:val="center"/>
                    <w:rPr>
                      <w:rFonts w:ascii="Times New Roman" w:hAnsi="Times New Roman" w:eastAsia="宋体" w:cs="Times New Roman"/>
                      <w:lang w:eastAsia="zh-CN"/>
                    </w:rPr>
                  </w:pPr>
                </w:p>
              </w:tc>
            </w:tr>
            <w:tr w14:paraId="269F87E0">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801" w:type="dxa"/>
                  <w:tcBorders>
                    <w:tl2br w:val="nil"/>
                    <w:tr2bl w:val="nil"/>
                  </w:tcBorders>
                  <w:tcMar>
                    <w:top w:w="60" w:type="dxa"/>
                    <w:left w:w="120" w:type="dxa"/>
                    <w:bottom w:w="30" w:type="dxa"/>
                    <w:right w:w="120" w:type="dxa"/>
                  </w:tcMar>
                  <w:vAlign w:val="center"/>
                </w:tcPr>
                <w:p w14:paraId="38A54F53">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三环小区</w:t>
                  </w:r>
                </w:p>
              </w:tc>
              <w:tc>
                <w:tcPr>
                  <w:tcW w:w="1484" w:type="dxa"/>
                  <w:tcBorders>
                    <w:tl2br w:val="nil"/>
                    <w:tr2bl w:val="nil"/>
                  </w:tcBorders>
                  <w:tcMar>
                    <w:top w:w="60" w:type="dxa"/>
                    <w:left w:w="120" w:type="dxa"/>
                    <w:bottom w:w="30" w:type="dxa"/>
                    <w:right w:w="120" w:type="dxa"/>
                  </w:tcMar>
                  <w:vAlign w:val="center"/>
                </w:tcPr>
                <w:p w14:paraId="722B2B64">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55.2</w:t>
                  </w:r>
                </w:p>
              </w:tc>
              <w:tc>
                <w:tcPr>
                  <w:tcW w:w="1643" w:type="dxa"/>
                  <w:tcBorders>
                    <w:tl2br w:val="nil"/>
                    <w:tr2bl w:val="nil"/>
                  </w:tcBorders>
                  <w:tcMar>
                    <w:top w:w="60" w:type="dxa"/>
                    <w:left w:w="120" w:type="dxa"/>
                    <w:bottom w:w="30" w:type="dxa"/>
                    <w:right w:w="120" w:type="dxa"/>
                  </w:tcMar>
                  <w:vAlign w:val="center"/>
                </w:tcPr>
                <w:p w14:paraId="1DCA5EB2">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47.6</w:t>
                  </w:r>
                </w:p>
              </w:tc>
              <w:tc>
                <w:tcPr>
                  <w:tcW w:w="1643" w:type="dxa"/>
                  <w:tcBorders>
                    <w:tl2br w:val="nil"/>
                    <w:tr2bl w:val="nil"/>
                  </w:tcBorders>
                  <w:tcMar>
                    <w:top w:w="60" w:type="dxa"/>
                    <w:left w:w="120" w:type="dxa"/>
                    <w:bottom w:w="30" w:type="dxa"/>
                    <w:right w:w="120" w:type="dxa"/>
                  </w:tcMar>
                  <w:vAlign w:val="center"/>
                </w:tcPr>
                <w:p w14:paraId="098F27D7">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56.3</w:t>
                  </w:r>
                </w:p>
              </w:tc>
              <w:tc>
                <w:tcPr>
                  <w:tcW w:w="1643" w:type="dxa"/>
                  <w:tcBorders>
                    <w:tl2br w:val="nil"/>
                    <w:tr2bl w:val="nil"/>
                  </w:tcBorders>
                  <w:tcMar>
                    <w:top w:w="60" w:type="dxa"/>
                    <w:left w:w="120" w:type="dxa"/>
                    <w:bottom w:w="30" w:type="dxa"/>
                    <w:right w:w="120" w:type="dxa"/>
                  </w:tcMar>
                  <w:vAlign w:val="center"/>
                </w:tcPr>
                <w:p w14:paraId="6690DCC6">
                  <w:pPr>
                    <w:widowControl w:val="0"/>
                    <w:kinsoku/>
                    <w:adjustRightInd/>
                    <w:snapToGrid/>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1643" w:type="dxa"/>
                  <w:tcBorders>
                    <w:tl2br w:val="nil"/>
                    <w:tr2bl w:val="nil"/>
                  </w:tcBorders>
                  <w:tcMar>
                    <w:top w:w="60" w:type="dxa"/>
                    <w:left w:w="120" w:type="dxa"/>
                    <w:bottom w:w="30" w:type="dxa"/>
                    <w:right w:w="120" w:type="dxa"/>
                  </w:tcMar>
                  <w:vAlign w:val="center"/>
                </w:tcPr>
                <w:p w14:paraId="20EDD4D4">
                  <w:pPr>
                    <w:widowControl w:val="0"/>
                    <w:kinsoku/>
                    <w:adjustRightInd/>
                    <w:snapToGrid/>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bl>
          <w:p w14:paraId="13B355A1">
            <w:pPr>
              <w:pStyle w:val="61"/>
              <w:kinsoku/>
              <w:adjustRightInd/>
              <w:snapToGrid/>
              <w:spacing w:before="0" w:line="360" w:lineRule="auto"/>
              <w:ind w:firstLine="480" w:firstLineChars="200"/>
              <w:rPr>
                <w:rFonts w:ascii="Times New Roman" w:hAnsi="Times New Roman" w:eastAsia="宋体" w:cs="Times New Roman"/>
                <w:b/>
                <w:bCs/>
                <w:kern w:val="2"/>
                <w:sz w:val="24"/>
                <w:lang w:eastAsia="zh-CN"/>
              </w:rPr>
            </w:pPr>
            <w:r>
              <w:rPr>
                <w:rFonts w:ascii="Times New Roman" w:hAnsi="Times New Roman" w:eastAsia="宋体" w:cs="Times New Roman"/>
                <w:color w:val="000000" w:themeColor="text1"/>
                <w:kern w:val="2"/>
                <w:sz w:val="24"/>
                <w:lang w:eastAsia="zh-CN"/>
                <w14:textFill>
                  <w14:solidFill>
                    <w14:schemeClr w14:val="tx1"/>
                  </w14:solidFill>
                </w14:textFill>
              </w:rPr>
              <w:t>根据预测结果可知，经以上防护措施及墙体隔声和距离的自然衰减等措施后，</w:t>
            </w:r>
            <w:r>
              <w:rPr>
                <w:rFonts w:hint="eastAsia" w:ascii="Times New Roman" w:hAnsi="Times New Roman" w:eastAsia="宋体" w:cs="Times New Roman"/>
                <w:color w:val="000000" w:themeColor="text1"/>
                <w:kern w:val="2"/>
                <w:sz w:val="24"/>
                <w:lang w:eastAsia="zh-CN"/>
                <w14:textFill>
                  <w14:solidFill>
                    <w14:schemeClr w14:val="tx1"/>
                  </w14:solidFill>
                </w14:textFill>
              </w:rPr>
              <w:t>四个</w:t>
            </w:r>
            <w:r>
              <w:rPr>
                <w:rFonts w:hint="eastAsia" w:ascii="Times New Roman" w:hAnsi="Times New Roman" w:eastAsia="宋体" w:cs="Times New Roman"/>
                <w:kern w:val="2"/>
                <w:sz w:val="24"/>
                <w:lang w:eastAsia="zh-CN"/>
              </w:rPr>
              <w:t>厂界均</w:t>
            </w:r>
            <w:r>
              <w:rPr>
                <w:rFonts w:hint="eastAsia" w:ascii="Times New Roman" w:hAnsi="Times New Roman" w:eastAsia="宋体" w:cs="Times New Roman"/>
                <w:color w:val="000000" w:themeColor="text1"/>
                <w:kern w:val="2"/>
                <w:sz w:val="24"/>
                <w:lang w:eastAsia="zh-CN"/>
                <w14:textFill>
                  <w14:solidFill>
                    <w14:schemeClr w14:val="tx1"/>
                  </w14:solidFill>
                </w14:textFill>
              </w:rPr>
              <w:t>能够</w:t>
            </w:r>
            <w:r>
              <w:rPr>
                <w:rFonts w:ascii="Times New Roman" w:hAnsi="Times New Roman" w:eastAsia="宋体" w:cs="Times New Roman"/>
                <w:color w:val="000000" w:themeColor="text1"/>
                <w:kern w:val="2"/>
                <w:sz w:val="24"/>
                <w:lang w:eastAsia="zh-CN"/>
                <w14:textFill>
                  <w14:solidFill>
                    <w14:schemeClr w14:val="tx1"/>
                  </w14:solidFill>
                </w14:textFill>
              </w:rPr>
              <w:t>满足《工业企业厂界环境噪声排放标准》（GB12348-2008）中</w:t>
            </w:r>
            <w:r>
              <w:rPr>
                <w:rFonts w:hint="eastAsia" w:ascii="Times New Roman" w:hAnsi="Times New Roman" w:eastAsia="宋体" w:cs="Times New Roman"/>
                <w:color w:val="000000" w:themeColor="text1"/>
                <w:kern w:val="2"/>
                <w:sz w:val="24"/>
                <w:lang w:eastAsia="zh-CN"/>
                <w14:textFill>
                  <w14:solidFill>
                    <w14:schemeClr w14:val="tx1"/>
                  </w14:solidFill>
                </w14:textFill>
              </w:rPr>
              <w:t>3</w:t>
            </w:r>
            <w:r>
              <w:rPr>
                <w:rFonts w:ascii="Times New Roman" w:hAnsi="Times New Roman" w:eastAsia="宋体" w:cs="Times New Roman"/>
                <w:color w:val="000000" w:themeColor="text1"/>
                <w:kern w:val="2"/>
                <w:sz w:val="24"/>
                <w:lang w:eastAsia="zh-CN"/>
                <w14:textFill>
                  <w14:solidFill>
                    <w14:schemeClr w14:val="tx1"/>
                  </w14:solidFill>
                </w14:textFill>
              </w:rPr>
              <w:t>类标</w:t>
            </w:r>
            <w:r>
              <w:rPr>
                <w:rFonts w:ascii="Times New Roman" w:hAnsi="Times New Roman" w:eastAsia="宋体" w:cs="Times New Roman"/>
                <w:kern w:val="2"/>
                <w:sz w:val="24"/>
                <w:lang w:eastAsia="zh-CN"/>
              </w:rPr>
              <w:t>准要求</w:t>
            </w:r>
            <w:r>
              <w:rPr>
                <w:rFonts w:hint="eastAsia" w:ascii="Times New Roman" w:hAnsi="Times New Roman" w:eastAsia="宋体" w:cs="Times New Roman"/>
                <w:kern w:val="2"/>
                <w:sz w:val="24"/>
                <w:lang w:eastAsia="zh-CN"/>
              </w:rPr>
              <w:t>，</w:t>
            </w:r>
            <w:r>
              <w:rPr>
                <w:rFonts w:ascii="Times New Roman" w:hAnsi="Times New Roman" w:eastAsia="宋体" w:cs="Times New Roman"/>
                <w:color w:val="000000" w:themeColor="text1"/>
                <w:kern w:val="2"/>
                <w:sz w:val="24"/>
                <w:lang w:eastAsia="zh-CN"/>
                <w14:textFill>
                  <w14:solidFill>
                    <w14:schemeClr w14:val="tx1"/>
                  </w14:solidFill>
                </w14:textFill>
              </w:rPr>
              <w:t>敏感点声环境满足《声环境质量标准》（GB3096-2008）中2类标准</w:t>
            </w:r>
            <w:r>
              <w:rPr>
                <w:rFonts w:hint="eastAsia" w:ascii="Times New Roman" w:hAnsi="Times New Roman" w:eastAsia="宋体" w:cs="Times New Roman"/>
                <w:color w:val="000000" w:themeColor="text1"/>
                <w:kern w:val="2"/>
                <w:sz w:val="24"/>
                <w:lang w:eastAsia="zh-CN"/>
                <w14:textFill>
                  <w14:solidFill>
                    <w14:schemeClr w14:val="tx1"/>
                  </w14:solidFill>
                </w14:textFill>
              </w:rPr>
              <w:t>，</w:t>
            </w:r>
            <w:r>
              <w:rPr>
                <w:rFonts w:ascii="Times New Roman" w:hAnsi="Times New Roman" w:eastAsia="宋体" w:cs="Times New Roman"/>
                <w:color w:val="000000" w:themeColor="text1"/>
                <w:kern w:val="2"/>
                <w:sz w:val="24"/>
                <w:lang w:eastAsia="zh-CN"/>
                <w14:textFill>
                  <w14:solidFill>
                    <w14:schemeClr w14:val="tx1"/>
                  </w14:solidFill>
                </w14:textFill>
              </w:rPr>
              <w:t>根据对项目敏感点预测得出本项目对敏感点的影响较小</w:t>
            </w:r>
            <w:r>
              <w:rPr>
                <w:rFonts w:hint="eastAsia" w:ascii="Times New Roman" w:hAnsi="Times New Roman" w:eastAsia="宋体" w:cs="Times New Roman"/>
                <w:color w:val="000000" w:themeColor="text1"/>
                <w:kern w:val="2"/>
                <w:sz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lang w:val="en-US" w:eastAsia="zh-CN"/>
                <w14:textFill>
                  <w14:solidFill>
                    <w14:schemeClr w14:val="tx1"/>
                  </w14:solidFill>
                </w14:textFill>
              </w:rPr>
              <w:t>综上，本项目</w:t>
            </w:r>
            <w:r>
              <w:rPr>
                <w:rFonts w:ascii="Times New Roman" w:hAnsi="Times New Roman" w:eastAsia="宋体" w:cs="Times New Roman"/>
                <w:color w:val="000000" w:themeColor="text1"/>
                <w:kern w:val="2"/>
                <w:sz w:val="24"/>
                <w:lang w:eastAsia="zh-CN"/>
                <w14:textFill>
                  <w14:solidFill>
                    <w14:schemeClr w14:val="tx1"/>
                  </w14:solidFill>
                </w14:textFill>
              </w:rPr>
              <w:t>不会对</w:t>
            </w:r>
            <w:r>
              <w:rPr>
                <w:rFonts w:ascii="Times New Roman" w:hAnsi="Times New Roman" w:eastAsia="宋体" w:cs="Times New Roman"/>
                <w:kern w:val="2"/>
                <w:sz w:val="24"/>
                <w:lang w:eastAsia="zh-CN"/>
              </w:rPr>
              <w:t>周围声环境及内部造成明显影响。</w:t>
            </w:r>
          </w:p>
          <w:p w14:paraId="61E8C872">
            <w:pPr>
              <w:pStyle w:val="61"/>
              <w:kinsoku/>
              <w:adjustRightInd/>
              <w:snapToGrid/>
              <w:spacing w:before="0" w:line="360" w:lineRule="auto"/>
              <w:ind w:firstLine="0"/>
              <w:rPr>
                <w:rFonts w:ascii="Times New Roman" w:hAnsi="Times New Roman" w:eastAsia="宋体" w:cs="Times New Roman"/>
                <w:b/>
                <w:bCs/>
                <w:kern w:val="2"/>
                <w:sz w:val="24"/>
                <w:lang w:eastAsia="zh-CN"/>
              </w:rPr>
            </w:pPr>
            <w:r>
              <w:rPr>
                <w:rFonts w:ascii="Times New Roman" w:hAnsi="Times New Roman" w:eastAsia="宋体" w:cs="Times New Roman"/>
                <w:b/>
                <w:bCs/>
                <w:kern w:val="2"/>
                <w:sz w:val="24"/>
                <w:lang w:eastAsia="zh-CN"/>
              </w:rPr>
              <w:t>3、噪声降噪具体措施</w:t>
            </w:r>
          </w:p>
          <w:p w14:paraId="3A5E97C7">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本项目生产设备在运行期间均会产生噪声，建设单位采取以下措施来减轻生产设备运行噪声的环境影响。</w:t>
            </w:r>
          </w:p>
          <w:p w14:paraId="59F18961">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（1）选用低噪声设备或带隔声、消声的设备，从源头减少噪声的产生。</w:t>
            </w:r>
          </w:p>
          <w:p w14:paraId="22303125">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（2）合理布局设备位置，使高强度的噪声设备远离项目边界及环境敏感点。</w:t>
            </w:r>
          </w:p>
          <w:p w14:paraId="2DDA294A">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（3）设置较为隔声的生产车间。</w:t>
            </w:r>
          </w:p>
          <w:p w14:paraId="256ED559">
            <w:pPr>
              <w:pStyle w:val="61"/>
              <w:kinsoku/>
              <w:adjustRightInd/>
              <w:snapToGrid/>
              <w:spacing w:before="0" w:line="360" w:lineRule="auto"/>
              <w:ind w:firstLine="480" w:firstLineChars="200"/>
              <w:rPr>
                <w:rFonts w:ascii="Times New Roman" w:hAnsi="Times New Roman" w:eastAsia="宋体" w:cs="Times New Roman"/>
                <w:color w:val="000000" w:themeColor="text1"/>
                <w:kern w:val="2"/>
                <w:sz w:val="24"/>
                <w:lang w:eastAsia="zh-CN"/>
                <w14:textFill>
                  <w14:solidFill>
                    <w14:schemeClr w14:val="tx1"/>
                  </w14:solidFill>
                </w14:textFill>
              </w:rPr>
            </w:pPr>
            <w:r>
              <w:rPr>
                <w:rFonts w:ascii="Times New Roman" w:hAnsi="Times New Roman" w:eastAsia="宋体" w:cs="Times New Roman"/>
                <w:kern w:val="2"/>
                <w:sz w:val="24"/>
                <w:lang w:eastAsia="zh-CN"/>
              </w:rPr>
              <w:t>（4）对噪声值高的设备采取减振</w:t>
            </w:r>
            <w:r>
              <w:rPr>
                <w:rFonts w:ascii="Times New Roman" w:hAnsi="Times New Roman" w:eastAsia="宋体" w:cs="Times New Roman"/>
                <w:color w:val="000000" w:themeColor="text1"/>
                <w:kern w:val="2"/>
                <w:sz w:val="24"/>
                <w:lang w:eastAsia="zh-CN"/>
                <w14:textFill>
                  <w14:solidFill>
                    <w14:schemeClr w14:val="tx1"/>
                  </w14:solidFill>
                </w14:textFill>
              </w:rPr>
              <w:t>、消声、隔声等措施降低噪声值。</w:t>
            </w:r>
          </w:p>
          <w:p w14:paraId="27FB8C87">
            <w:pPr>
              <w:pStyle w:val="61"/>
              <w:kinsoku/>
              <w:adjustRightInd/>
              <w:snapToGrid/>
              <w:spacing w:before="0" w:line="360" w:lineRule="auto"/>
              <w:ind w:firstLine="480" w:firstLineChars="200"/>
              <w:rPr>
                <w:rFonts w:ascii="Times New Roman" w:hAnsi="Times New Roman" w:eastAsia="宋体" w:cs="Times New Roman"/>
                <w:color w:val="000000" w:themeColor="text1"/>
                <w:kern w:val="2"/>
                <w:sz w:val="24"/>
                <w:lang w:eastAsia="zh-CN"/>
                <w14:textFill>
                  <w14:solidFill>
                    <w14:schemeClr w14:val="tx1"/>
                  </w14:solidFill>
                </w14:textFill>
              </w:rPr>
            </w:pPr>
            <w:r>
              <w:rPr>
                <w:rFonts w:ascii="Times New Roman" w:hAnsi="Times New Roman" w:eastAsia="宋体" w:cs="Times New Roman"/>
                <w:color w:val="000000" w:themeColor="text1"/>
                <w:kern w:val="2"/>
                <w:sz w:val="24"/>
                <w:lang w:eastAsia="zh-CN"/>
                <w14:textFill>
                  <w14:solidFill>
                    <w14:schemeClr w14:val="tx1"/>
                  </w14:solidFill>
                </w14:textFill>
              </w:rPr>
              <w:t>（5）定期对生产设备进行保养维修，保证生产设备维持的良好使用状态，并严格遵守生产设备的操作规范。</w:t>
            </w:r>
          </w:p>
          <w:p w14:paraId="784ADEAC">
            <w:pPr>
              <w:pStyle w:val="61"/>
              <w:kinsoku/>
              <w:adjustRightInd/>
              <w:snapToGrid/>
              <w:spacing w:before="0" w:line="360" w:lineRule="auto"/>
              <w:ind w:firstLine="480" w:firstLineChars="200"/>
              <w:rPr>
                <w:rFonts w:ascii="Times New Roman" w:hAnsi="Times New Roman" w:eastAsia="宋体" w:cs="Times New Roman"/>
                <w:color w:val="000000" w:themeColor="text1"/>
                <w:kern w:val="2"/>
                <w:sz w:val="24"/>
                <w:lang w:eastAsia="zh-CN"/>
                <w14:textFill>
                  <w14:solidFill>
                    <w14:schemeClr w14:val="tx1"/>
                  </w14:solidFill>
                </w14:textFill>
              </w:rPr>
            </w:pPr>
            <w:r>
              <w:rPr>
                <w:rFonts w:hint="eastAsia" w:ascii="Times New Roman" w:hAnsi="Times New Roman" w:eastAsia="宋体" w:cs="Times New Roman"/>
                <w:color w:val="000000" w:themeColor="text1"/>
                <w:kern w:val="2"/>
                <w:sz w:val="24"/>
                <w:lang w:eastAsia="zh-CN"/>
                <w14:textFill>
                  <w14:solidFill>
                    <w14:schemeClr w14:val="tx1"/>
                  </w14:solidFill>
                </w14:textFill>
              </w:rPr>
              <w:t>（6）对室外风机采取减振、加装隔音罩等措施降低</w:t>
            </w:r>
            <w:r>
              <w:rPr>
                <w:rFonts w:ascii="Times New Roman" w:hAnsi="Times New Roman" w:eastAsia="宋体" w:cs="Times New Roman"/>
                <w:color w:val="000000" w:themeColor="text1"/>
                <w:kern w:val="2"/>
                <w:sz w:val="24"/>
                <w:lang w:eastAsia="zh-CN"/>
                <w14:textFill>
                  <w14:solidFill>
                    <w14:schemeClr w14:val="tx1"/>
                  </w14:solidFill>
                </w14:textFill>
              </w:rPr>
              <w:t>噪声值。</w:t>
            </w:r>
          </w:p>
          <w:p w14:paraId="6B4D5F33">
            <w:pPr>
              <w:pStyle w:val="61"/>
              <w:kinsoku/>
              <w:adjustRightInd/>
              <w:snapToGrid/>
              <w:spacing w:before="0" w:line="360" w:lineRule="auto"/>
              <w:ind w:firstLine="480" w:firstLineChars="200"/>
              <w:rPr>
                <w:rFonts w:ascii="Times New Roman" w:hAnsi="Times New Roman" w:eastAsia="宋体" w:cs="Times New Roman"/>
                <w:color w:val="000000" w:themeColor="text1"/>
                <w:kern w:val="2"/>
                <w:sz w:val="24"/>
                <w:lang w:eastAsia="zh-CN"/>
                <w14:textFill>
                  <w14:solidFill>
                    <w14:schemeClr w14:val="tx1"/>
                  </w14:solidFill>
                </w14:textFill>
              </w:rPr>
            </w:pPr>
            <w:r>
              <w:rPr>
                <w:rFonts w:ascii="Times New Roman" w:hAnsi="Times New Roman" w:eastAsia="宋体" w:cs="Times New Roman"/>
                <w:color w:val="000000" w:themeColor="text1"/>
                <w:kern w:val="2"/>
                <w:sz w:val="24"/>
                <w:lang w:eastAsia="zh-CN"/>
                <w14:textFill>
                  <w14:solidFill>
                    <w14:schemeClr w14:val="tx1"/>
                  </w14:solidFill>
                </w14:textFill>
              </w:rPr>
              <w:t>建设单位通过增加绿化，设置隔声屏障等措施降低环境噪声影响。</w:t>
            </w:r>
          </w:p>
          <w:p w14:paraId="124A04F7">
            <w:pPr>
              <w:pStyle w:val="61"/>
              <w:kinsoku/>
              <w:adjustRightInd/>
              <w:snapToGrid/>
              <w:spacing w:before="0" w:line="360" w:lineRule="auto"/>
              <w:ind w:left="0" w:leftChars="0" w:firstLine="0" w:firstLineChars="0"/>
              <w:jc w:val="both"/>
              <w:rPr>
                <w:rFonts w:ascii="Times New Roman" w:hAnsi="Times New Roman" w:eastAsia="宋体" w:cs="Times New Roman"/>
                <w:b/>
                <w:bCs/>
                <w:color w:val="000000" w:themeColor="text1"/>
                <w:kern w:val="2"/>
                <w:sz w:val="24"/>
                <w:lang w:eastAsia="zh-CN"/>
                <w14:textFill>
                  <w14:solidFill>
                    <w14:schemeClr w14:val="tx1"/>
                  </w14:solidFill>
                </w14:textFill>
              </w:rPr>
            </w:pPr>
            <w:r>
              <w:rPr>
                <w:rFonts w:ascii="Times New Roman" w:hAnsi="Times New Roman" w:eastAsia="宋体" w:cs="Times New Roman"/>
                <w:b/>
                <w:bCs/>
                <w:color w:val="000000" w:themeColor="text1"/>
                <w:kern w:val="2"/>
                <w:sz w:val="24"/>
                <w:lang w:eastAsia="zh-CN"/>
                <w14:textFill>
                  <w14:solidFill>
                    <w14:schemeClr w14:val="tx1"/>
                  </w14:solidFill>
                </w14:textFill>
              </w:rPr>
              <w:t>4、噪声监测计划</w:t>
            </w:r>
          </w:p>
          <w:p w14:paraId="3CAD3EB0">
            <w:pPr>
              <w:pStyle w:val="61"/>
              <w:kinsoku/>
              <w:adjustRightInd/>
              <w:snapToGrid/>
              <w:spacing w:before="0" w:line="360" w:lineRule="auto"/>
              <w:ind w:firstLine="480" w:firstLineChars="200"/>
              <w:rPr>
                <w:rFonts w:ascii="Times New Roman" w:hAnsi="Times New Roman" w:eastAsia="宋体" w:cs="Times New Roman"/>
                <w:color w:val="000000" w:themeColor="text1"/>
                <w:kern w:val="2"/>
                <w:sz w:val="24"/>
                <w:lang w:eastAsia="zh-CN"/>
                <w14:textFill>
                  <w14:solidFill>
                    <w14:schemeClr w14:val="tx1"/>
                  </w14:solidFill>
                </w14:textFill>
              </w:rPr>
            </w:pPr>
            <w:r>
              <w:rPr>
                <w:rFonts w:ascii="Times New Roman" w:hAnsi="Times New Roman" w:eastAsia="宋体" w:cs="Times New Roman"/>
                <w:color w:val="000000" w:themeColor="text1"/>
                <w:kern w:val="2"/>
                <w:sz w:val="24"/>
                <w:lang w:eastAsia="zh-CN"/>
                <w14:textFill>
                  <w14:solidFill>
                    <w14:schemeClr w14:val="tx1"/>
                  </w14:solidFill>
                </w14:textFill>
              </w:rPr>
              <w:t>根据</w:t>
            </w:r>
            <w:r>
              <w:rPr>
                <w:rFonts w:ascii="Times New Roman" w:hAnsi="Times New Roman"/>
                <w:color w:val="000000" w:themeColor="text1"/>
                <w:kern w:val="2"/>
                <w:sz w:val="24"/>
                <w:lang w:eastAsia="zh-CN"/>
                <w14:textFill>
                  <w14:solidFill>
                    <w14:schemeClr w14:val="tx1"/>
                  </w14:solidFill>
                </w14:textFill>
              </w:rPr>
              <w:t>《</w:t>
            </w:r>
            <w:r>
              <w:rPr>
                <w:rFonts w:hint="eastAsia" w:ascii="Times New Roman" w:hAnsi="Times New Roman"/>
                <w:color w:val="000000" w:themeColor="text1"/>
                <w:kern w:val="2"/>
                <w:sz w:val="24"/>
                <w:lang w:eastAsia="zh-CN"/>
                <w14:textFill>
                  <w14:solidFill>
                    <w14:schemeClr w14:val="tx1"/>
                  </w14:solidFill>
                </w14:textFill>
              </w:rPr>
              <w:t>排污许可证申请与核发技术规范 工业噪声</w:t>
            </w:r>
            <w:r>
              <w:rPr>
                <w:rFonts w:ascii="Times New Roman" w:hAnsi="Times New Roman"/>
                <w:color w:val="000000" w:themeColor="text1"/>
                <w:kern w:val="2"/>
                <w:sz w:val="24"/>
                <w:lang w:eastAsia="zh-CN"/>
                <w14:textFill>
                  <w14:solidFill>
                    <w14:schemeClr w14:val="tx1"/>
                  </w14:solidFill>
                </w14:textFill>
              </w:rPr>
              <w:t>》（HJ</w:t>
            </w:r>
            <w:r>
              <w:rPr>
                <w:rFonts w:hint="eastAsia" w:ascii="Times New Roman" w:hAnsi="Times New Roman"/>
                <w:color w:val="000000" w:themeColor="text1"/>
                <w:kern w:val="2"/>
                <w:sz w:val="24"/>
                <w:lang w:eastAsia="zh-CN"/>
                <w14:textFill>
                  <w14:solidFill>
                    <w14:schemeClr w14:val="tx1"/>
                  </w14:solidFill>
                </w14:textFill>
              </w:rPr>
              <w:t>1301</w:t>
            </w:r>
            <w:r>
              <w:rPr>
                <w:rFonts w:ascii="Times New Roman" w:hAnsi="Times New Roman"/>
                <w:color w:val="000000" w:themeColor="text1"/>
                <w:kern w:val="2"/>
                <w:sz w:val="24"/>
                <w:lang w:eastAsia="zh-CN"/>
                <w14:textFill>
                  <w14:solidFill>
                    <w14:schemeClr w14:val="tx1"/>
                  </w14:solidFill>
                </w14:textFill>
              </w:rPr>
              <w:t>-20</w:t>
            </w:r>
            <w:r>
              <w:rPr>
                <w:rFonts w:hint="eastAsia" w:ascii="Times New Roman" w:hAnsi="Times New Roman"/>
                <w:color w:val="000000" w:themeColor="text1"/>
                <w:kern w:val="2"/>
                <w:sz w:val="24"/>
                <w:lang w:eastAsia="zh-CN"/>
                <w14:textFill>
                  <w14:solidFill>
                    <w14:schemeClr w14:val="tx1"/>
                  </w14:solidFill>
                </w14:textFill>
              </w:rPr>
              <w:t>23</w:t>
            </w:r>
            <w:r>
              <w:rPr>
                <w:rFonts w:ascii="Times New Roman" w:hAnsi="Times New Roman"/>
                <w:color w:val="000000" w:themeColor="text1"/>
                <w:kern w:val="2"/>
                <w:sz w:val="24"/>
                <w:lang w:eastAsia="zh-CN"/>
                <w14:textFill>
                  <w14:solidFill>
                    <w14:schemeClr w14:val="tx1"/>
                  </w14:solidFill>
                </w14:textFill>
              </w:rPr>
              <w:t>）</w:t>
            </w:r>
            <w:r>
              <w:rPr>
                <w:rFonts w:ascii="Times New Roman" w:hAnsi="Times New Roman" w:eastAsia="宋体" w:cs="Times New Roman"/>
                <w:color w:val="000000" w:themeColor="text1"/>
                <w:kern w:val="2"/>
                <w:sz w:val="24"/>
                <w:lang w:eastAsia="zh-CN"/>
                <w14:textFill>
                  <w14:solidFill>
                    <w14:schemeClr w14:val="tx1"/>
                  </w14:solidFill>
                </w14:textFill>
              </w:rPr>
              <w:t>，项目噪声监测计划如下所示。</w:t>
            </w:r>
          </w:p>
          <w:p w14:paraId="5D4AC04D">
            <w:pPr>
              <w:kinsoku/>
              <w:adjustRightInd/>
              <w:snapToGrid/>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表4-</w:t>
            </w:r>
            <w:r>
              <w:rPr>
                <w:rFonts w:ascii="Times New Roman" w:hAnsi="Times New Roman" w:eastAsia="宋体" w:cs="Times New Roman"/>
                <w:b/>
                <w:bCs/>
                <w:color w:val="000000" w:themeColor="text1"/>
                <w:sz w:val="24"/>
                <w:lang w:eastAsia="zh-CN"/>
                <w14:textFill>
                  <w14:solidFill>
                    <w14:schemeClr w14:val="tx1"/>
                  </w14:solidFill>
                </w14:textFill>
              </w:rPr>
              <w:t>1</w:t>
            </w: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ascii="Times New Roman" w:hAnsi="Times New Roman" w:eastAsia="宋体" w:cs="Times New Roman"/>
                <w:b/>
                <w:bCs/>
                <w:color w:val="000000" w:themeColor="text1"/>
                <w:sz w:val="24"/>
                <w14:textFill>
                  <w14:solidFill>
                    <w14:schemeClr w14:val="tx1"/>
                  </w14:solidFill>
                </w14:textFill>
              </w:rPr>
              <w:t xml:space="preserve"> 噪声监测计划表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6"/>
              <w:gridCol w:w="2056"/>
              <w:gridCol w:w="1306"/>
              <w:gridCol w:w="2753"/>
            </w:tblGrid>
            <w:tr w14:paraId="7B73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185" w:type="dxa"/>
                  <w:tcBorders>
                    <w:top w:val="single" w:color="auto" w:sz="4" w:space="0"/>
                    <w:left w:val="single" w:color="auto" w:sz="4" w:space="0"/>
                    <w:bottom w:val="single" w:color="auto" w:sz="4" w:space="0"/>
                    <w:right w:val="single" w:color="auto" w:sz="4" w:space="0"/>
                  </w:tcBorders>
                  <w:vAlign w:val="center"/>
                </w:tcPr>
                <w:p w14:paraId="17C02610">
                  <w:pPr>
                    <w:pStyle w:val="62"/>
                    <w:kinsoku/>
                    <w:adjustRightInd/>
                    <w:snapToGrid/>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监测点位置</w:t>
                  </w:r>
                </w:p>
              </w:tc>
              <w:tc>
                <w:tcPr>
                  <w:tcW w:w="1748" w:type="dxa"/>
                  <w:tcBorders>
                    <w:top w:val="single" w:color="auto" w:sz="4" w:space="0"/>
                    <w:left w:val="nil"/>
                    <w:bottom w:val="single" w:color="auto" w:sz="4" w:space="0"/>
                    <w:right w:val="single" w:color="auto" w:sz="4" w:space="0"/>
                  </w:tcBorders>
                  <w:vAlign w:val="center"/>
                </w:tcPr>
                <w:p w14:paraId="4180F05B">
                  <w:pPr>
                    <w:pStyle w:val="62"/>
                    <w:kinsoku/>
                    <w:adjustRightInd/>
                    <w:snapToGrid/>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监测指标</w:t>
                  </w:r>
                </w:p>
              </w:tc>
              <w:tc>
                <w:tcPr>
                  <w:tcW w:w="1110" w:type="dxa"/>
                  <w:tcBorders>
                    <w:top w:val="single" w:color="auto" w:sz="4" w:space="0"/>
                    <w:left w:val="nil"/>
                    <w:bottom w:val="single" w:color="auto" w:sz="4" w:space="0"/>
                    <w:right w:val="single" w:color="auto" w:sz="4" w:space="0"/>
                  </w:tcBorders>
                  <w:vAlign w:val="center"/>
                </w:tcPr>
                <w:p w14:paraId="0A91A3E9">
                  <w:pPr>
                    <w:pStyle w:val="62"/>
                    <w:kinsoku/>
                    <w:adjustRightInd/>
                    <w:snapToGrid/>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监测频次</w:t>
                  </w:r>
                </w:p>
              </w:tc>
              <w:tc>
                <w:tcPr>
                  <w:tcW w:w="2341" w:type="dxa"/>
                  <w:tcBorders>
                    <w:top w:val="single" w:color="auto" w:sz="4" w:space="0"/>
                    <w:left w:val="nil"/>
                    <w:bottom w:val="single" w:color="auto" w:sz="4" w:space="0"/>
                    <w:right w:val="single" w:color="auto" w:sz="4" w:space="0"/>
                  </w:tcBorders>
                  <w:vAlign w:val="center"/>
                </w:tcPr>
                <w:p w14:paraId="1049D4C0">
                  <w:pPr>
                    <w:pStyle w:val="62"/>
                    <w:kinsoku/>
                    <w:adjustRightInd/>
                    <w:snapToGrid/>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监测天数</w:t>
                  </w:r>
                </w:p>
              </w:tc>
            </w:tr>
            <w:tr w14:paraId="45E5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85" w:type="dxa"/>
                  <w:tcBorders>
                    <w:top w:val="single" w:color="auto" w:sz="4" w:space="0"/>
                    <w:left w:val="single" w:color="auto" w:sz="4" w:space="0"/>
                    <w:bottom w:val="single" w:color="auto" w:sz="4" w:space="0"/>
                    <w:right w:val="single" w:color="auto" w:sz="4" w:space="0"/>
                  </w:tcBorders>
                  <w:vAlign w:val="center"/>
                </w:tcPr>
                <w:p w14:paraId="17E5B3C3">
                  <w:pPr>
                    <w:pStyle w:val="62"/>
                    <w:kinsoku/>
                    <w:adjustRightInd/>
                    <w:snapToGrid/>
                    <w:spacing w:line="240" w:lineRule="auto"/>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厂界四周</w:t>
                  </w:r>
                  <w:r>
                    <w:rPr>
                      <w:rFonts w:hint="eastAsia" w:ascii="Times New Roman" w:hAnsi="Times New Roman" w:eastAsia="宋体" w:cs="Times New Roman"/>
                      <w:color w:val="000000" w:themeColor="text1"/>
                      <w:sz w:val="21"/>
                      <w:szCs w:val="21"/>
                      <w:lang w:eastAsia="zh-CN"/>
                      <w14:textFill>
                        <w14:solidFill>
                          <w14:schemeClr w14:val="tx1"/>
                        </w14:solidFill>
                      </w14:textFill>
                    </w:rPr>
                    <w:t>及厂区东南侧敏感点</w:t>
                  </w:r>
                  <w:r>
                    <w:rPr>
                      <w:rFonts w:ascii="Times New Roman" w:hAnsi="Times New Roman" w:eastAsia="宋体" w:cs="Times New Roman"/>
                      <w:color w:val="000000" w:themeColor="text1"/>
                      <w:sz w:val="21"/>
                      <w:szCs w:val="21"/>
                      <w:lang w:eastAsia="zh-CN"/>
                      <w14:textFill>
                        <w14:solidFill>
                          <w14:schemeClr w14:val="tx1"/>
                        </w14:solidFill>
                      </w14:textFill>
                    </w:rPr>
                    <w:t>各布设一个噪声监测点</w:t>
                  </w:r>
                </w:p>
              </w:tc>
              <w:tc>
                <w:tcPr>
                  <w:tcW w:w="1748" w:type="dxa"/>
                  <w:tcBorders>
                    <w:top w:val="single" w:color="auto" w:sz="4" w:space="0"/>
                    <w:left w:val="nil"/>
                    <w:bottom w:val="single" w:color="auto" w:sz="4" w:space="0"/>
                    <w:right w:val="single" w:color="auto" w:sz="4" w:space="0"/>
                  </w:tcBorders>
                  <w:vAlign w:val="center"/>
                </w:tcPr>
                <w:p w14:paraId="622E0C31">
                  <w:pPr>
                    <w:pStyle w:val="62"/>
                    <w:kinsoku/>
                    <w:adjustRightInd/>
                    <w:snapToGrid/>
                    <w:spacing w:line="240" w:lineRule="auto"/>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连续等效A声级</w:t>
                  </w:r>
                </w:p>
              </w:tc>
              <w:tc>
                <w:tcPr>
                  <w:tcW w:w="1110" w:type="dxa"/>
                  <w:tcBorders>
                    <w:top w:val="single" w:color="auto" w:sz="4" w:space="0"/>
                    <w:left w:val="nil"/>
                    <w:bottom w:val="single" w:color="auto" w:sz="4" w:space="0"/>
                    <w:right w:val="single" w:color="auto" w:sz="4" w:space="0"/>
                  </w:tcBorders>
                  <w:vAlign w:val="center"/>
                </w:tcPr>
                <w:p w14:paraId="1B96912A">
                  <w:pPr>
                    <w:pStyle w:val="62"/>
                    <w:kinsoku/>
                    <w:adjustRightInd/>
                    <w:snapToGrid/>
                    <w:spacing w:line="240" w:lineRule="auto"/>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每季一次</w:t>
                  </w:r>
                </w:p>
              </w:tc>
              <w:tc>
                <w:tcPr>
                  <w:tcW w:w="2341" w:type="dxa"/>
                  <w:tcBorders>
                    <w:top w:val="single" w:color="auto" w:sz="4" w:space="0"/>
                    <w:left w:val="nil"/>
                    <w:bottom w:val="single" w:color="auto" w:sz="4" w:space="0"/>
                    <w:right w:val="single" w:color="auto" w:sz="4" w:space="0"/>
                  </w:tcBorders>
                  <w:vAlign w:val="center"/>
                </w:tcPr>
                <w:p w14:paraId="7A4BB82B">
                  <w:pPr>
                    <w:pStyle w:val="62"/>
                    <w:kinsoku/>
                    <w:adjustRightInd/>
                    <w:snapToGrid/>
                    <w:spacing w:line="240" w:lineRule="auto"/>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连续1天，昼</w:t>
                  </w:r>
                  <w:r>
                    <w:rPr>
                      <w:rFonts w:hint="eastAsia" w:ascii="Times New Roman" w:hAnsi="Times New Roman" w:eastAsia="宋体" w:cs="Times New Roman"/>
                      <w:color w:val="000000" w:themeColor="text1"/>
                      <w:sz w:val="21"/>
                      <w:szCs w:val="21"/>
                      <w:lang w:eastAsia="zh-CN"/>
                      <w14:textFill>
                        <w14:solidFill>
                          <w14:schemeClr w14:val="tx1"/>
                        </w14:solidFill>
                      </w14:textFill>
                    </w:rPr>
                    <w:t>间夜间各</w:t>
                  </w:r>
                  <w:r>
                    <w:rPr>
                      <w:rFonts w:ascii="Times New Roman" w:hAnsi="Times New Roman" w:eastAsia="宋体" w:cs="Times New Roman"/>
                      <w:color w:val="000000" w:themeColor="text1"/>
                      <w:sz w:val="21"/>
                      <w:szCs w:val="21"/>
                      <w:lang w:eastAsia="zh-CN"/>
                      <w14:textFill>
                        <w14:solidFill>
                          <w14:schemeClr w14:val="tx1"/>
                        </w14:solidFill>
                      </w14:textFill>
                    </w:rPr>
                    <w:t>一次</w:t>
                  </w:r>
                </w:p>
              </w:tc>
            </w:tr>
          </w:tbl>
          <w:p w14:paraId="07F4D956">
            <w:pPr>
              <w:pStyle w:val="61"/>
              <w:kinsoku/>
              <w:adjustRightInd/>
              <w:snapToGrid/>
              <w:spacing w:before="0" w:line="360" w:lineRule="auto"/>
              <w:ind w:firstLineChars="200"/>
              <w:rPr>
                <w:rFonts w:ascii="Times New Roman" w:hAnsi="Times New Roman" w:eastAsia="宋体" w:cs="Times New Roman"/>
                <w:b/>
                <w:bCs/>
                <w:color w:val="000000" w:themeColor="text1"/>
                <w:kern w:val="2"/>
                <w:sz w:val="24"/>
                <w:lang w:eastAsia="zh-CN"/>
                <w14:textFill>
                  <w14:solidFill>
                    <w14:schemeClr w14:val="tx1"/>
                  </w14:solidFill>
                </w14:textFill>
              </w:rPr>
            </w:pPr>
            <w:r>
              <w:rPr>
                <w:rFonts w:ascii="Times New Roman" w:hAnsi="Times New Roman" w:eastAsia="宋体" w:cs="Times New Roman"/>
                <w:b/>
                <w:bCs/>
                <w:color w:val="000000" w:themeColor="text1"/>
                <w:kern w:val="2"/>
                <w:sz w:val="24"/>
                <w:lang w:eastAsia="zh-CN"/>
                <w14:textFill>
                  <w14:solidFill>
                    <w14:schemeClr w14:val="tx1"/>
                  </w14:solidFill>
                </w14:textFill>
              </w:rPr>
              <w:t>四、固体废物</w:t>
            </w:r>
          </w:p>
          <w:p w14:paraId="574277EE">
            <w:p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本项目营运期固体废物主要为一般工业固废、危险废物和生活垃圾。</w:t>
            </w:r>
          </w:p>
          <w:p w14:paraId="2BFFCE70">
            <w:pPr>
              <w:kinsoku/>
              <w:adjustRightInd/>
              <w:snapToGrid/>
              <w:spacing w:line="360" w:lineRule="auto"/>
              <w:jc w:val="both"/>
              <w:rPr>
                <w:rFonts w:ascii="Times New Roman" w:hAnsi="Times New Roman" w:eastAsia="宋体" w:cs="Times New Roman"/>
                <w:b/>
                <w:bCs/>
                <w:color w:val="000000" w:themeColor="text1"/>
                <w:sz w:val="24"/>
                <w:lang w:eastAsia="zh-CN" w:bidi="zh-CN"/>
                <w14:textFill>
                  <w14:solidFill>
                    <w14:schemeClr w14:val="tx1"/>
                  </w14:solidFill>
                </w14:textFill>
              </w:rPr>
            </w:pPr>
            <w:r>
              <w:rPr>
                <w:rFonts w:hint="eastAsia" w:ascii="Times New Roman" w:hAnsi="Times New Roman" w:eastAsia="宋体" w:cs="Times New Roman"/>
                <w:b/>
                <w:bCs/>
                <w:color w:val="000000" w:themeColor="text1"/>
                <w:sz w:val="24"/>
                <w:lang w:eastAsia="zh-CN" w:bidi="zh-CN"/>
                <w14:textFill>
                  <w14:solidFill>
                    <w14:schemeClr w14:val="tx1"/>
                  </w14:solidFill>
                </w14:textFill>
              </w:rPr>
              <w:t>1、一般工业固废</w:t>
            </w:r>
          </w:p>
          <w:p w14:paraId="70E0273E">
            <w:pPr>
              <w:kinsoku/>
              <w:adjustRightInd/>
              <w:snapToGrid/>
              <w:spacing w:line="360" w:lineRule="auto"/>
              <w:ind w:firstLine="480" w:firstLineChars="200"/>
              <w:rPr>
                <w:rFonts w:hint="eastAsia" w:ascii="Times New Roman" w:hAnsi="Times New Roman" w:eastAsia="宋体" w:cs="Times New Roman"/>
                <w:color w:val="000000" w:themeColor="text1"/>
                <w:sz w:val="24"/>
                <w:lang w:eastAsia="zh-CN" w:bidi="zh-CN"/>
                <w14:textFill>
                  <w14:solidFill>
                    <w14:schemeClr w14:val="tx1"/>
                  </w14:solidFill>
                </w14:textFill>
              </w:rPr>
            </w:pPr>
            <w:r>
              <w:rPr>
                <w:rFonts w:ascii="Times New Roman" w:hAnsi="Times New Roman" w:eastAsia="宋体" w:cs="Times New Roman"/>
                <w:color w:val="000000" w:themeColor="text1"/>
                <w:sz w:val="24"/>
                <w:lang w:eastAsia="zh-CN" w:bidi="zh-CN"/>
                <w14:textFill>
                  <w14:solidFill>
                    <w14:schemeClr w14:val="tx1"/>
                  </w14:solidFill>
                </w14:textFill>
              </w:rPr>
              <w:t>（1）</w:t>
            </w:r>
            <w:r>
              <w:rPr>
                <w:rFonts w:hint="eastAsia" w:ascii="Times New Roman" w:hAnsi="Times New Roman" w:eastAsia="宋体" w:cs="Times New Roman"/>
                <w:color w:val="000000" w:themeColor="text1"/>
                <w:sz w:val="24"/>
                <w:lang w:eastAsia="zh-CN" w:bidi="zh-CN"/>
                <w14:textFill>
                  <w14:solidFill>
                    <w14:schemeClr w14:val="tx1"/>
                  </w14:solidFill>
                </w14:textFill>
              </w:rPr>
              <w:t>废包装</w:t>
            </w:r>
            <w:r>
              <w:rPr>
                <w:rFonts w:ascii="Times New Roman" w:hAnsi="Times New Roman" w:eastAsia="宋体" w:cs="Times New Roman"/>
                <w:color w:val="000000" w:themeColor="text1"/>
                <w:sz w:val="24"/>
                <w:lang w:eastAsia="zh-CN" w:bidi="zh-CN"/>
                <w14:textFill>
                  <w14:solidFill>
                    <w14:schemeClr w14:val="tx1"/>
                  </w14:solidFill>
                </w14:textFill>
              </w:rPr>
              <w:t>：</w:t>
            </w:r>
            <w:r>
              <w:rPr>
                <w:rFonts w:hint="eastAsia" w:ascii="Times New Roman" w:hAnsi="Times New Roman" w:eastAsia="宋体" w:cs="Times New Roman"/>
                <w:color w:val="000000" w:themeColor="text1"/>
                <w:sz w:val="24"/>
                <w:lang w:eastAsia="zh-CN" w:bidi="zh-CN"/>
                <w14:textFill>
                  <w14:solidFill>
                    <w14:schemeClr w14:val="tx1"/>
                  </w14:solidFill>
                </w14:textFill>
              </w:rPr>
              <w:t>本项目塑粉为袋装，产生的一般包装材料为一般固废，不具有危险特性。根据包装规格，本项目会产生废包装袋约</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200</w:t>
            </w:r>
            <w:r>
              <w:rPr>
                <w:rFonts w:hint="eastAsia" w:ascii="Times New Roman" w:hAnsi="Times New Roman" w:eastAsia="宋体" w:cs="Times New Roman"/>
                <w:color w:val="000000" w:themeColor="text1"/>
                <w:sz w:val="24"/>
                <w:lang w:eastAsia="zh-CN" w:bidi="zh-CN"/>
                <w14:textFill>
                  <w14:solidFill>
                    <w14:schemeClr w14:val="tx1"/>
                  </w14:solidFill>
                </w14:textFill>
              </w:rPr>
              <w:t>个，平均每个包装材料约0.1kg，总计约</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0.02</w:t>
            </w:r>
            <w:r>
              <w:rPr>
                <w:rFonts w:hint="eastAsia" w:ascii="Times New Roman" w:hAnsi="Times New Roman" w:eastAsia="宋体" w:cs="Times New Roman"/>
                <w:color w:val="000000" w:themeColor="text1"/>
                <w:sz w:val="24"/>
                <w:lang w:eastAsia="zh-CN" w:bidi="zh-CN"/>
                <w14:textFill>
                  <w14:solidFill>
                    <w14:schemeClr w14:val="tx1"/>
                  </w14:solidFill>
                </w14:textFill>
              </w:rPr>
              <w:t>t/a，收集后外售给相关单位综合利用。</w:t>
            </w:r>
          </w:p>
          <w:p w14:paraId="2B3A5478">
            <w:pPr>
              <w:kinsoku/>
              <w:adjustRightInd/>
              <w:snapToGrid/>
              <w:spacing w:line="360" w:lineRule="auto"/>
              <w:ind w:firstLine="480" w:firstLineChars="200"/>
              <w:rPr>
                <w:rFonts w:hint="eastAsia" w:ascii="Times New Roman" w:hAnsi="Times New Roman" w:eastAsia="宋体" w:cs="Times New Roman"/>
                <w:color w:val="000000" w:themeColor="text1"/>
                <w:sz w:val="24"/>
                <w:lang w:eastAsia="zh-CN" w:bidi="zh-CN"/>
                <w14:textFill>
                  <w14:solidFill>
                    <w14:schemeClr w14:val="tx1"/>
                  </w14:solidFill>
                </w14:textFill>
              </w:rPr>
            </w:pPr>
            <w:r>
              <w:rPr>
                <w:rFonts w:hint="eastAsia" w:ascii="Times New Roman" w:hAnsi="Times New Roman" w:eastAsia="宋体" w:cs="Times New Roman"/>
                <w:color w:val="000000" w:themeColor="text1"/>
                <w:sz w:val="24"/>
                <w:lang w:val="en-US" w:eastAsia="zh-CN" w:bidi="zh-CN"/>
                <w14:textFill>
                  <w14:solidFill>
                    <w14:schemeClr w14:val="tx1"/>
                  </w14:solidFill>
                </w14:textFill>
              </w:rPr>
              <w:t>（2）</w:t>
            </w:r>
            <w:r>
              <w:rPr>
                <w:rFonts w:ascii="Times New Roman" w:hAnsi="Times New Roman" w:eastAsia="宋体" w:cs="Times New Roman"/>
                <w:color w:val="000000" w:themeColor="text1"/>
                <w:sz w:val="24"/>
                <w:lang w:eastAsia="zh-CN" w:bidi="zh-CN"/>
                <w14:textFill>
                  <w14:solidFill>
                    <w14:schemeClr w14:val="tx1"/>
                  </w14:solidFill>
                </w14:textFill>
              </w:rPr>
              <w:t>金属边角料：项目金属材料加工过程会产生金属边角料，产生量约占使用量的1%，项目金属边角料产生量</w:t>
            </w:r>
            <w:r>
              <w:rPr>
                <w:rFonts w:hint="eastAsia" w:cs="Times New Roman"/>
                <w:color w:val="000000" w:themeColor="text1"/>
                <w:sz w:val="24"/>
                <w:lang w:val="en-US" w:eastAsia="zh-CN" w:bidi="zh-CN"/>
                <w14:textFill>
                  <w14:solidFill>
                    <w14:schemeClr w14:val="tx1"/>
                  </w14:solidFill>
                </w14:textFill>
              </w:rPr>
              <w:t>约</w:t>
            </w:r>
            <w:r>
              <w:rPr>
                <w:rFonts w:hint="eastAsia" w:ascii="Times New Roman" w:hAnsi="Times New Roman" w:eastAsia="宋体" w:cs="Times New Roman"/>
                <w:snapToGrid w:val="0"/>
                <w:color w:val="000000" w:themeColor="text1"/>
                <w:sz w:val="24"/>
                <w:szCs w:val="21"/>
                <w:lang w:val="en-US" w:eastAsia="zh-CN" w:bidi="zh-CN"/>
                <w14:textFill>
                  <w14:solidFill>
                    <w14:schemeClr w14:val="tx1"/>
                  </w14:solidFill>
                </w14:textFill>
              </w:rPr>
              <w:t>为60t/a，本项</w:t>
            </w:r>
            <w:r>
              <w:rPr>
                <w:rFonts w:hint="eastAsia" w:ascii="Times New Roman" w:hAnsi="Times New Roman" w:eastAsia="宋体" w:cs="Times New Roman"/>
                <w:color w:val="000000" w:themeColor="text1"/>
                <w:sz w:val="24"/>
                <w:lang w:eastAsia="zh-CN" w:bidi="zh-CN"/>
                <w14:textFill>
                  <w14:solidFill>
                    <w14:schemeClr w14:val="tx1"/>
                  </w14:solidFill>
                </w14:textFill>
              </w:rPr>
              <w:t>目</w:t>
            </w:r>
            <w:r>
              <w:rPr>
                <w:rFonts w:ascii="Times New Roman" w:hAnsi="Times New Roman" w:eastAsia="宋体" w:cs="Times New Roman"/>
                <w:color w:val="000000" w:themeColor="text1"/>
                <w:sz w:val="24"/>
                <w:lang w:eastAsia="zh-CN" w:bidi="zh-CN"/>
                <w14:textFill>
                  <w14:solidFill>
                    <w14:schemeClr w14:val="tx1"/>
                  </w14:solidFill>
                </w14:textFill>
              </w:rPr>
              <w:t>金属边角料经收集</w:t>
            </w:r>
            <w:r>
              <w:rPr>
                <w:rFonts w:hint="eastAsia" w:ascii="Times New Roman" w:hAnsi="Times New Roman" w:eastAsia="宋体" w:cs="Times New Roman"/>
                <w:color w:val="000000" w:themeColor="text1"/>
                <w:sz w:val="24"/>
                <w:lang w:eastAsia="zh-CN" w:bidi="zh-CN"/>
                <w14:textFill>
                  <w14:solidFill>
                    <w14:schemeClr w14:val="tx1"/>
                  </w14:solidFill>
                </w14:textFill>
              </w:rPr>
              <w:t>处理</w:t>
            </w:r>
            <w:r>
              <w:rPr>
                <w:rFonts w:ascii="Times New Roman" w:hAnsi="Times New Roman" w:eastAsia="宋体" w:cs="Times New Roman"/>
                <w:color w:val="000000" w:themeColor="text1"/>
                <w:sz w:val="24"/>
                <w:lang w:eastAsia="zh-CN" w:bidi="zh-CN"/>
                <w14:textFill>
                  <w14:solidFill>
                    <w14:schemeClr w14:val="tx1"/>
                  </w14:solidFill>
                </w14:textFill>
              </w:rPr>
              <w:t>后</w:t>
            </w:r>
            <w:r>
              <w:rPr>
                <w:rFonts w:hint="eastAsia" w:ascii="Times New Roman" w:hAnsi="Times New Roman" w:eastAsia="宋体" w:cs="Times New Roman"/>
                <w:color w:val="000000" w:themeColor="text1"/>
                <w:sz w:val="24"/>
                <w:lang w:eastAsia="zh-CN" w:bidi="zh-CN"/>
                <w14:textFill>
                  <w14:solidFill>
                    <w14:schemeClr w14:val="tx1"/>
                  </w14:solidFill>
                </w14:textFill>
              </w:rPr>
              <w:t>可按一般固废外售给金属冶炼企业。</w:t>
            </w:r>
          </w:p>
          <w:p w14:paraId="5907839F">
            <w:pPr>
              <w:kinsoku/>
              <w:adjustRightInd/>
              <w:snapToGrid/>
              <w:spacing w:line="360" w:lineRule="auto"/>
              <w:ind w:firstLine="480" w:firstLineChars="200"/>
              <w:rPr>
                <w:rFonts w:hint="default" w:ascii="Times New Roman" w:hAnsi="Times New Roman" w:eastAsia="宋体" w:cs="Times New Roman"/>
                <w:color w:val="000000" w:themeColor="text1"/>
                <w:sz w:val="24"/>
                <w:lang w:val="en-US" w:eastAsia="zh-CN" w:bidi="zh-CN"/>
                <w14:textFill>
                  <w14:solidFill>
                    <w14:schemeClr w14:val="tx1"/>
                  </w14:solidFill>
                </w14:textFill>
              </w:rPr>
            </w:pPr>
            <w:r>
              <w:rPr>
                <w:rFonts w:hint="eastAsia" w:ascii="Times New Roman" w:hAnsi="Times New Roman" w:eastAsia="宋体" w:cs="Times New Roman"/>
                <w:color w:val="000000" w:themeColor="text1"/>
                <w:sz w:val="24"/>
                <w:lang w:eastAsia="zh-CN" w:bidi="zh-CN"/>
                <w14:textFill>
                  <w14:solidFill>
                    <w14:schemeClr w14:val="tx1"/>
                  </w14:solidFill>
                </w14:textFill>
              </w:rPr>
              <w:t>（</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3</w:t>
            </w:r>
            <w:r>
              <w:rPr>
                <w:rFonts w:hint="eastAsia" w:ascii="Times New Roman" w:hAnsi="Times New Roman" w:eastAsia="宋体" w:cs="Times New Roman"/>
                <w:color w:val="000000" w:themeColor="text1"/>
                <w:sz w:val="24"/>
                <w:lang w:eastAsia="zh-CN" w:bidi="zh-CN"/>
                <w14:textFill>
                  <w14:solidFill>
                    <w14:schemeClr w14:val="tx1"/>
                  </w14:solidFill>
                </w14:textFill>
              </w:rPr>
              <w:t>）焊渣：</w:t>
            </w:r>
            <w:r>
              <w:rPr>
                <w:rFonts w:ascii="Times New Roman" w:hAnsi="Times New Roman" w:eastAsia="宋体" w:cs="Times New Roman"/>
                <w:snapToGrid w:val="0"/>
                <w:color w:val="000000" w:themeColor="text1"/>
                <w:sz w:val="24"/>
                <w:szCs w:val="21"/>
                <w:lang w:val="en-US" w:eastAsia="zh-CN" w:bidi="zh-CN"/>
                <w14:textFill>
                  <w14:solidFill>
                    <w14:schemeClr w14:val="tx1"/>
                  </w14:solidFill>
                </w14:textFill>
              </w:rPr>
              <w:t>项目焊接过程会产生焊渣，焊渣产生系数为焊接材料的15%，则焊渣的产生量为</w:t>
            </w:r>
            <w:r>
              <w:rPr>
                <w:rFonts w:hint="eastAsia" w:ascii="Times New Roman" w:hAnsi="Times New Roman" w:eastAsia="宋体" w:cs="Times New Roman"/>
                <w:snapToGrid w:val="0"/>
                <w:color w:val="000000" w:themeColor="text1"/>
                <w:sz w:val="24"/>
                <w:szCs w:val="21"/>
                <w:lang w:val="en-US" w:eastAsia="zh-CN" w:bidi="zh-CN"/>
                <w14:textFill>
                  <w14:solidFill>
                    <w14:schemeClr w14:val="tx1"/>
                  </w14:solidFill>
                </w14:textFill>
              </w:rPr>
              <w:t>1.5</w:t>
            </w:r>
            <w:r>
              <w:rPr>
                <w:rFonts w:ascii="Times New Roman" w:hAnsi="Times New Roman" w:eastAsia="宋体" w:cs="Times New Roman"/>
                <w:snapToGrid w:val="0"/>
                <w:color w:val="000000" w:themeColor="text1"/>
                <w:sz w:val="24"/>
                <w:szCs w:val="21"/>
                <w:lang w:val="en-US" w:eastAsia="zh-CN" w:bidi="zh-CN"/>
                <w14:textFill>
                  <w14:solidFill>
                    <w14:schemeClr w14:val="tx1"/>
                  </w14:solidFill>
                </w14:textFill>
              </w:rPr>
              <w:t>t/a，焊渣经收集后</w:t>
            </w:r>
            <w:r>
              <w:rPr>
                <w:rFonts w:hint="eastAsia" w:ascii="Times New Roman" w:hAnsi="Times New Roman" w:eastAsia="宋体" w:cs="Times New Roman"/>
                <w:snapToGrid w:val="0"/>
                <w:color w:val="000000" w:themeColor="text1"/>
                <w:sz w:val="24"/>
                <w:szCs w:val="21"/>
                <w:lang w:val="en-US" w:eastAsia="zh-CN" w:bidi="zh-CN"/>
                <w14:textFill>
                  <w14:solidFill>
                    <w14:schemeClr w14:val="tx1"/>
                  </w14:solidFill>
                </w14:textFill>
              </w:rPr>
              <w:t>委托外单位处置。</w:t>
            </w:r>
          </w:p>
          <w:p w14:paraId="624E6910">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bidi="zh-CN"/>
                <w14:textFill>
                  <w14:solidFill>
                    <w14:schemeClr w14:val="tx1"/>
                  </w14:solidFill>
                </w14:textFill>
              </w:rPr>
            </w:pPr>
            <w:r>
              <w:rPr>
                <w:rFonts w:hint="default" w:ascii="Times New Roman" w:hAnsi="Times New Roman" w:eastAsia="宋体" w:cs="Times New Roman"/>
                <w:color w:val="000000" w:themeColor="text1"/>
                <w:sz w:val="24"/>
                <w:szCs w:val="24"/>
                <w:lang w:eastAsia="zh-CN" w:bidi="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bidi="zh-CN"/>
                <w14:textFill>
                  <w14:solidFill>
                    <w14:schemeClr w14:val="tx1"/>
                  </w14:solidFill>
                </w14:textFill>
              </w:rPr>
              <w:t>）布袋除尘收集粉尘：</w:t>
            </w:r>
            <w:r>
              <w:rPr>
                <w:rFonts w:hint="eastAsia" w:ascii="Times New Roman" w:hAnsi="Times New Roman" w:eastAsia="宋体" w:cs="Times New Roman"/>
                <w:snapToGrid w:val="0"/>
                <w:color w:val="auto"/>
                <w:sz w:val="24"/>
                <w:szCs w:val="21"/>
                <w:lang w:val="en-US" w:eastAsia="zh-CN" w:bidi="ar-SA"/>
              </w:rPr>
              <w:t>根据前文分析，项目布袋除尘器收集粉尘产生量约为18.32t/a，粉尘经收集后</w:t>
            </w:r>
            <w:r>
              <w:rPr>
                <w:rFonts w:hint="eastAsia" w:ascii="Times New Roman" w:hAnsi="Times New Roman" w:eastAsia="宋体" w:cs="Times New Roman"/>
                <w:snapToGrid w:val="0"/>
                <w:color w:val="000000" w:themeColor="text1"/>
                <w:sz w:val="24"/>
                <w:szCs w:val="21"/>
                <w:lang w:val="en-US" w:eastAsia="zh-CN" w:bidi="zh-CN"/>
                <w14:textFill>
                  <w14:solidFill>
                    <w14:schemeClr w14:val="tx1"/>
                  </w14:solidFill>
                </w14:textFill>
              </w:rPr>
              <w:t>委托外单位处置</w:t>
            </w:r>
            <w:r>
              <w:rPr>
                <w:rFonts w:hint="eastAsia" w:ascii="Times New Roman" w:hAnsi="Times New Roman" w:eastAsia="宋体" w:cs="Times New Roman"/>
                <w:snapToGrid w:val="0"/>
                <w:color w:val="auto"/>
                <w:sz w:val="24"/>
                <w:szCs w:val="21"/>
                <w:lang w:val="en-US" w:eastAsia="zh-CN" w:bidi="ar-SA"/>
              </w:rPr>
              <w:t>。</w:t>
            </w:r>
          </w:p>
          <w:p w14:paraId="1DA92622">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bidi="zh-CN"/>
                <w14:textFill>
                  <w14:solidFill>
                    <w14:schemeClr w14:val="tx1"/>
                  </w14:solidFill>
                </w14:textFill>
              </w:rPr>
            </w:pPr>
            <w:r>
              <w:rPr>
                <w:rFonts w:hint="default" w:ascii="Times New Roman" w:hAnsi="Times New Roman" w:eastAsia="宋体" w:cs="Times New Roman"/>
                <w:color w:val="000000" w:themeColor="text1"/>
                <w:sz w:val="24"/>
                <w:szCs w:val="24"/>
                <w:lang w:eastAsia="zh-CN" w:bidi="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bidi="zh-CN"/>
                <w14:textFill>
                  <w14:solidFill>
                    <w14:schemeClr w14:val="tx1"/>
                  </w14:solidFill>
                </w14:textFill>
              </w:rPr>
              <w:t>）废布袋：投料拌料粉尘收集后经布袋除尘器处理后排放，布袋除尘器需定期清理、更换。根据同类企业废气处理情况，布袋约1年更换1次，产生量为0.1t/a，外售给相关单位综合利用。</w:t>
            </w:r>
          </w:p>
          <w:p w14:paraId="49B26B5C">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themeColor="text1"/>
                <w:sz w:val="24"/>
                <w:lang w:eastAsia="zh-CN" w:bidi="zh-CN"/>
                <w14:textFill>
                  <w14:solidFill>
                    <w14:schemeClr w14:val="tx1"/>
                  </w14:solidFill>
                </w14:textFill>
              </w:rPr>
            </w:pPr>
            <w:r>
              <w:rPr>
                <w:rFonts w:hint="eastAsia" w:ascii="Times New Roman" w:hAnsi="Times New Roman" w:eastAsia="宋体" w:cs="Times New Roman"/>
                <w:color w:val="000000" w:themeColor="text1"/>
                <w:sz w:val="24"/>
                <w:szCs w:val="24"/>
                <w:lang w:eastAsia="zh-CN" w:bidi="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zh-CN"/>
                <w14:textFill>
                  <w14:solidFill>
                    <w14:schemeClr w14:val="tx1"/>
                  </w14:solidFill>
                </w14:textFill>
              </w:rPr>
              <w:t>6</w:t>
            </w:r>
            <w:r>
              <w:rPr>
                <w:rFonts w:hint="eastAsia" w:ascii="Times New Roman" w:hAnsi="Times New Roman" w:eastAsia="宋体" w:cs="Times New Roman"/>
                <w:color w:val="000000" w:themeColor="text1"/>
                <w:sz w:val="24"/>
                <w:szCs w:val="24"/>
                <w:lang w:eastAsia="zh-CN" w:bidi="zh-CN"/>
                <w14:textFill>
                  <w14:solidFill>
                    <w14:schemeClr w14:val="tx1"/>
                  </w14:solidFill>
                </w14:textFill>
              </w:rPr>
              <w:t>）废钢丸：</w:t>
            </w:r>
            <w:r>
              <w:rPr>
                <w:rFonts w:hint="eastAsia" w:ascii="Times New Roman" w:hAnsi="Times New Roman" w:eastAsia="宋体" w:cs="Times New Roman"/>
                <w:color w:val="000000" w:themeColor="text1"/>
                <w:sz w:val="24"/>
                <w:lang w:eastAsia="zh-CN" w:bidi="zh-CN"/>
                <w14:textFill>
                  <w14:solidFill>
                    <w14:schemeClr w14:val="tx1"/>
                  </w14:solidFill>
                </w14:textFill>
              </w:rPr>
              <w:t>本项目抛丸工序废钢丸产生量约为</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2</w:t>
            </w:r>
            <w:r>
              <w:rPr>
                <w:rFonts w:hint="eastAsia" w:ascii="Times New Roman" w:hAnsi="Times New Roman" w:eastAsia="宋体" w:cs="Times New Roman"/>
                <w:color w:val="000000" w:themeColor="text1"/>
                <w:sz w:val="24"/>
                <w:lang w:eastAsia="zh-CN" w:bidi="zh-CN"/>
                <w14:textFill>
                  <w14:solidFill>
                    <w14:schemeClr w14:val="tx1"/>
                  </w14:solidFill>
                </w14:textFill>
              </w:rPr>
              <w:t>t，由建设单位收集后出售处理。</w:t>
            </w:r>
          </w:p>
          <w:p w14:paraId="6528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000000" w:themeColor="text1"/>
                <w:sz w:val="24"/>
                <w:lang w:eastAsia="zh-CN" w:bidi="zh-CN"/>
                <w14:textFill>
                  <w14:solidFill>
                    <w14:schemeClr w14:val="tx1"/>
                  </w14:solidFill>
                </w14:textFill>
              </w:rPr>
              <w:t>（</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7</w:t>
            </w:r>
            <w:r>
              <w:rPr>
                <w:rFonts w:hint="eastAsia" w:ascii="Times New Roman" w:hAnsi="Times New Roman" w:eastAsia="宋体" w:cs="Times New Roman"/>
                <w:color w:val="000000" w:themeColor="text1"/>
                <w:sz w:val="24"/>
                <w:lang w:eastAsia="zh-CN" w:bidi="zh-CN"/>
                <w14:textFill>
                  <w14:solidFill>
                    <w14:schemeClr w14:val="tx1"/>
                  </w14:solidFill>
                </w14:textFill>
              </w:rPr>
              <w:t>）</w:t>
            </w:r>
            <w:r>
              <w:rPr>
                <w:rFonts w:hint="eastAsia" w:ascii="Times New Roman" w:hAnsi="Times New Roman" w:eastAsia="宋体" w:cs="Times New Roman"/>
                <w:color w:val="auto"/>
                <w:sz w:val="24"/>
                <w:lang w:val="en-US" w:eastAsia="zh-CN"/>
              </w:rPr>
              <w:t>挂钩残留物：喷塑过程中挂钩长时间不清理会产生少量的塑粉附着在挂钩上，项目采用物理剥离的方式将残留物清理，年产量约0.01t/a。统一收集后委托外单位处置。</w:t>
            </w:r>
          </w:p>
          <w:p w14:paraId="1E707457">
            <w:pPr>
              <w:kinsoku/>
              <w:adjustRightInd/>
              <w:snapToGrid/>
              <w:spacing w:line="360" w:lineRule="auto"/>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lang w:eastAsia="zh-CN" w:bidi="zh-CN"/>
                <w14:textFill>
                  <w14:solidFill>
                    <w14:schemeClr w14:val="tx1"/>
                  </w14:solidFill>
                </w14:textFill>
              </w:rPr>
              <w:t>2、危险废物</w:t>
            </w:r>
          </w:p>
          <w:p w14:paraId="5B2BE1AE">
            <w:pPr>
              <w:kinsoku/>
              <w:adjustRightInd/>
              <w:snapToGrid/>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lang w:eastAsia="zh-CN"/>
                <w14:textFill>
                  <w14:solidFill>
                    <w14:schemeClr w14:val="tx1"/>
                  </w14:solidFill>
                </w14:textFill>
              </w:rPr>
              <w:t>）废活性炭：</w:t>
            </w:r>
            <w:r>
              <w:rPr>
                <w:rFonts w:ascii="Times New Roman" w:hAnsi="Times New Roman" w:eastAsia="宋体" w:cs="Times New Roman"/>
                <w:sz w:val="24"/>
                <w:szCs w:val="24"/>
                <w:lang w:eastAsia="zh-CN"/>
              </w:rPr>
              <w:t>本项目采用活性炭吸附处理</w:t>
            </w:r>
            <w:r>
              <w:rPr>
                <w:rFonts w:hint="eastAsia" w:ascii="Times New Roman" w:hAnsi="Times New Roman" w:eastAsia="宋体" w:cs="Times New Roman"/>
                <w:sz w:val="24"/>
                <w:szCs w:val="24"/>
                <w:lang w:eastAsia="zh-CN"/>
              </w:rPr>
              <w:t>固化及电泳烘干</w:t>
            </w:r>
            <w:r>
              <w:rPr>
                <w:rFonts w:ascii="Times New Roman" w:hAnsi="Times New Roman" w:eastAsia="宋体" w:cs="Times New Roman"/>
                <w:sz w:val="24"/>
                <w:szCs w:val="24"/>
                <w:lang w:eastAsia="zh-CN"/>
              </w:rPr>
              <w:t>有机废气</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根据上文废气核算，项目需处理的有机废气量为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0.736</w:t>
            </w:r>
            <w:r>
              <w:rPr>
                <w:rFonts w:hint="eastAsia" w:ascii="Times New Roman" w:hAnsi="Times New Roman" w:eastAsia="宋体" w:cs="Times New Roman"/>
                <w:color w:val="000000" w:themeColor="text1"/>
                <w:sz w:val="24"/>
                <w:szCs w:val="24"/>
                <w:lang w:eastAsia="zh-CN"/>
                <w14:textFill>
                  <w14:solidFill>
                    <w14:schemeClr w14:val="tx1"/>
                  </w14:solidFill>
                </w14:textFill>
              </w:rPr>
              <w:t>t/a，按1t活性炭吸附0.2t有机废气计，则本项目共需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3.681</w:t>
            </w:r>
            <w:r>
              <w:rPr>
                <w:rFonts w:hint="eastAsia" w:ascii="Times New Roman" w:hAnsi="Times New Roman" w:eastAsia="宋体" w:cs="Times New Roman"/>
                <w:color w:val="000000" w:themeColor="text1"/>
                <w:sz w:val="24"/>
                <w:szCs w:val="24"/>
                <w:lang w:eastAsia="zh-CN"/>
                <w14:textFill>
                  <w14:solidFill>
                    <w14:schemeClr w14:val="tx1"/>
                  </w14:solidFill>
                </w14:textFill>
              </w:rPr>
              <w:t>t活性炭，</w:t>
            </w:r>
            <w:r>
              <w:rPr>
                <w:rFonts w:ascii="Times New Roman" w:hAnsi="Times New Roman" w:cs="Times New Roman"/>
                <w:color w:val="auto"/>
                <w:sz w:val="24"/>
                <w:lang w:eastAsia="zh-CN"/>
              </w:rPr>
              <w:t>则项目废活性炭产生量为</w:t>
            </w:r>
            <w:r>
              <w:rPr>
                <w:rFonts w:hint="eastAsia" w:ascii="Times New Roman" w:hAnsi="Times New Roman" w:cs="Times New Roman"/>
                <w:color w:val="auto"/>
                <w:sz w:val="24"/>
                <w:lang w:val="en-US" w:eastAsia="zh-CN"/>
              </w:rPr>
              <w:t>4.417</w:t>
            </w:r>
            <w:r>
              <w:rPr>
                <w:rFonts w:ascii="Times New Roman" w:hAnsi="Times New Roman" w:cs="Times New Roman"/>
                <w:color w:val="auto"/>
                <w:sz w:val="24"/>
                <w:lang w:eastAsia="zh-CN"/>
              </w:rPr>
              <w:t>t/a。本次评价建议企业</w:t>
            </w:r>
            <w:r>
              <w:rPr>
                <w:rFonts w:hint="eastAsia" w:ascii="Times New Roman" w:hAnsi="Times New Roman" w:cs="Times New Roman"/>
                <w:color w:val="auto"/>
                <w:sz w:val="24"/>
                <w:lang w:eastAsia="zh-CN"/>
              </w:rPr>
              <w:t>每</w:t>
            </w:r>
            <w:r>
              <w:rPr>
                <w:rFonts w:ascii="Times New Roman" w:hAnsi="Times New Roman" w:cs="Times New Roman"/>
                <w:color w:val="auto"/>
                <w:sz w:val="24"/>
                <w:lang w:eastAsia="zh-CN"/>
              </w:rPr>
              <w:t>季度更换一次活性炭，以确保活性炭吸附效果。</w:t>
            </w:r>
            <w:r>
              <w:rPr>
                <w:rFonts w:ascii="Times New Roman" w:hAnsi="Times New Roman" w:eastAsia="宋体" w:cs="Times New Roman"/>
                <w:color w:val="auto"/>
                <w:sz w:val="24"/>
              </w:rPr>
              <w:t>根据《国家危险废物名录》</w:t>
            </w:r>
            <w:r>
              <w:rPr>
                <w:rFonts w:ascii="Times New Roman" w:hAnsi="Times New Roman" w:cs="Times New Roman"/>
                <w:color w:val="auto"/>
                <w:sz w:val="24"/>
                <w:lang w:eastAsia="zh-CN"/>
              </w:rPr>
              <w:t>（2025版）</w:t>
            </w:r>
            <w:r>
              <w:rPr>
                <w:rFonts w:ascii="Times New Roman" w:hAnsi="Times New Roman" w:eastAsia="宋体" w:cs="Times New Roman"/>
                <w:color w:val="auto"/>
                <w:sz w:val="24"/>
              </w:rPr>
              <w:t>，废活性炭属于危险废物，废物类别HW49，废物代码900-039-49，经收集后</w:t>
            </w:r>
            <w:r>
              <w:rPr>
                <w:rFonts w:ascii="Times New Roman" w:hAnsi="Times New Roman" w:cs="Times New Roman"/>
                <w:color w:val="auto"/>
                <w:sz w:val="24"/>
                <w:lang w:eastAsia="zh-CN"/>
              </w:rPr>
              <w:t>由薄膜包裹缠绕后存放密闭包装桶内并</w:t>
            </w:r>
            <w:r>
              <w:rPr>
                <w:rFonts w:ascii="Times New Roman" w:hAnsi="Times New Roman" w:eastAsia="宋体" w:cs="Times New Roman"/>
                <w:color w:val="auto"/>
                <w:sz w:val="24"/>
              </w:rPr>
              <w:t>暂存于危险废物暂存</w:t>
            </w:r>
            <w:r>
              <w:rPr>
                <w:rFonts w:ascii="Times New Roman" w:hAnsi="Times New Roman" w:cs="Times New Roman"/>
                <w:color w:val="auto"/>
                <w:sz w:val="24"/>
                <w:lang w:eastAsia="zh-CN"/>
              </w:rPr>
              <w:t>间</w:t>
            </w:r>
            <w:r>
              <w:rPr>
                <w:rFonts w:ascii="Times New Roman" w:hAnsi="Times New Roman" w:eastAsia="宋体" w:cs="Times New Roman"/>
                <w:color w:val="auto"/>
                <w:sz w:val="24"/>
              </w:rPr>
              <w:t>，由有资质单位进行处理。</w:t>
            </w:r>
          </w:p>
          <w:p w14:paraId="7C956015">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rPr>
              <w:t>废过滤棉：</w:t>
            </w:r>
            <w:r>
              <w:rPr>
                <w:rFonts w:hint="default" w:ascii="Times New Roman" w:hAnsi="Times New Roman" w:eastAsia="宋体" w:cs="Times New Roman"/>
                <w:sz w:val="24"/>
                <w:szCs w:val="24"/>
              </w:rPr>
              <w:t>本项目对</w:t>
            </w:r>
            <w:r>
              <w:rPr>
                <w:rFonts w:hint="eastAsia" w:ascii="Times New Roman" w:hAnsi="Times New Roman" w:eastAsia="宋体" w:cs="Times New Roman"/>
                <w:sz w:val="24"/>
                <w:szCs w:val="24"/>
                <w:lang w:eastAsia="zh-CN"/>
              </w:rPr>
              <w:t>电泳漆雾</w:t>
            </w:r>
            <w:r>
              <w:rPr>
                <w:rFonts w:hint="default" w:ascii="Times New Roman" w:hAnsi="Times New Roman" w:eastAsia="宋体" w:cs="Times New Roman"/>
                <w:sz w:val="24"/>
                <w:szCs w:val="24"/>
              </w:rPr>
              <w:t>采用干式过滤箱进行吸附过滤处理</w:t>
            </w:r>
            <w:r>
              <w:rPr>
                <w:rFonts w:hint="eastAsia" w:ascii="Times New Roman" w:hAnsi="Times New Roman" w:eastAsia="宋体" w:cs="Times New Roman"/>
                <w:sz w:val="24"/>
                <w:szCs w:val="24"/>
                <w:lang w:eastAsia="zh-CN"/>
              </w:rPr>
              <w:t>，漆雾主要成分为水分及挥发性有机物，</w:t>
            </w:r>
            <w:r>
              <w:rPr>
                <w:rFonts w:hint="default" w:ascii="Times New Roman" w:hAnsi="Times New Roman" w:eastAsia="宋体" w:cs="Times New Roman"/>
                <w:sz w:val="24"/>
                <w:szCs w:val="24"/>
              </w:rPr>
              <w:t>项目的废过滤棉产生量约为</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t/a（含吸附的漆雾量），经查《国家危险废物名录（202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版）》，为危险固废，废物类别HW49（900-041-49），委托有资质单位收集处理。</w:t>
            </w:r>
          </w:p>
          <w:p w14:paraId="244A5BD1">
            <w:pPr>
              <w:kinsoku/>
              <w:adjustRightInd/>
              <w:snapToGrid/>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）废槽渣：项目在酸洗、表调、磷化、电泳工序中会产生废槽渣，废槽渣产生量约为</w:t>
            </w:r>
            <w:r>
              <w:rPr>
                <w:rFonts w:hint="eastAsia" w:ascii="Times New Roman" w:hAnsi="Times New Roman" w:eastAsia="宋体" w:cs="Times New Roman"/>
                <w:color w:val="auto"/>
                <w:sz w:val="24"/>
                <w:szCs w:val="24"/>
                <w:lang w:val="en-US" w:eastAsia="zh-CN"/>
              </w:rPr>
              <w:t>4.5t/a。项目槽渣属于危险废物，废物类别为HW17表面处理废物，废物代码为336-064-17，收集后存放于危险废物暂存间，委托具有危险废物处理资质单位处置。</w:t>
            </w:r>
          </w:p>
          <w:p w14:paraId="3FA710D6">
            <w:pPr>
              <w:kinsoku/>
              <w:adjustRightInd/>
              <w:snapToGrid/>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（4）污泥：</w:t>
            </w: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自建污水处理站</w:t>
            </w:r>
            <w:r>
              <w:rPr>
                <w:rFonts w:hint="default" w:ascii="Times New Roman" w:hAnsi="Times New Roman" w:cs="Times New Roman"/>
                <w:color w:val="auto"/>
                <w:sz w:val="24"/>
                <w:szCs w:val="24"/>
                <w:lang w:val="en-US" w:eastAsia="zh-CN"/>
              </w:rPr>
              <w:t>运行过程中会有污泥产生，</w:t>
            </w:r>
            <w:r>
              <w:rPr>
                <w:rFonts w:hint="eastAsia" w:ascii="Times New Roman" w:hAnsi="Times New Roman" w:cs="Times New Roman"/>
                <w:color w:val="auto"/>
                <w:sz w:val="24"/>
                <w:szCs w:val="24"/>
                <w:lang w:val="en-US" w:eastAsia="zh-CN"/>
              </w:rPr>
              <w:t>污泥成分主要为铁屑以及其他含有少量的盐酸、磷化液成分杂质，</w:t>
            </w:r>
            <w:r>
              <w:rPr>
                <w:rFonts w:hint="default" w:ascii="Times New Roman" w:hAnsi="Times New Roman" w:cs="Times New Roman"/>
                <w:color w:val="auto"/>
                <w:sz w:val="24"/>
                <w:szCs w:val="24"/>
                <w:lang w:val="en-US" w:eastAsia="zh-CN"/>
              </w:rPr>
              <w:t>根据企业提供的资料可知污泥产生量约为</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综合考虑，</w:t>
            </w:r>
            <w:r>
              <w:rPr>
                <w:rFonts w:hint="default" w:ascii="Times New Roman" w:hAnsi="Times New Roman" w:cs="Times New Roman"/>
                <w:color w:val="auto"/>
                <w:sz w:val="24"/>
                <w:szCs w:val="24"/>
                <w:lang w:val="en-US" w:eastAsia="zh-CN"/>
              </w:rPr>
              <w:t>对照</w:t>
            </w:r>
            <w:r>
              <w:rPr>
                <w:rFonts w:hint="default" w:ascii="Times New Roman" w:hAnsi="Times New Roman" w:eastAsia="宋体" w:cs="Times New Roman"/>
                <w:b w:val="0"/>
                <w:bCs w:val="0"/>
                <w:color w:val="auto"/>
                <w:sz w:val="24"/>
                <w:szCs w:val="24"/>
                <w:lang w:val="en-US" w:eastAsia="zh-CN"/>
              </w:rPr>
              <w:t>《国家危险废物名录》（202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版）</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本项目所产生的污泥作为危险废物，</w:t>
            </w:r>
            <w:r>
              <w:rPr>
                <w:rFonts w:hint="default" w:ascii="Times New Roman" w:hAnsi="Times New Roman" w:cs="Times New Roman"/>
                <w:color w:val="auto"/>
                <w:sz w:val="24"/>
                <w:szCs w:val="24"/>
                <w:lang w:val="en-US" w:eastAsia="zh-CN"/>
              </w:rPr>
              <w:t>废物类别为HW17 其他废物，废物代码为336-064-17，收集后存放于危险废物暂存间，委托具有危险废物处理资质单位处置。</w:t>
            </w:r>
          </w:p>
          <w:p w14:paraId="786B3DA8">
            <w:pPr>
              <w:kinsoku/>
              <w:adjustRightInd/>
              <w:snapToGrid/>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auto"/>
                <w:sz w:val="24"/>
                <w:szCs w:val="24"/>
                <w:lang w:val="en-US" w:eastAsia="zh-CN"/>
              </w:rPr>
              <w:t>（5）</w:t>
            </w:r>
            <w:r>
              <w:rPr>
                <w:rFonts w:hint="eastAsia" w:ascii="Times New Roman" w:hAnsi="Times New Roman" w:eastAsia="宋体" w:cs="Times New Roman"/>
                <w:color w:val="000000" w:themeColor="text1"/>
                <w:sz w:val="24"/>
                <w:szCs w:val="24"/>
                <w14:textFill>
                  <w14:solidFill>
                    <w14:schemeClr w14:val="tx1"/>
                  </w14:solidFill>
                </w14:textFill>
              </w:rPr>
              <w:t>纯水制备机</w:t>
            </w:r>
            <w:r>
              <w:rPr>
                <w:rFonts w:ascii="Times New Roman" w:hAnsi="Times New Roman" w:eastAsia="宋体" w:cs="Times New Roman"/>
                <w:color w:val="000000" w:themeColor="text1"/>
                <w:sz w:val="24"/>
                <w:szCs w:val="24"/>
                <w14:textFill>
                  <w14:solidFill>
                    <w14:schemeClr w14:val="tx1"/>
                  </w14:solidFill>
                </w14:textFill>
              </w:rPr>
              <w:t>废</w:t>
            </w:r>
            <w:r>
              <w:rPr>
                <w:rFonts w:hint="eastAsia" w:ascii="Times New Roman" w:hAnsi="Times New Roman" w:eastAsia="宋体" w:cs="Times New Roman"/>
                <w:color w:val="000000" w:themeColor="text1"/>
                <w:sz w:val="24"/>
                <w:szCs w:val="24"/>
                <w14:textFill>
                  <w14:solidFill>
                    <w14:schemeClr w14:val="tx1"/>
                  </w14:solidFill>
                </w14:textFill>
              </w:rPr>
              <w:t>树脂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滤芯滤膜</w:t>
            </w:r>
            <w:r>
              <w:rPr>
                <w:rFonts w:hint="eastAsia" w:ascii="Times New Roman" w:hAnsi="Times New Roman" w:eastAsia="宋体" w:cs="Times New Roman"/>
                <w:color w:val="000000" w:themeColor="text1"/>
                <w:sz w:val="24"/>
                <w:szCs w:val="24"/>
                <w14:textFill>
                  <w14:solidFill>
                    <w14:schemeClr w14:val="tx1"/>
                  </w14:solidFill>
                </w14:textFill>
              </w:rPr>
              <w:t>：项目纯水制备设备废离子交换树脂废滤芯滤膜材料需定期更换，产生量约 0.02t/a，厂家负责维护更换带走。</w:t>
            </w:r>
          </w:p>
          <w:p w14:paraId="12BED8B4">
            <w:pPr>
              <w:kinsoku/>
              <w:adjustRightInd/>
              <w:snapToGrid/>
              <w:spacing w:line="360" w:lineRule="auto"/>
              <w:rPr>
                <w:rFonts w:ascii="Times New Roman" w:hAnsi="Times New Roman" w:eastAsia="宋体" w:cs="Times New Roman"/>
                <w:color w:val="000000" w:themeColor="text1"/>
                <w:sz w:val="24"/>
                <w:lang w:eastAsia="zh-CN" w:bidi="zh-CN"/>
                <w14:textFill>
                  <w14:solidFill>
                    <w14:schemeClr w14:val="tx1"/>
                  </w14:solidFill>
                </w14:textFill>
              </w:rPr>
            </w:pPr>
            <w:r>
              <w:rPr>
                <w:rFonts w:hint="eastAsia" w:ascii="Times New Roman" w:hAnsi="Times New Roman" w:eastAsia="宋体" w:cs="Times New Roman"/>
                <w:b/>
                <w:bCs/>
                <w:color w:val="000000" w:themeColor="text1"/>
                <w:sz w:val="24"/>
                <w:lang w:eastAsia="zh-CN" w:bidi="zh-CN"/>
                <w14:textFill>
                  <w14:solidFill>
                    <w14:schemeClr w14:val="tx1"/>
                  </w14:solidFill>
                </w14:textFill>
              </w:rPr>
              <w:t>3、生活垃圾</w:t>
            </w:r>
          </w:p>
          <w:p w14:paraId="3E8C2009">
            <w:pPr>
              <w:kinsoku/>
              <w:adjustRightInd/>
              <w:snapToGrid/>
              <w:spacing w:line="360" w:lineRule="auto"/>
              <w:ind w:firstLine="480" w:firstLineChars="200"/>
              <w:rPr>
                <w:rFonts w:ascii="Times New Roman" w:hAnsi="Times New Roman" w:eastAsia="宋体" w:cs="Times New Roman"/>
                <w:color w:val="000000" w:themeColor="text1"/>
                <w:sz w:val="24"/>
                <w:lang w:eastAsia="zh-CN" w:bidi="zh-CN"/>
                <w14:textFill>
                  <w14:solidFill>
                    <w14:schemeClr w14:val="tx1"/>
                  </w14:solidFill>
                </w14:textFill>
              </w:rPr>
            </w:pPr>
            <w:r>
              <w:rPr>
                <w:rFonts w:ascii="Times New Roman" w:hAnsi="Times New Roman" w:eastAsia="宋体" w:cs="Times New Roman"/>
                <w:color w:val="000000" w:themeColor="text1"/>
                <w:sz w:val="24"/>
                <w:lang w:eastAsia="zh-CN" w:bidi="zh-CN"/>
                <w14:textFill>
                  <w14:solidFill>
                    <w14:schemeClr w14:val="tx1"/>
                  </w14:solidFill>
                </w14:textFill>
              </w:rPr>
              <w:t>生活垃圾：本项目职工生活垃圾产生量按0.5kg/人d计，项目职工人数为</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30</w:t>
            </w:r>
            <w:r>
              <w:rPr>
                <w:rFonts w:ascii="Times New Roman" w:hAnsi="Times New Roman" w:eastAsia="宋体" w:cs="Times New Roman"/>
                <w:color w:val="000000" w:themeColor="text1"/>
                <w:sz w:val="24"/>
                <w:lang w:eastAsia="zh-CN" w:bidi="zh-CN"/>
                <w14:textFill>
                  <w14:solidFill>
                    <w14:schemeClr w14:val="tx1"/>
                  </w14:solidFill>
                </w14:textFill>
              </w:rPr>
              <w:t>人，生活垃圾产生量为</w:t>
            </w:r>
            <w:r>
              <w:rPr>
                <w:rFonts w:hint="eastAsia" w:ascii="Times New Roman" w:hAnsi="Times New Roman" w:eastAsia="宋体" w:cs="Times New Roman"/>
                <w:color w:val="000000" w:themeColor="text1"/>
                <w:sz w:val="24"/>
                <w:lang w:val="en-US" w:eastAsia="zh-CN" w:bidi="zh-CN"/>
                <w14:textFill>
                  <w14:solidFill>
                    <w14:schemeClr w14:val="tx1"/>
                  </w14:solidFill>
                </w14:textFill>
              </w:rPr>
              <w:t>4.5</w:t>
            </w:r>
            <w:r>
              <w:rPr>
                <w:rFonts w:ascii="Times New Roman" w:hAnsi="Times New Roman" w:eastAsia="宋体" w:cs="Times New Roman"/>
                <w:color w:val="000000" w:themeColor="text1"/>
                <w:sz w:val="24"/>
                <w:lang w:eastAsia="zh-CN" w:bidi="zh-CN"/>
                <w14:textFill>
                  <w14:solidFill>
                    <w14:schemeClr w14:val="tx1"/>
                  </w14:solidFill>
                </w14:textFill>
              </w:rPr>
              <w:t>t/a，统一堆放在指定堆放点，由环卫部门清运处理。</w:t>
            </w:r>
          </w:p>
          <w:p w14:paraId="20B5C2AA">
            <w:pPr>
              <w:kinsoku/>
              <w:adjustRightInd/>
              <w:snapToGrid/>
              <w:spacing w:line="360" w:lineRule="auto"/>
              <w:ind w:firstLine="480" w:firstLineChars="200"/>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bidi="zh-CN"/>
                <w14:textFill>
                  <w14:solidFill>
                    <w14:schemeClr w14:val="tx1"/>
                  </w14:solidFill>
                </w14:textFill>
              </w:rPr>
              <w:t>项目运营期固体废物产生情况见</w:t>
            </w:r>
            <w:r>
              <w:rPr>
                <w:rFonts w:hint="eastAsia" w:ascii="Times New Roman" w:hAnsi="Times New Roman" w:eastAsia="宋体" w:cs="Times New Roman"/>
                <w:color w:val="000000" w:themeColor="text1"/>
                <w:sz w:val="24"/>
                <w:lang w:eastAsia="zh-CN" w:bidi="zh-CN"/>
                <w14:textFill>
                  <w14:solidFill>
                    <w14:schemeClr w14:val="tx1"/>
                  </w14:solidFill>
                </w14:textFill>
              </w:rPr>
              <w:t>下</w:t>
            </w:r>
            <w:r>
              <w:rPr>
                <w:rFonts w:ascii="Times New Roman" w:hAnsi="Times New Roman" w:eastAsia="宋体" w:cs="Times New Roman"/>
                <w:color w:val="000000" w:themeColor="text1"/>
                <w:sz w:val="24"/>
                <w:lang w:eastAsia="zh-CN" w:bidi="zh-CN"/>
                <w14:textFill>
                  <w14:solidFill>
                    <w14:schemeClr w14:val="tx1"/>
                  </w14:solidFill>
                </w14:textFill>
              </w:rPr>
              <w:t>表。</w:t>
            </w:r>
          </w:p>
          <w:p w14:paraId="77F9B731">
            <w:pPr>
              <w:kinsoku/>
              <w:adjustRightInd/>
              <w:snapToGrid/>
              <w:jc w:val="center"/>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表4-1</w:t>
            </w:r>
            <w:r>
              <w:rPr>
                <w:rFonts w:hint="eastAsia" w:ascii="Times New Roman" w:hAnsi="Times New Roman" w:eastAsia="宋体" w:cs="Times New Roman"/>
                <w:b/>
                <w:bCs/>
                <w:color w:val="000000" w:themeColor="text1"/>
                <w:sz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lang w:eastAsia="zh-CN"/>
                <w14:textFill>
                  <w14:solidFill>
                    <w14:schemeClr w14:val="tx1"/>
                  </w14:solidFill>
                </w14:textFill>
              </w:rPr>
              <w:t xml:space="preserve"> </w:t>
            </w:r>
            <w:r>
              <w:rPr>
                <w:rFonts w:ascii="Times New Roman" w:hAnsi="Times New Roman" w:eastAsia="宋体" w:cs="Times New Roman"/>
                <w:b/>
                <w:bCs/>
                <w:color w:val="000000" w:themeColor="text1"/>
                <w:sz w:val="24"/>
                <w:lang w:eastAsia="zh-CN"/>
                <w14:textFill>
                  <w14:solidFill>
                    <w14:schemeClr w14:val="tx1"/>
                  </w14:solidFill>
                </w14:textFill>
              </w:rPr>
              <w:t>本项目固废产生情况汇总表单位：t/a</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2"/>
              <w:gridCol w:w="978"/>
              <w:gridCol w:w="1087"/>
              <w:gridCol w:w="660"/>
              <w:gridCol w:w="775"/>
              <w:gridCol w:w="1132"/>
              <w:gridCol w:w="723"/>
              <w:gridCol w:w="895"/>
              <w:gridCol w:w="990"/>
              <w:gridCol w:w="666"/>
              <w:gridCol w:w="1543"/>
            </w:tblGrid>
            <w:tr w14:paraId="3DD2D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41F5BEEC">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序号</w:t>
                  </w:r>
                </w:p>
              </w:tc>
              <w:tc>
                <w:tcPr>
                  <w:tcW w:w="1007" w:type="dxa"/>
                  <w:tcBorders>
                    <w:tl2br w:val="nil"/>
                    <w:tr2bl w:val="nil"/>
                  </w:tcBorders>
                  <w:vAlign w:val="center"/>
                </w:tcPr>
                <w:p w14:paraId="0BAA41C6">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固废名称</w:t>
                  </w:r>
                </w:p>
              </w:tc>
              <w:tc>
                <w:tcPr>
                  <w:tcW w:w="1121" w:type="dxa"/>
                  <w:tcBorders>
                    <w:tl2br w:val="nil"/>
                    <w:tr2bl w:val="nil"/>
                  </w:tcBorders>
                  <w:vAlign w:val="center"/>
                </w:tcPr>
                <w:p w14:paraId="1DA9FAD6">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产生工序</w:t>
                  </w:r>
                </w:p>
              </w:tc>
              <w:tc>
                <w:tcPr>
                  <w:tcW w:w="677" w:type="dxa"/>
                  <w:tcBorders>
                    <w:tl2br w:val="nil"/>
                    <w:tr2bl w:val="nil"/>
                  </w:tcBorders>
                  <w:vAlign w:val="center"/>
                </w:tcPr>
                <w:p w14:paraId="1D08962C">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属性</w:t>
                  </w:r>
                </w:p>
              </w:tc>
              <w:tc>
                <w:tcPr>
                  <w:tcW w:w="797" w:type="dxa"/>
                  <w:tcBorders>
                    <w:tl2br w:val="nil"/>
                    <w:tr2bl w:val="nil"/>
                  </w:tcBorders>
                  <w:vAlign w:val="center"/>
                </w:tcPr>
                <w:p w14:paraId="6D75D2D3">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形态</w:t>
                  </w:r>
                </w:p>
              </w:tc>
              <w:tc>
                <w:tcPr>
                  <w:tcW w:w="1159" w:type="dxa"/>
                  <w:tcBorders>
                    <w:tl2br w:val="nil"/>
                    <w:tr2bl w:val="nil"/>
                  </w:tcBorders>
                  <w:vAlign w:val="center"/>
                </w:tcPr>
                <w:p w14:paraId="5C25D55F">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主要成分</w:t>
                  </w:r>
                </w:p>
              </w:tc>
              <w:tc>
                <w:tcPr>
                  <w:tcW w:w="732" w:type="dxa"/>
                  <w:tcBorders>
                    <w:tl2br w:val="nil"/>
                    <w:tr2bl w:val="nil"/>
                  </w:tcBorders>
                  <w:vAlign w:val="center"/>
                </w:tcPr>
                <w:p w14:paraId="32778CEE">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产生量</w:t>
                  </w:r>
                  <w:r>
                    <w:rPr>
                      <w:rFonts w:ascii="Times New Roman" w:hAnsi="Times New Roman" w:eastAsia="宋体" w:cs="Times New Roman"/>
                      <w:color w:val="000000" w:themeColor="text1"/>
                      <w:lang w:eastAsia="zh-CN"/>
                      <w14:textFill>
                        <w14:solidFill>
                          <w14:schemeClr w14:val="tx1"/>
                        </w14:solidFill>
                      </w14:textFill>
                    </w:rPr>
                    <w:t>t/a</w:t>
                  </w:r>
                </w:p>
              </w:tc>
              <w:tc>
                <w:tcPr>
                  <w:tcW w:w="908" w:type="dxa"/>
                  <w:tcBorders>
                    <w:tl2br w:val="nil"/>
                    <w:tr2bl w:val="nil"/>
                  </w:tcBorders>
                  <w:vAlign w:val="center"/>
                </w:tcPr>
                <w:p w14:paraId="2F66641F">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废物类别</w:t>
                  </w:r>
                </w:p>
              </w:tc>
              <w:tc>
                <w:tcPr>
                  <w:tcW w:w="769" w:type="dxa"/>
                  <w:tcBorders>
                    <w:tl2br w:val="nil"/>
                    <w:tr2bl w:val="nil"/>
                  </w:tcBorders>
                  <w:vAlign w:val="center"/>
                </w:tcPr>
                <w:p w14:paraId="061BD50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废物代码</w:t>
                  </w:r>
                </w:p>
              </w:tc>
              <w:tc>
                <w:tcPr>
                  <w:tcW w:w="677" w:type="dxa"/>
                  <w:tcBorders>
                    <w:tl2br w:val="nil"/>
                    <w:tr2bl w:val="nil"/>
                  </w:tcBorders>
                  <w:vAlign w:val="center"/>
                </w:tcPr>
                <w:p w14:paraId="74C91AC0">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危险特性</w:t>
                  </w:r>
                </w:p>
              </w:tc>
              <w:tc>
                <w:tcPr>
                  <w:tcW w:w="1594" w:type="dxa"/>
                  <w:tcBorders>
                    <w:tl2br w:val="nil"/>
                    <w:tr2bl w:val="nil"/>
                  </w:tcBorders>
                  <w:vAlign w:val="center"/>
                </w:tcPr>
                <w:p w14:paraId="62143F72">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利用处置方式</w:t>
                  </w:r>
                </w:p>
              </w:tc>
            </w:tr>
            <w:tr w14:paraId="4298E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5B93DC63">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007" w:type="dxa"/>
                  <w:tcBorders>
                    <w:tl2br w:val="nil"/>
                    <w:tr2bl w:val="nil"/>
                  </w:tcBorders>
                  <w:vAlign w:val="center"/>
                </w:tcPr>
                <w:p w14:paraId="527AB188">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废包装袋</w:t>
                  </w:r>
                </w:p>
              </w:tc>
              <w:tc>
                <w:tcPr>
                  <w:tcW w:w="1121" w:type="dxa"/>
                  <w:tcBorders>
                    <w:tl2br w:val="nil"/>
                    <w:tr2bl w:val="nil"/>
                  </w:tcBorders>
                  <w:vAlign w:val="center"/>
                </w:tcPr>
                <w:p w14:paraId="47F99A01">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原料包装</w:t>
                  </w:r>
                </w:p>
              </w:tc>
              <w:tc>
                <w:tcPr>
                  <w:tcW w:w="677" w:type="dxa"/>
                  <w:tcBorders>
                    <w:tl2br w:val="nil"/>
                    <w:tr2bl w:val="nil"/>
                  </w:tcBorders>
                  <w:vAlign w:val="center"/>
                </w:tcPr>
                <w:p w14:paraId="4D95EBE8">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一般固废</w:t>
                  </w:r>
                </w:p>
              </w:tc>
              <w:tc>
                <w:tcPr>
                  <w:tcW w:w="797" w:type="dxa"/>
                  <w:tcBorders>
                    <w:tl2br w:val="nil"/>
                    <w:tr2bl w:val="nil"/>
                  </w:tcBorders>
                  <w:vAlign w:val="center"/>
                </w:tcPr>
                <w:p w14:paraId="0B88116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7E115CE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塑料</w:t>
                  </w:r>
                </w:p>
              </w:tc>
              <w:tc>
                <w:tcPr>
                  <w:tcW w:w="732" w:type="dxa"/>
                  <w:tcBorders>
                    <w:tl2br w:val="nil"/>
                    <w:tr2bl w:val="nil"/>
                  </w:tcBorders>
                  <w:vAlign w:val="center"/>
                </w:tcPr>
                <w:p w14:paraId="7B25459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w:t>
                  </w:r>
                </w:p>
              </w:tc>
              <w:tc>
                <w:tcPr>
                  <w:tcW w:w="908" w:type="dxa"/>
                  <w:tcBorders>
                    <w:tl2br w:val="nil"/>
                    <w:tr2bl w:val="nil"/>
                  </w:tcBorders>
                  <w:vAlign w:val="center"/>
                </w:tcPr>
                <w:p w14:paraId="5FEB4C27">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769" w:type="dxa"/>
                  <w:tcBorders>
                    <w:tl2br w:val="nil"/>
                    <w:tr2bl w:val="nil"/>
                  </w:tcBorders>
                  <w:vAlign w:val="center"/>
                </w:tcPr>
                <w:p w14:paraId="60D56B14">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677" w:type="dxa"/>
                  <w:tcBorders>
                    <w:tl2br w:val="nil"/>
                    <w:tr2bl w:val="nil"/>
                  </w:tcBorders>
                  <w:vAlign w:val="center"/>
                </w:tcPr>
                <w:p w14:paraId="7679C238">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1594" w:type="dxa"/>
                  <w:tcBorders>
                    <w:tl2br w:val="nil"/>
                    <w:tr2bl w:val="nil"/>
                  </w:tcBorders>
                  <w:vAlign w:val="center"/>
                </w:tcPr>
                <w:p w14:paraId="381CC406">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统一收集后外售处理</w:t>
                  </w:r>
                </w:p>
              </w:tc>
            </w:tr>
            <w:tr w14:paraId="3947A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7DE5175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w:t>
                  </w:r>
                </w:p>
              </w:tc>
              <w:tc>
                <w:tcPr>
                  <w:tcW w:w="1007" w:type="dxa"/>
                  <w:tcBorders>
                    <w:tl2br w:val="nil"/>
                    <w:tr2bl w:val="nil"/>
                  </w:tcBorders>
                  <w:vAlign w:val="center"/>
                </w:tcPr>
                <w:p w14:paraId="58BE767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金属边角料</w:t>
                  </w:r>
                </w:p>
              </w:tc>
              <w:tc>
                <w:tcPr>
                  <w:tcW w:w="1121" w:type="dxa"/>
                  <w:tcBorders>
                    <w:tl2br w:val="nil"/>
                    <w:tr2bl w:val="nil"/>
                  </w:tcBorders>
                  <w:vAlign w:val="center"/>
                </w:tcPr>
                <w:p w14:paraId="1DD2D2A6">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下料</w:t>
                  </w:r>
                </w:p>
              </w:tc>
              <w:tc>
                <w:tcPr>
                  <w:tcW w:w="677" w:type="dxa"/>
                  <w:tcBorders>
                    <w:tl2br w:val="nil"/>
                    <w:tr2bl w:val="nil"/>
                  </w:tcBorders>
                  <w:vAlign w:val="center"/>
                </w:tcPr>
                <w:p w14:paraId="3BE7FEF9">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一般固废</w:t>
                  </w:r>
                </w:p>
              </w:tc>
              <w:tc>
                <w:tcPr>
                  <w:tcW w:w="797" w:type="dxa"/>
                  <w:tcBorders>
                    <w:tl2br w:val="nil"/>
                    <w:tr2bl w:val="nil"/>
                  </w:tcBorders>
                  <w:vAlign w:val="center"/>
                </w:tcPr>
                <w:p w14:paraId="4E2D7A09">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41AF9478">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钢材</w:t>
                  </w:r>
                </w:p>
              </w:tc>
              <w:tc>
                <w:tcPr>
                  <w:tcW w:w="732" w:type="dxa"/>
                  <w:tcBorders>
                    <w:tl2br w:val="nil"/>
                    <w:tr2bl w:val="nil"/>
                  </w:tcBorders>
                  <w:vAlign w:val="center"/>
                </w:tcPr>
                <w:p w14:paraId="07DF9A56">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908" w:type="dxa"/>
                  <w:tcBorders>
                    <w:tl2br w:val="nil"/>
                    <w:tr2bl w:val="nil"/>
                  </w:tcBorders>
                  <w:vAlign w:val="center"/>
                </w:tcPr>
                <w:p w14:paraId="28308772">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769" w:type="dxa"/>
                  <w:tcBorders>
                    <w:tl2br w:val="nil"/>
                    <w:tr2bl w:val="nil"/>
                  </w:tcBorders>
                  <w:vAlign w:val="center"/>
                </w:tcPr>
                <w:p w14:paraId="68C8EEB6">
                  <w:pPr>
                    <w:kinsoku/>
                    <w:jc w:val="center"/>
                    <w:rPr>
                      <w:rFonts w:ascii="Times New Roman" w:hAnsi="Times New Roman" w:eastAsia="宋体" w:cs="Times New Roman"/>
                      <w:color w:val="000000" w:themeColor="text1"/>
                      <w:lang w:eastAsia="zh-CN" w:bidi="ar"/>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677" w:type="dxa"/>
                  <w:tcBorders>
                    <w:tl2br w:val="nil"/>
                    <w:tr2bl w:val="nil"/>
                  </w:tcBorders>
                  <w:vAlign w:val="center"/>
                </w:tcPr>
                <w:p w14:paraId="7F7AB53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1594" w:type="dxa"/>
                  <w:tcBorders>
                    <w:tl2br w:val="nil"/>
                    <w:tr2bl w:val="nil"/>
                  </w:tcBorders>
                  <w:vAlign w:val="center"/>
                </w:tcPr>
                <w:p w14:paraId="218653C0">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统一收集后外售处理</w:t>
                  </w:r>
                </w:p>
              </w:tc>
            </w:tr>
            <w:tr w14:paraId="323DE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0CFA15D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3</w:t>
                  </w:r>
                </w:p>
              </w:tc>
              <w:tc>
                <w:tcPr>
                  <w:tcW w:w="1007" w:type="dxa"/>
                  <w:tcBorders>
                    <w:tl2br w:val="nil"/>
                    <w:tr2bl w:val="nil"/>
                  </w:tcBorders>
                  <w:vAlign w:val="center"/>
                </w:tcPr>
                <w:p w14:paraId="7123897A">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焊渣</w:t>
                  </w:r>
                </w:p>
              </w:tc>
              <w:tc>
                <w:tcPr>
                  <w:tcW w:w="1121" w:type="dxa"/>
                  <w:tcBorders>
                    <w:tl2br w:val="nil"/>
                    <w:tr2bl w:val="nil"/>
                  </w:tcBorders>
                  <w:vAlign w:val="center"/>
                </w:tcPr>
                <w:p w14:paraId="7B5E010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焊接</w:t>
                  </w:r>
                </w:p>
              </w:tc>
              <w:tc>
                <w:tcPr>
                  <w:tcW w:w="677" w:type="dxa"/>
                  <w:tcBorders>
                    <w:tl2br w:val="nil"/>
                    <w:tr2bl w:val="nil"/>
                  </w:tcBorders>
                  <w:vAlign w:val="center"/>
                </w:tcPr>
                <w:p w14:paraId="605994F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一般固废</w:t>
                  </w:r>
                </w:p>
              </w:tc>
              <w:tc>
                <w:tcPr>
                  <w:tcW w:w="797" w:type="dxa"/>
                  <w:tcBorders>
                    <w:tl2br w:val="nil"/>
                    <w:tr2bl w:val="nil"/>
                  </w:tcBorders>
                  <w:vAlign w:val="center"/>
                </w:tcPr>
                <w:p w14:paraId="67B4056B">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0040BD3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铁</w:t>
                  </w:r>
                </w:p>
              </w:tc>
              <w:tc>
                <w:tcPr>
                  <w:tcW w:w="732" w:type="dxa"/>
                  <w:tcBorders>
                    <w:tl2br w:val="nil"/>
                    <w:tr2bl w:val="nil"/>
                  </w:tcBorders>
                  <w:vAlign w:val="center"/>
                </w:tcPr>
                <w:p w14:paraId="4EA82E5D">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908" w:type="dxa"/>
                  <w:tcBorders>
                    <w:tl2br w:val="nil"/>
                    <w:tr2bl w:val="nil"/>
                  </w:tcBorders>
                  <w:vAlign w:val="center"/>
                </w:tcPr>
                <w:p w14:paraId="25078CE4">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769" w:type="dxa"/>
                  <w:tcBorders>
                    <w:tl2br w:val="nil"/>
                    <w:tr2bl w:val="nil"/>
                  </w:tcBorders>
                  <w:vAlign w:val="center"/>
                </w:tcPr>
                <w:p w14:paraId="2DB4C64B">
                  <w:pPr>
                    <w:kinsoku/>
                    <w:jc w:val="center"/>
                    <w:rPr>
                      <w:rFonts w:ascii="Times New Roman" w:hAnsi="Times New Roman" w:eastAsia="宋体" w:cs="Times New Roman"/>
                      <w:color w:val="000000" w:themeColor="text1"/>
                      <w:lang w:eastAsia="zh-CN" w:bidi="ar"/>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677" w:type="dxa"/>
                  <w:tcBorders>
                    <w:tl2br w:val="nil"/>
                    <w:tr2bl w:val="nil"/>
                  </w:tcBorders>
                  <w:vAlign w:val="center"/>
                </w:tcPr>
                <w:p w14:paraId="0B27FF52">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594" w:type="dxa"/>
                  <w:tcBorders>
                    <w:tl2br w:val="nil"/>
                    <w:tr2bl w:val="nil"/>
                  </w:tcBorders>
                  <w:vAlign w:val="center"/>
                </w:tcPr>
                <w:p w14:paraId="187A98A0">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收集后委托外单位处置</w:t>
                  </w:r>
                </w:p>
              </w:tc>
            </w:tr>
            <w:tr w14:paraId="1E701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0D1C656C">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4</w:t>
                  </w:r>
                </w:p>
              </w:tc>
              <w:tc>
                <w:tcPr>
                  <w:tcW w:w="1007" w:type="dxa"/>
                  <w:tcBorders>
                    <w:tl2br w:val="nil"/>
                    <w:tr2bl w:val="nil"/>
                  </w:tcBorders>
                  <w:vAlign w:val="center"/>
                </w:tcPr>
                <w:p w14:paraId="156B8840">
                  <w:pPr>
                    <w:kinsoku/>
                    <w:jc w:val="center"/>
                    <w:rPr>
                      <w:rFonts w:ascii="Times New Roman" w:hAnsi="Times New Roman" w:eastAsia="宋体" w:cs="Times New Roman"/>
                      <w:color w:val="E54C5E" w:themeColor="accent6"/>
                      <w:lang w:eastAsia="zh-CN"/>
                      <w14:textFill>
                        <w14:solidFill>
                          <w14:schemeClr w14:val="accent6"/>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收集尘</w:t>
                  </w:r>
                </w:p>
              </w:tc>
              <w:tc>
                <w:tcPr>
                  <w:tcW w:w="1121" w:type="dxa"/>
                  <w:tcBorders>
                    <w:tl2br w:val="nil"/>
                    <w:tr2bl w:val="nil"/>
                  </w:tcBorders>
                  <w:vAlign w:val="center"/>
                </w:tcPr>
                <w:p w14:paraId="5956B293">
                  <w:pPr>
                    <w:kinsoku/>
                    <w:jc w:val="center"/>
                    <w:rPr>
                      <w:rFonts w:hint="eastAsia" w:ascii="Times New Roman" w:hAnsi="Times New Roman" w:eastAsia="宋体" w:cs="Times New Roman"/>
                      <w:color w:val="E54C5E" w:themeColor="accent6"/>
                      <w:lang w:eastAsia="zh-CN"/>
                      <w14:textFill>
                        <w14:solidFill>
                          <w14:schemeClr w14:val="accent6"/>
                        </w14:solidFill>
                      </w14:textFill>
                    </w:rPr>
                  </w:pPr>
                  <w:r>
                    <w:rPr>
                      <w:rFonts w:ascii="Times New Roman" w:hAnsi="Times New Roman" w:eastAsia="宋体" w:cs="Times New Roman"/>
                      <w:color w:val="000000" w:themeColor="text1"/>
                      <w14:textFill>
                        <w14:solidFill>
                          <w14:schemeClr w14:val="tx1"/>
                        </w14:solidFill>
                      </w14:textFill>
                    </w:rPr>
                    <w:t>废气</w:t>
                  </w:r>
                  <w:r>
                    <w:rPr>
                      <w:rFonts w:hint="eastAsia" w:ascii="Times New Roman" w:hAnsi="Times New Roman" w:eastAsia="宋体" w:cs="Times New Roman"/>
                      <w:color w:val="000000" w:themeColor="text1"/>
                      <w:lang w:val="en-US" w:eastAsia="zh-CN"/>
                      <w14:textFill>
                        <w14:solidFill>
                          <w14:schemeClr w14:val="tx1"/>
                        </w14:solidFill>
                      </w14:textFill>
                    </w:rPr>
                    <w:t>收集</w:t>
                  </w:r>
                </w:p>
              </w:tc>
              <w:tc>
                <w:tcPr>
                  <w:tcW w:w="677" w:type="dxa"/>
                  <w:tcBorders>
                    <w:tl2br w:val="nil"/>
                    <w:tr2bl w:val="nil"/>
                  </w:tcBorders>
                  <w:vAlign w:val="center"/>
                </w:tcPr>
                <w:p w14:paraId="6E0D9B80">
                  <w:pPr>
                    <w:kinsoku/>
                    <w:jc w:val="center"/>
                    <w:rPr>
                      <w:rFonts w:ascii="Times New Roman" w:hAnsi="Times New Roman" w:eastAsia="宋体" w:cs="Times New Roman"/>
                      <w:color w:val="E54C5E" w:themeColor="accent6"/>
                      <w:lang w:eastAsia="zh-CN"/>
                      <w14:textFill>
                        <w14:solidFill>
                          <w14:schemeClr w14:val="accent6"/>
                        </w14:solidFill>
                      </w14:textFill>
                    </w:rPr>
                  </w:pPr>
                  <w:r>
                    <w:rPr>
                      <w:rFonts w:ascii="Times New Roman" w:hAnsi="Times New Roman" w:eastAsia="宋体" w:cs="Times New Roman"/>
                      <w:color w:val="000000" w:themeColor="text1"/>
                      <w:lang w:eastAsia="zh-CN"/>
                      <w14:textFill>
                        <w14:solidFill>
                          <w14:schemeClr w14:val="tx1"/>
                        </w14:solidFill>
                      </w14:textFill>
                    </w:rPr>
                    <w:t>一般固废</w:t>
                  </w:r>
                </w:p>
              </w:tc>
              <w:tc>
                <w:tcPr>
                  <w:tcW w:w="797" w:type="dxa"/>
                  <w:tcBorders>
                    <w:tl2br w:val="nil"/>
                    <w:tr2bl w:val="nil"/>
                  </w:tcBorders>
                  <w:vAlign w:val="center"/>
                </w:tcPr>
                <w:p w14:paraId="1B135F22">
                  <w:pPr>
                    <w:kinsoku/>
                    <w:jc w:val="center"/>
                    <w:rPr>
                      <w:rFonts w:ascii="Times New Roman" w:hAnsi="Times New Roman" w:eastAsia="宋体" w:cs="Times New Roman"/>
                      <w:color w:val="E54C5E" w:themeColor="accent6"/>
                      <w14:textFill>
                        <w14:solidFill>
                          <w14:schemeClr w14:val="accent6"/>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513568E7">
                  <w:pPr>
                    <w:kinsoku/>
                    <w:jc w:val="center"/>
                    <w:rPr>
                      <w:rFonts w:ascii="Times New Roman" w:hAnsi="Times New Roman" w:eastAsia="宋体" w:cs="Times New Roman"/>
                      <w:color w:val="E54C5E" w:themeColor="accent6"/>
                      <w:lang w:eastAsia="zh-CN"/>
                      <w14:textFill>
                        <w14:solidFill>
                          <w14:schemeClr w14:val="accent6"/>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金属粉尘</w:t>
                  </w:r>
                </w:p>
              </w:tc>
              <w:tc>
                <w:tcPr>
                  <w:tcW w:w="732" w:type="dxa"/>
                  <w:tcBorders>
                    <w:tl2br w:val="nil"/>
                    <w:tr2bl w:val="nil"/>
                  </w:tcBorders>
                  <w:vAlign w:val="center"/>
                </w:tcPr>
                <w:p w14:paraId="09063FB0">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18.32</w:t>
                  </w:r>
                </w:p>
              </w:tc>
              <w:tc>
                <w:tcPr>
                  <w:tcW w:w="908" w:type="dxa"/>
                  <w:tcBorders>
                    <w:tl2br w:val="nil"/>
                    <w:tr2bl w:val="nil"/>
                  </w:tcBorders>
                  <w:vAlign w:val="center"/>
                </w:tcPr>
                <w:p w14:paraId="4FC5E747">
                  <w:pPr>
                    <w:kinsoku/>
                    <w:jc w:val="center"/>
                    <w:rPr>
                      <w:rFonts w:ascii="Times New Roman" w:hAnsi="Times New Roman" w:eastAsia="宋体" w:cs="Times New Roman"/>
                      <w:color w:val="E54C5E" w:themeColor="accent6"/>
                      <w:lang w:eastAsia="zh-CN"/>
                      <w14:textFill>
                        <w14:solidFill>
                          <w14:schemeClr w14:val="accent6"/>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769" w:type="dxa"/>
                  <w:tcBorders>
                    <w:tl2br w:val="nil"/>
                    <w:tr2bl w:val="nil"/>
                  </w:tcBorders>
                  <w:vAlign w:val="center"/>
                </w:tcPr>
                <w:p w14:paraId="76466C4D">
                  <w:pPr>
                    <w:kinsoku/>
                    <w:jc w:val="center"/>
                    <w:rPr>
                      <w:rFonts w:ascii="Times New Roman" w:hAnsi="Times New Roman" w:eastAsia="宋体" w:cs="Times New Roman"/>
                      <w:color w:val="E54C5E" w:themeColor="accent6"/>
                      <w:lang w:eastAsia="zh-CN" w:bidi="ar"/>
                      <w14:textFill>
                        <w14:solidFill>
                          <w14:schemeClr w14:val="accent6"/>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677" w:type="dxa"/>
                  <w:tcBorders>
                    <w:tl2br w:val="nil"/>
                    <w:tr2bl w:val="nil"/>
                  </w:tcBorders>
                  <w:vAlign w:val="center"/>
                </w:tcPr>
                <w:p w14:paraId="06B5BA31">
                  <w:pPr>
                    <w:kinsoku/>
                    <w:jc w:val="center"/>
                    <w:rPr>
                      <w:rFonts w:ascii="Times New Roman" w:hAnsi="Times New Roman" w:eastAsia="宋体" w:cs="Times New Roman"/>
                      <w:color w:val="E54C5E" w:themeColor="accent6"/>
                      <w:lang w:eastAsia="zh-CN"/>
                      <w14:textFill>
                        <w14:solidFill>
                          <w14:schemeClr w14:val="accent6"/>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594" w:type="dxa"/>
                  <w:tcBorders>
                    <w:tl2br w:val="nil"/>
                    <w:tr2bl w:val="nil"/>
                  </w:tcBorders>
                  <w:vAlign w:val="center"/>
                </w:tcPr>
                <w:p w14:paraId="04B492CA">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收集后委托外单位处置</w:t>
                  </w:r>
                </w:p>
              </w:tc>
            </w:tr>
            <w:tr w14:paraId="352AC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6BB6AC3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1007" w:type="dxa"/>
                  <w:tcBorders>
                    <w:tl2br w:val="nil"/>
                    <w:tr2bl w:val="nil"/>
                  </w:tcBorders>
                  <w:vAlign w:val="center"/>
                </w:tcPr>
                <w:p w14:paraId="3E36740A">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废布袋</w:t>
                  </w:r>
                </w:p>
              </w:tc>
              <w:tc>
                <w:tcPr>
                  <w:tcW w:w="1121" w:type="dxa"/>
                  <w:tcBorders>
                    <w:tl2br w:val="nil"/>
                    <w:tr2bl w:val="nil"/>
                  </w:tcBorders>
                  <w:vAlign w:val="center"/>
                </w:tcPr>
                <w:p w14:paraId="16145AC4">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废气</w:t>
                  </w:r>
                  <w:r>
                    <w:rPr>
                      <w:rFonts w:hint="eastAsia" w:ascii="Times New Roman" w:hAnsi="Times New Roman" w:eastAsia="宋体" w:cs="Times New Roman"/>
                      <w:color w:val="000000" w:themeColor="text1"/>
                      <w:lang w:val="en-US" w:eastAsia="zh-CN"/>
                      <w14:textFill>
                        <w14:solidFill>
                          <w14:schemeClr w14:val="tx1"/>
                        </w14:solidFill>
                      </w14:textFill>
                    </w:rPr>
                    <w:t>收集</w:t>
                  </w:r>
                </w:p>
              </w:tc>
              <w:tc>
                <w:tcPr>
                  <w:tcW w:w="677" w:type="dxa"/>
                  <w:tcBorders>
                    <w:tl2br w:val="nil"/>
                    <w:tr2bl w:val="nil"/>
                  </w:tcBorders>
                  <w:vAlign w:val="center"/>
                </w:tcPr>
                <w:p w14:paraId="79807D3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一般固废</w:t>
                  </w:r>
                </w:p>
              </w:tc>
              <w:tc>
                <w:tcPr>
                  <w:tcW w:w="797" w:type="dxa"/>
                  <w:tcBorders>
                    <w:tl2br w:val="nil"/>
                    <w:tr2bl w:val="nil"/>
                  </w:tcBorders>
                  <w:vAlign w:val="center"/>
                </w:tcPr>
                <w:p w14:paraId="0F85B154">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0F99D5C3">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布袋</w:t>
                  </w:r>
                </w:p>
              </w:tc>
              <w:tc>
                <w:tcPr>
                  <w:tcW w:w="732" w:type="dxa"/>
                  <w:tcBorders>
                    <w:tl2br w:val="nil"/>
                    <w:tr2bl w:val="nil"/>
                  </w:tcBorders>
                  <w:vAlign w:val="center"/>
                </w:tcPr>
                <w:p w14:paraId="7CFFC450">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w:t>
                  </w:r>
                </w:p>
              </w:tc>
              <w:tc>
                <w:tcPr>
                  <w:tcW w:w="908" w:type="dxa"/>
                  <w:tcBorders>
                    <w:tl2br w:val="nil"/>
                    <w:tr2bl w:val="nil"/>
                  </w:tcBorders>
                  <w:vAlign w:val="center"/>
                </w:tcPr>
                <w:p w14:paraId="703AD39D">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769" w:type="dxa"/>
                  <w:tcBorders>
                    <w:tl2br w:val="nil"/>
                    <w:tr2bl w:val="nil"/>
                  </w:tcBorders>
                  <w:vAlign w:val="center"/>
                </w:tcPr>
                <w:p w14:paraId="4F728C86">
                  <w:pPr>
                    <w:kinsoku/>
                    <w:jc w:val="center"/>
                    <w:rPr>
                      <w:rFonts w:ascii="Times New Roman" w:hAnsi="Times New Roman" w:eastAsia="宋体" w:cs="Times New Roman"/>
                      <w:color w:val="E54C5E" w:themeColor="accent6"/>
                      <w:lang w:eastAsia="zh-CN" w:bidi="ar"/>
                      <w14:textFill>
                        <w14:solidFill>
                          <w14:schemeClr w14:val="accent6"/>
                        </w14:solidFill>
                      </w14:textFill>
                    </w:rPr>
                  </w:pPr>
                  <w:r>
                    <w:rPr>
                      <w:rFonts w:ascii="Times New Roman" w:hAnsi="Times New Roman" w:eastAsia="宋体" w:cs="Times New Roman"/>
                      <w:color w:val="000000" w:themeColor="text1"/>
                      <w14:textFill>
                        <w14:solidFill>
                          <w14:schemeClr w14:val="tx1"/>
                        </w14:solidFill>
                      </w14:textFill>
                    </w:rPr>
                    <w:t>/</w:t>
                  </w:r>
                </w:p>
              </w:tc>
              <w:tc>
                <w:tcPr>
                  <w:tcW w:w="677" w:type="dxa"/>
                  <w:tcBorders>
                    <w:tl2br w:val="nil"/>
                    <w:tr2bl w:val="nil"/>
                  </w:tcBorders>
                  <w:vAlign w:val="center"/>
                </w:tcPr>
                <w:p w14:paraId="6BE3F538">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1594" w:type="dxa"/>
                  <w:tcBorders>
                    <w:tl2br w:val="nil"/>
                    <w:tr2bl w:val="nil"/>
                  </w:tcBorders>
                  <w:vAlign w:val="center"/>
                </w:tcPr>
                <w:p w14:paraId="18D6099C">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统一收集后外售处理</w:t>
                  </w:r>
                </w:p>
              </w:tc>
            </w:tr>
            <w:tr w14:paraId="1FCBE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6911A18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w:t>
                  </w:r>
                </w:p>
              </w:tc>
              <w:tc>
                <w:tcPr>
                  <w:tcW w:w="1007" w:type="dxa"/>
                  <w:tcBorders>
                    <w:tl2br w:val="nil"/>
                    <w:tr2bl w:val="nil"/>
                  </w:tcBorders>
                  <w:vAlign w:val="center"/>
                </w:tcPr>
                <w:p w14:paraId="66383445">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废钢丸</w:t>
                  </w:r>
                </w:p>
              </w:tc>
              <w:tc>
                <w:tcPr>
                  <w:tcW w:w="1121" w:type="dxa"/>
                  <w:tcBorders>
                    <w:tl2br w:val="nil"/>
                    <w:tr2bl w:val="nil"/>
                  </w:tcBorders>
                  <w:vAlign w:val="center"/>
                </w:tcPr>
                <w:p w14:paraId="26A93997">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抛丸</w:t>
                  </w:r>
                </w:p>
              </w:tc>
              <w:tc>
                <w:tcPr>
                  <w:tcW w:w="677" w:type="dxa"/>
                  <w:tcBorders>
                    <w:tl2br w:val="nil"/>
                    <w:tr2bl w:val="nil"/>
                  </w:tcBorders>
                  <w:vAlign w:val="center"/>
                </w:tcPr>
                <w:p w14:paraId="45C41DA6">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一般固废</w:t>
                  </w:r>
                </w:p>
              </w:tc>
              <w:tc>
                <w:tcPr>
                  <w:tcW w:w="797" w:type="dxa"/>
                  <w:tcBorders>
                    <w:tl2br w:val="nil"/>
                    <w:tr2bl w:val="nil"/>
                  </w:tcBorders>
                  <w:vAlign w:val="center"/>
                </w:tcPr>
                <w:p w14:paraId="282BC0A2">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3B8590E6">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钢丸</w:t>
                  </w:r>
                </w:p>
              </w:tc>
              <w:tc>
                <w:tcPr>
                  <w:tcW w:w="732" w:type="dxa"/>
                  <w:tcBorders>
                    <w:tl2br w:val="nil"/>
                    <w:tr2bl w:val="nil"/>
                  </w:tcBorders>
                  <w:vAlign w:val="center"/>
                </w:tcPr>
                <w:p w14:paraId="1EC23126">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908" w:type="dxa"/>
                  <w:tcBorders>
                    <w:tl2br w:val="nil"/>
                    <w:tr2bl w:val="nil"/>
                  </w:tcBorders>
                  <w:vAlign w:val="center"/>
                </w:tcPr>
                <w:p w14:paraId="558234D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769" w:type="dxa"/>
                  <w:tcBorders>
                    <w:tl2br w:val="nil"/>
                    <w:tr2bl w:val="nil"/>
                  </w:tcBorders>
                  <w:vAlign w:val="center"/>
                </w:tcPr>
                <w:p w14:paraId="37300C64">
                  <w:pPr>
                    <w:kinsoku/>
                    <w:jc w:val="center"/>
                    <w:rPr>
                      <w:rFonts w:ascii="Times New Roman" w:hAnsi="Times New Roman" w:eastAsia="宋体" w:cs="Times New Roman"/>
                      <w:color w:val="E54C5E" w:themeColor="accent6"/>
                      <w:lang w:eastAsia="zh-CN" w:bidi="ar"/>
                      <w14:textFill>
                        <w14:solidFill>
                          <w14:schemeClr w14:val="accent6"/>
                        </w14:solidFill>
                      </w14:textFill>
                    </w:rPr>
                  </w:pPr>
                  <w:r>
                    <w:rPr>
                      <w:rFonts w:ascii="Times New Roman" w:hAnsi="Times New Roman" w:eastAsia="宋体" w:cs="Times New Roman"/>
                      <w:color w:val="000000" w:themeColor="text1"/>
                      <w14:textFill>
                        <w14:solidFill>
                          <w14:schemeClr w14:val="tx1"/>
                        </w14:solidFill>
                      </w14:textFill>
                    </w:rPr>
                    <w:t>/</w:t>
                  </w:r>
                </w:p>
              </w:tc>
              <w:tc>
                <w:tcPr>
                  <w:tcW w:w="677" w:type="dxa"/>
                  <w:tcBorders>
                    <w:tl2br w:val="nil"/>
                    <w:tr2bl w:val="nil"/>
                  </w:tcBorders>
                  <w:vAlign w:val="center"/>
                </w:tcPr>
                <w:p w14:paraId="5F1D07EC">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1594" w:type="dxa"/>
                  <w:tcBorders>
                    <w:tl2br w:val="nil"/>
                    <w:tr2bl w:val="nil"/>
                  </w:tcBorders>
                  <w:vAlign w:val="center"/>
                </w:tcPr>
                <w:p w14:paraId="436D23B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统一收集后外售处理</w:t>
                  </w:r>
                </w:p>
              </w:tc>
            </w:tr>
            <w:tr w14:paraId="5A3D2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55495519">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1007" w:type="dxa"/>
                  <w:tcBorders>
                    <w:tl2br w:val="nil"/>
                    <w:tr2bl w:val="nil"/>
                  </w:tcBorders>
                  <w:vAlign w:val="center"/>
                </w:tcPr>
                <w:p w14:paraId="68272A2B">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挂钩残留物</w:t>
                  </w:r>
                </w:p>
              </w:tc>
              <w:tc>
                <w:tcPr>
                  <w:tcW w:w="1121" w:type="dxa"/>
                  <w:tcBorders>
                    <w:tl2br w:val="nil"/>
                    <w:tr2bl w:val="nil"/>
                  </w:tcBorders>
                  <w:vAlign w:val="center"/>
                </w:tcPr>
                <w:p w14:paraId="2D47E6FA">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固化</w:t>
                  </w:r>
                </w:p>
              </w:tc>
              <w:tc>
                <w:tcPr>
                  <w:tcW w:w="677" w:type="dxa"/>
                  <w:tcBorders>
                    <w:tl2br w:val="nil"/>
                    <w:tr2bl w:val="nil"/>
                  </w:tcBorders>
                  <w:vAlign w:val="center"/>
                </w:tcPr>
                <w:p w14:paraId="0EA436E9">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一般固废</w:t>
                  </w:r>
                </w:p>
              </w:tc>
              <w:tc>
                <w:tcPr>
                  <w:tcW w:w="797" w:type="dxa"/>
                  <w:tcBorders>
                    <w:tl2br w:val="nil"/>
                    <w:tr2bl w:val="nil"/>
                  </w:tcBorders>
                  <w:vAlign w:val="center"/>
                </w:tcPr>
                <w:p w14:paraId="417C8B70">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50CC68C8">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固化塑粉</w:t>
                  </w:r>
                </w:p>
              </w:tc>
              <w:tc>
                <w:tcPr>
                  <w:tcW w:w="732" w:type="dxa"/>
                  <w:tcBorders>
                    <w:tl2br w:val="nil"/>
                    <w:tr2bl w:val="nil"/>
                  </w:tcBorders>
                  <w:vAlign w:val="center"/>
                </w:tcPr>
                <w:p w14:paraId="2D36EEA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w:t>
                  </w:r>
                </w:p>
              </w:tc>
              <w:tc>
                <w:tcPr>
                  <w:tcW w:w="908" w:type="dxa"/>
                  <w:tcBorders>
                    <w:tl2br w:val="nil"/>
                    <w:tr2bl w:val="nil"/>
                  </w:tcBorders>
                  <w:vAlign w:val="center"/>
                </w:tcPr>
                <w:p w14:paraId="791AFF57">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769" w:type="dxa"/>
                  <w:tcBorders>
                    <w:tl2br w:val="nil"/>
                    <w:tr2bl w:val="nil"/>
                  </w:tcBorders>
                  <w:vAlign w:val="center"/>
                </w:tcPr>
                <w:p w14:paraId="744386DF">
                  <w:pPr>
                    <w:kinsoku/>
                    <w:jc w:val="center"/>
                    <w:rPr>
                      <w:rFonts w:ascii="Times New Roman" w:hAnsi="Times New Roman" w:eastAsia="宋体" w:cs="Times New Roman"/>
                      <w:color w:val="E54C5E" w:themeColor="accent6"/>
                      <w:lang w:eastAsia="zh-CN" w:bidi="ar"/>
                      <w14:textFill>
                        <w14:solidFill>
                          <w14:schemeClr w14:val="accent6"/>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677" w:type="dxa"/>
                  <w:tcBorders>
                    <w:tl2br w:val="nil"/>
                    <w:tr2bl w:val="nil"/>
                  </w:tcBorders>
                  <w:vAlign w:val="center"/>
                </w:tcPr>
                <w:p w14:paraId="1F65D10C">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w:t>
                  </w:r>
                </w:p>
              </w:tc>
              <w:tc>
                <w:tcPr>
                  <w:tcW w:w="1594" w:type="dxa"/>
                  <w:tcBorders>
                    <w:tl2br w:val="nil"/>
                    <w:tr2bl w:val="nil"/>
                  </w:tcBorders>
                  <w:vAlign w:val="center"/>
                </w:tcPr>
                <w:p w14:paraId="537DAC67">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收集后委托外单位处置</w:t>
                  </w:r>
                </w:p>
              </w:tc>
            </w:tr>
            <w:tr w14:paraId="717C1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0808F90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p>
              </w:tc>
              <w:tc>
                <w:tcPr>
                  <w:tcW w:w="1007" w:type="dxa"/>
                  <w:tcBorders>
                    <w:tl2br w:val="nil"/>
                    <w:tr2bl w:val="nil"/>
                  </w:tcBorders>
                  <w:vAlign w:val="center"/>
                </w:tcPr>
                <w:p w14:paraId="5B4732F3">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生活垃圾</w:t>
                  </w:r>
                </w:p>
              </w:tc>
              <w:tc>
                <w:tcPr>
                  <w:tcW w:w="1121" w:type="dxa"/>
                  <w:tcBorders>
                    <w:tl2br w:val="nil"/>
                    <w:tr2bl w:val="nil"/>
                  </w:tcBorders>
                  <w:vAlign w:val="center"/>
                </w:tcPr>
                <w:p w14:paraId="557A7C34">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办公生活</w:t>
                  </w:r>
                </w:p>
              </w:tc>
              <w:tc>
                <w:tcPr>
                  <w:tcW w:w="677" w:type="dxa"/>
                  <w:tcBorders>
                    <w:tl2br w:val="nil"/>
                    <w:tr2bl w:val="nil"/>
                  </w:tcBorders>
                  <w:vAlign w:val="center"/>
                </w:tcPr>
                <w:p w14:paraId="56FBAE42">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797" w:type="dxa"/>
                  <w:tcBorders>
                    <w:tl2br w:val="nil"/>
                    <w:tr2bl w:val="nil"/>
                  </w:tcBorders>
                  <w:vAlign w:val="center"/>
                </w:tcPr>
                <w:p w14:paraId="1058EBE0">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固态</w:t>
                  </w:r>
                </w:p>
              </w:tc>
              <w:tc>
                <w:tcPr>
                  <w:tcW w:w="1159" w:type="dxa"/>
                  <w:tcBorders>
                    <w:tl2br w:val="nil"/>
                    <w:tr2bl w:val="nil"/>
                  </w:tcBorders>
                  <w:vAlign w:val="center"/>
                </w:tcPr>
                <w:p w14:paraId="3E5DB84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果皮、纸屑</w:t>
                  </w:r>
                </w:p>
              </w:tc>
              <w:tc>
                <w:tcPr>
                  <w:tcW w:w="732" w:type="dxa"/>
                  <w:tcBorders>
                    <w:tl2br w:val="nil"/>
                    <w:tr2bl w:val="nil"/>
                  </w:tcBorders>
                  <w:vAlign w:val="center"/>
                </w:tcPr>
                <w:p w14:paraId="2C747090">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908" w:type="dxa"/>
                  <w:tcBorders>
                    <w:tl2br w:val="nil"/>
                    <w:tr2bl w:val="nil"/>
                  </w:tcBorders>
                  <w:vAlign w:val="center"/>
                </w:tcPr>
                <w:p w14:paraId="0A0F1131">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769" w:type="dxa"/>
                  <w:tcBorders>
                    <w:tl2br w:val="nil"/>
                    <w:tr2bl w:val="nil"/>
                  </w:tcBorders>
                  <w:vAlign w:val="center"/>
                </w:tcPr>
                <w:p w14:paraId="7F134636">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677" w:type="dxa"/>
                  <w:tcBorders>
                    <w:tl2br w:val="nil"/>
                    <w:tr2bl w:val="nil"/>
                  </w:tcBorders>
                  <w:vAlign w:val="center"/>
                </w:tcPr>
                <w:p w14:paraId="2179756A">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c>
                <w:tcPr>
                  <w:tcW w:w="1594" w:type="dxa"/>
                  <w:tcBorders>
                    <w:tl2br w:val="nil"/>
                    <w:tr2bl w:val="nil"/>
                  </w:tcBorders>
                  <w:vAlign w:val="center"/>
                </w:tcPr>
                <w:p w14:paraId="4B9A1748">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委托环卫部门处置</w:t>
                  </w:r>
                </w:p>
              </w:tc>
            </w:tr>
            <w:tr w14:paraId="342A0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64207FAD">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9</w:t>
                  </w:r>
                </w:p>
              </w:tc>
              <w:tc>
                <w:tcPr>
                  <w:tcW w:w="1007" w:type="dxa"/>
                  <w:tcBorders>
                    <w:tl2br w:val="nil"/>
                    <w:tr2bl w:val="nil"/>
                  </w:tcBorders>
                  <w:vAlign w:val="center"/>
                </w:tcPr>
                <w:p w14:paraId="645E58E3">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废活性炭</w:t>
                  </w:r>
                </w:p>
              </w:tc>
              <w:tc>
                <w:tcPr>
                  <w:tcW w:w="1121" w:type="dxa"/>
                  <w:tcBorders>
                    <w:tl2br w:val="nil"/>
                    <w:tr2bl w:val="nil"/>
                  </w:tcBorders>
                  <w:vAlign w:val="center"/>
                </w:tcPr>
                <w:p w14:paraId="004078F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废气</w:t>
                  </w:r>
                  <w:r>
                    <w:rPr>
                      <w:rFonts w:hint="eastAsia" w:ascii="Times New Roman" w:hAnsi="Times New Roman" w:eastAsia="宋体" w:cs="Times New Roman"/>
                      <w:color w:val="000000" w:themeColor="text1"/>
                      <w:lang w:eastAsia="zh-CN"/>
                      <w14:textFill>
                        <w14:solidFill>
                          <w14:schemeClr w14:val="tx1"/>
                        </w14:solidFill>
                      </w14:textFill>
                    </w:rPr>
                    <w:t>处理</w:t>
                  </w:r>
                </w:p>
              </w:tc>
              <w:tc>
                <w:tcPr>
                  <w:tcW w:w="677" w:type="dxa"/>
                  <w:tcBorders>
                    <w:tl2br w:val="nil"/>
                    <w:tr2bl w:val="nil"/>
                  </w:tcBorders>
                  <w:vAlign w:val="center"/>
                </w:tcPr>
                <w:p w14:paraId="429C080A">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w:t>
                  </w:r>
                </w:p>
              </w:tc>
              <w:tc>
                <w:tcPr>
                  <w:tcW w:w="797" w:type="dxa"/>
                  <w:tcBorders>
                    <w:tl2br w:val="nil"/>
                    <w:tr2bl w:val="nil"/>
                  </w:tcBorders>
                  <w:vAlign w:val="center"/>
                </w:tcPr>
                <w:p w14:paraId="5C4EB6B6">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固态</w:t>
                  </w:r>
                </w:p>
              </w:tc>
              <w:tc>
                <w:tcPr>
                  <w:tcW w:w="1159" w:type="dxa"/>
                  <w:tcBorders>
                    <w:tl2br w:val="nil"/>
                    <w:tr2bl w:val="nil"/>
                  </w:tcBorders>
                  <w:vAlign w:val="center"/>
                </w:tcPr>
                <w:p w14:paraId="28A95B5C">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有机废气、活性炭</w:t>
                  </w:r>
                </w:p>
              </w:tc>
              <w:tc>
                <w:tcPr>
                  <w:tcW w:w="732" w:type="dxa"/>
                  <w:tcBorders>
                    <w:tl2br w:val="nil"/>
                    <w:tr2bl w:val="nil"/>
                  </w:tcBorders>
                  <w:vAlign w:val="center"/>
                </w:tcPr>
                <w:p w14:paraId="763C0D4B">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4.417</w:t>
                  </w:r>
                </w:p>
              </w:tc>
              <w:tc>
                <w:tcPr>
                  <w:tcW w:w="908" w:type="dxa"/>
                  <w:tcBorders>
                    <w:tl2br w:val="nil"/>
                    <w:tr2bl w:val="nil"/>
                  </w:tcBorders>
                  <w:vAlign w:val="center"/>
                </w:tcPr>
                <w:p w14:paraId="5824A636">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HW49</w:t>
                  </w:r>
                </w:p>
              </w:tc>
              <w:tc>
                <w:tcPr>
                  <w:tcW w:w="769" w:type="dxa"/>
                  <w:tcBorders>
                    <w:tl2br w:val="nil"/>
                    <w:tr2bl w:val="nil"/>
                  </w:tcBorders>
                  <w:vAlign w:val="center"/>
                </w:tcPr>
                <w:p w14:paraId="0398162C">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900-039-49</w:t>
                  </w:r>
                </w:p>
              </w:tc>
              <w:tc>
                <w:tcPr>
                  <w:tcW w:w="677" w:type="dxa"/>
                  <w:tcBorders>
                    <w:tl2br w:val="nil"/>
                    <w:tr2bl w:val="nil"/>
                  </w:tcBorders>
                  <w:vAlign w:val="center"/>
                </w:tcPr>
                <w:p w14:paraId="5C106BB1">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T</w:t>
                  </w:r>
                </w:p>
              </w:tc>
              <w:tc>
                <w:tcPr>
                  <w:tcW w:w="1594" w:type="dxa"/>
                  <w:vMerge w:val="restart"/>
                  <w:tcBorders>
                    <w:tl2br w:val="nil"/>
                    <w:tr2bl w:val="nil"/>
                  </w:tcBorders>
                  <w:vAlign w:val="center"/>
                </w:tcPr>
                <w:p w14:paraId="51D829B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暂存在危废间后委托有资质单位处置</w:t>
                  </w:r>
                </w:p>
              </w:tc>
            </w:tr>
            <w:tr w14:paraId="0DF9C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4F6C6059">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p>
              </w:tc>
              <w:tc>
                <w:tcPr>
                  <w:tcW w:w="1007" w:type="dxa"/>
                  <w:tcBorders>
                    <w:tl2br w:val="nil"/>
                    <w:tr2bl w:val="nil"/>
                  </w:tcBorders>
                  <w:vAlign w:val="center"/>
                </w:tcPr>
                <w:p w14:paraId="762B5DDD">
                  <w:pPr>
                    <w:kinsoku/>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lang w:eastAsia="zh-CN"/>
                    </w:rPr>
                    <w:t>废过滤棉</w:t>
                  </w:r>
                </w:p>
              </w:tc>
              <w:tc>
                <w:tcPr>
                  <w:tcW w:w="1121" w:type="dxa"/>
                  <w:tcBorders>
                    <w:tl2br w:val="nil"/>
                    <w:tr2bl w:val="nil"/>
                  </w:tcBorders>
                  <w:vAlign w:val="center"/>
                </w:tcPr>
                <w:p w14:paraId="4801CD51">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废气</w:t>
                  </w:r>
                  <w:r>
                    <w:rPr>
                      <w:rFonts w:hint="eastAsia" w:ascii="Times New Roman" w:hAnsi="Times New Roman" w:eastAsia="宋体" w:cs="Times New Roman"/>
                      <w:color w:val="000000" w:themeColor="text1"/>
                      <w:lang w:eastAsia="zh-CN"/>
                      <w14:textFill>
                        <w14:solidFill>
                          <w14:schemeClr w14:val="tx1"/>
                        </w14:solidFill>
                      </w14:textFill>
                    </w:rPr>
                    <w:t>处理</w:t>
                  </w:r>
                </w:p>
              </w:tc>
              <w:tc>
                <w:tcPr>
                  <w:tcW w:w="677" w:type="dxa"/>
                  <w:tcBorders>
                    <w:tl2br w:val="nil"/>
                    <w:tr2bl w:val="nil"/>
                  </w:tcBorders>
                  <w:vAlign w:val="center"/>
                </w:tcPr>
                <w:p w14:paraId="6F6ACBC5">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lang w:eastAsia="zh-CN"/>
                    </w:rPr>
                    <w:t>危险废物</w:t>
                  </w:r>
                </w:p>
              </w:tc>
              <w:tc>
                <w:tcPr>
                  <w:tcW w:w="797" w:type="dxa"/>
                  <w:tcBorders>
                    <w:tl2br w:val="nil"/>
                    <w:tr2bl w:val="nil"/>
                  </w:tcBorders>
                  <w:vAlign w:val="center"/>
                </w:tcPr>
                <w:p w14:paraId="3929849B">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lang w:eastAsia="zh-CN"/>
                    </w:rPr>
                    <w:t>固态</w:t>
                  </w:r>
                </w:p>
              </w:tc>
              <w:tc>
                <w:tcPr>
                  <w:tcW w:w="1159" w:type="dxa"/>
                  <w:tcBorders>
                    <w:tl2br w:val="nil"/>
                    <w:tr2bl w:val="nil"/>
                  </w:tcBorders>
                  <w:vAlign w:val="center"/>
                </w:tcPr>
                <w:p w14:paraId="3155B80C">
                  <w:pPr>
                    <w:kinsoku/>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lang w:eastAsia="zh-CN"/>
                    </w:rPr>
                    <w:t>有机废气</w:t>
                  </w:r>
                </w:p>
              </w:tc>
              <w:tc>
                <w:tcPr>
                  <w:tcW w:w="732" w:type="dxa"/>
                  <w:tcBorders>
                    <w:tl2br w:val="nil"/>
                    <w:tr2bl w:val="nil"/>
                  </w:tcBorders>
                  <w:vAlign w:val="center"/>
                </w:tcPr>
                <w:p w14:paraId="5B20264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1.5</w:t>
                  </w:r>
                </w:p>
              </w:tc>
              <w:tc>
                <w:tcPr>
                  <w:tcW w:w="908" w:type="dxa"/>
                  <w:tcBorders>
                    <w:tl2br w:val="nil"/>
                    <w:tr2bl w:val="nil"/>
                  </w:tcBorders>
                  <w:vAlign w:val="center"/>
                </w:tcPr>
                <w:p w14:paraId="424D3976">
                  <w:pPr>
                    <w:pageBreakBefore w:val="0"/>
                    <w:kinsoku/>
                    <w:overflowPunct/>
                    <w:topLinePunct w:val="0"/>
                    <w:bidi w:val="0"/>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lang w:eastAsia="zh-CN"/>
                    </w:rPr>
                    <w:t>HW49</w:t>
                  </w:r>
                </w:p>
              </w:tc>
              <w:tc>
                <w:tcPr>
                  <w:tcW w:w="769" w:type="dxa"/>
                  <w:tcBorders>
                    <w:tl2br w:val="nil"/>
                    <w:tr2bl w:val="nil"/>
                  </w:tcBorders>
                  <w:vAlign w:val="center"/>
                </w:tcPr>
                <w:p w14:paraId="1B4235E5">
                  <w:pPr>
                    <w:pageBreakBefore w:val="0"/>
                    <w:kinsoku/>
                    <w:overflowPunct/>
                    <w:topLinePunct w:val="0"/>
                    <w:bidi w:val="0"/>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lang w:eastAsia="zh-CN"/>
                    </w:rPr>
                    <w:t>900-041-49</w:t>
                  </w:r>
                </w:p>
              </w:tc>
              <w:tc>
                <w:tcPr>
                  <w:tcW w:w="677" w:type="dxa"/>
                  <w:tcBorders>
                    <w:tl2br w:val="nil"/>
                    <w:tr2bl w:val="nil"/>
                  </w:tcBorders>
                  <w:vAlign w:val="center"/>
                </w:tcPr>
                <w:p w14:paraId="514F9FB9">
                  <w:pPr>
                    <w:pageBreakBefore w:val="0"/>
                    <w:overflowPunct/>
                    <w:topLinePunct w:val="0"/>
                    <w:autoSpaceDE w:val="0"/>
                    <w:autoSpaceDN w:val="0"/>
                    <w:bidi w:val="0"/>
                    <w:adjustRightInd/>
                    <w:snapToGrid/>
                    <w:jc w:val="center"/>
                    <w:rPr>
                      <w:rFonts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rPr>
                    <w:t>T/In</w:t>
                  </w:r>
                </w:p>
              </w:tc>
              <w:tc>
                <w:tcPr>
                  <w:tcW w:w="1594" w:type="dxa"/>
                  <w:vMerge w:val="continue"/>
                  <w:tcBorders>
                    <w:tl2br w:val="nil"/>
                    <w:tr2bl w:val="nil"/>
                  </w:tcBorders>
                  <w:vAlign w:val="center"/>
                </w:tcPr>
                <w:p w14:paraId="145DB546">
                  <w:pPr>
                    <w:kinsoku/>
                    <w:jc w:val="center"/>
                    <w:rPr>
                      <w:rFonts w:ascii="Times New Roman" w:hAnsi="Times New Roman" w:eastAsia="宋体" w:cs="Times New Roman"/>
                      <w:color w:val="000000" w:themeColor="text1"/>
                      <w14:textFill>
                        <w14:solidFill>
                          <w14:schemeClr w14:val="tx1"/>
                        </w14:solidFill>
                      </w14:textFill>
                    </w:rPr>
                  </w:pPr>
                </w:p>
              </w:tc>
            </w:tr>
            <w:tr w14:paraId="69350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1DC379B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w:t>
                  </w:r>
                </w:p>
              </w:tc>
              <w:tc>
                <w:tcPr>
                  <w:tcW w:w="1007" w:type="dxa"/>
                  <w:tcBorders>
                    <w:tl2br w:val="nil"/>
                    <w:tr2bl w:val="nil"/>
                  </w:tcBorders>
                  <w:vAlign w:val="center"/>
                </w:tcPr>
                <w:p w14:paraId="6F214AD4">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w:t>
                  </w:r>
                  <w:r>
                    <w:rPr>
                      <w:rFonts w:hint="eastAsia" w:ascii="Times New Roman" w:hAnsi="Times New Roman" w:eastAsia="宋体" w:cs="Times New Roman"/>
                      <w:color w:val="000000" w:themeColor="text1"/>
                      <w:lang w:eastAsia="zh-CN"/>
                      <w14:textFill>
                        <w14:solidFill>
                          <w14:schemeClr w14:val="tx1"/>
                        </w14:solidFill>
                      </w14:textFill>
                    </w:rPr>
                    <w:t>槽渣</w:t>
                  </w:r>
                </w:p>
              </w:tc>
              <w:tc>
                <w:tcPr>
                  <w:tcW w:w="1121" w:type="dxa"/>
                  <w:tcBorders>
                    <w:tl2br w:val="nil"/>
                    <w:tr2bl w:val="nil"/>
                  </w:tcBorders>
                  <w:vAlign w:val="center"/>
                </w:tcPr>
                <w:p w14:paraId="6B408FB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表面处理</w:t>
                  </w:r>
                </w:p>
              </w:tc>
              <w:tc>
                <w:tcPr>
                  <w:tcW w:w="677" w:type="dxa"/>
                  <w:tcBorders>
                    <w:tl2br w:val="nil"/>
                    <w:tr2bl w:val="nil"/>
                  </w:tcBorders>
                  <w:vAlign w:val="center"/>
                </w:tcPr>
                <w:p w14:paraId="26D549B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w:t>
                  </w:r>
                </w:p>
              </w:tc>
              <w:tc>
                <w:tcPr>
                  <w:tcW w:w="797" w:type="dxa"/>
                  <w:tcBorders>
                    <w:tl2br w:val="nil"/>
                    <w:tr2bl w:val="nil"/>
                  </w:tcBorders>
                  <w:vAlign w:val="center"/>
                </w:tcPr>
                <w:p w14:paraId="5F792E1E">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固态</w:t>
                  </w:r>
                </w:p>
              </w:tc>
              <w:tc>
                <w:tcPr>
                  <w:tcW w:w="1159" w:type="dxa"/>
                  <w:tcBorders>
                    <w:tl2br w:val="nil"/>
                    <w:tr2bl w:val="nil"/>
                  </w:tcBorders>
                  <w:vAlign w:val="center"/>
                </w:tcPr>
                <w:p w14:paraId="46EB29C9">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有机废气、活性炭</w:t>
                  </w:r>
                </w:p>
              </w:tc>
              <w:tc>
                <w:tcPr>
                  <w:tcW w:w="732" w:type="dxa"/>
                  <w:tcBorders>
                    <w:tl2br w:val="nil"/>
                    <w:tr2bl w:val="nil"/>
                  </w:tcBorders>
                  <w:vAlign w:val="center"/>
                </w:tcPr>
                <w:p w14:paraId="46AEEBA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908" w:type="dxa"/>
                  <w:tcBorders>
                    <w:tl2br w:val="nil"/>
                    <w:tr2bl w:val="nil"/>
                  </w:tcBorders>
                  <w:vAlign w:val="center"/>
                </w:tcPr>
                <w:p w14:paraId="3F92FACC">
                  <w:pPr>
                    <w:pStyle w:val="31"/>
                    <w:pageBreakBefore w:val="0"/>
                    <w:overflowPunct/>
                    <w:topLinePunct w:val="0"/>
                    <w:bidi w:val="0"/>
                    <w:adjustRightInd/>
                    <w:snapToGrid/>
                    <w:ind w:left="0" w:leftChars="0" w:firstLine="0" w:firstLineChars="0"/>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HW17</w:t>
                  </w:r>
                </w:p>
              </w:tc>
              <w:tc>
                <w:tcPr>
                  <w:tcW w:w="769" w:type="dxa"/>
                  <w:tcBorders>
                    <w:tl2br w:val="nil"/>
                    <w:tr2bl w:val="nil"/>
                  </w:tcBorders>
                  <w:vAlign w:val="center"/>
                </w:tcPr>
                <w:p w14:paraId="04AC467F">
                  <w:pPr>
                    <w:pageBreakBefore w:val="0"/>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336-064-17</w:t>
                  </w:r>
                </w:p>
              </w:tc>
              <w:tc>
                <w:tcPr>
                  <w:tcW w:w="677" w:type="dxa"/>
                  <w:tcBorders>
                    <w:tl2br w:val="nil"/>
                    <w:tr2bl w:val="nil"/>
                  </w:tcBorders>
                  <w:vAlign w:val="center"/>
                </w:tcPr>
                <w:p w14:paraId="60191634">
                  <w:pPr>
                    <w:pageBreakBefore w:val="0"/>
                    <w:overflowPunct/>
                    <w:topLinePunct w:val="0"/>
                    <w:autoSpaceDE w:val="0"/>
                    <w:autoSpaceDN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T/C</w:t>
                  </w:r>
                </w:p>
              </w:tc>
              <w:tc>
                <w:tcPr>
                  <w:tcW w:w="1594" w:type="dxa"/>
                  <w:vMerge w:val="continue"/>
                  <w:tcBorders>
                    <w:tl2br w:val="nil"/>
                    <w:tr2bl w:val="nil"/>
                  </w:tcBorders>
                  <w:vAlign w:val="center"/>
                </w:tcPr>
                <w:p w14:paraId="3D75BF34">
                  <w:pPr>
                    <w:kinsoku/>
                    <w:jc w:val="center"/>
                    <w:rPr>
                      <w:rFonts w:ascii="Times New Roman" w:hAnsi="Times New Roman" w:eastAsia="宋体" w:cs="Times New Roman"/>
                      <w:color w:val="000000" w:themeColor="text1"/>
                      <w:lang w:eastAsia="zh-CN"/>
                      <w14:textFill>
                        <w14:solidFill>
                          <w14:schemeClr w14:val="tx1"/>
                        </w14:solidFill>
                      </w14:textFill>
                    </w:rPr>
                  </w:pPr>
                </w:p>
              </w:tc>
            </w:tr>
            <w:tr w14:paraId="1092D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18A0832A">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p>
              </w:tc>
              <w:tc>
                <w:tcPr>
                  <w:tcW w:w="1007" w:type="dxa"/>
                  <w:tcBorders>
                    <w:tl2br w:val="nil"/>
                    <w:tr2bl w:val="nil"/>
                  </w:tcBorders>
                  <w:vAlign w:val="center"/>
                </w:tcPr>
                <w:p w14:paraId="3B7327A3">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1121" w:type="dxa"/>
                  <w:tcBorders>
                    <w:tl2br w:val="nil"/>
                    <w:tr2bl w:val="nil"/>
                  </w:tcBorders>
                  <w:vAlign w:val="center"/>
                </w:tcPr>
                <w:p w14:paraId="0528B02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污水处理</w:t>
                  </w:r>
                </w:p>
              </w:tc>
              <w:tc>
                <w:tcPr>
                  <w:tcW w:w="677" w:type="dxa"/>
                  <w:tcBorders>
                    <w:tl2br w:val="nil"/>
                    <w:tr2bl w:val="nil"/>
                  </w:tcBorders>
                  <w:vAlign w:val="center"/>
                </w:tcPr>
                <w:p w14:paraId="0F1F49AD">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w:t>
                  </w:r>
                </w:p>
              </w:tc>
              <w:tc>
                <w:tcPr>
                  <w:tcW w:w="797" w:type="dxa"/>
                  <w:tcBorders>
                    <w:tl2br w:val="nil"/>
                    <w:tr2bl w:val="nil"/>
                  </w:tcBorders>
                  <w:vAlign w:val="center"/>
                </w:tcPr>
                <w:p w14:paraId="6138300C">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半固态</w:t>
                  </w:r>
                </w:p>
              </w:tc>
              <w:tc>
                <w:tcPr>
                  <w:tcW w:w="1159" w:type="dxa"/>
                  <w:tcBorders>
                    <w:tl2br w:val="nil"/>
                    <w:tr2bl w:val="nil"/>
                  </w:tcBorders>
                  <w:vAlign w:val="center"/>
                </w:tcPr>
                <w:p w14:paraId="1DA3B596">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732" w:type="dxa"/>
                  <w:tcBorders>
                    <w:tl2br w:val="nil"/>
                    <w:tr2bl w:val="nil"/>
                  </w:tcBorders>
                  <w:vAlign w:val="center"/>
                </w:tcPr>
                <w:p w14:paraId="5CE5D33C">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908" w:type="dxa"/>
                  <w:tcBorders>
                    <w:tl2br w:val="nil"/>
                    <w:tr2bl w:val="nil"/>
                  </w:tcBorders>
                  <w:vAlign w:val="center"/>
                </w:tcPr>
                <w:p w14:paraId="4D521C49">
                  <w:pPr>
                    <w:pStyle w:val="31"/>
                    <w:pageBreakBefore w:val="0"/>
                    <w:overflowPunct/>
                    <w:topLinePunct w:val="0"/>
                    <w:bidi w:val="0"/>
                    <w:adjustRightInd/>
                    <w:snapToGrid/>
                    <w:ind w:left="0" w:leftChars="0" w:firstLine="0" w:firstLineChars="0"/>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HW17</w:t>
                  </w:r>
                </w:p>
              </w:tc>
              <w:tc>
                <w:tcPr>
                  <w:tcW w:w="769" w:type="dxa"/>
                  <w:tcBorders>
                    <w:tl2br w:val="nil"/>
                    <w:tr2bl w:val="nil"/>
                  </w:tcBorders>
                  <w:vAlign w:val="center"/>
                </w:tcPr>
                <w:p w14:paraId="20EB155B">
                  <w:pPr>
                    <w:pageBreakBefore w:val="0"/>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336-064-17</w:t>
                  </w:r>
                </w:p>
              </w:tc>
              <w:tc>
                <w:tcPr>
                  <w:tcW w:w="677" w:type="dxa"/>
                  <w:tcBorders>
                    <w:tl2br w:val="nil"/>
                    <w:tr2bl w:val="nil"/>
                  </w:tcBorders>
                  <w:vAlign w:val="center"/>
                </w:tcPr>
                <w:p w14:paraId="483362A5">
                  <w:pPr>
                    <w:pageBreakBefore w:val="0"/>
                    <w:overflowPunct/>
                    <w:topLinePunct w:val="0"/>
                    <w:autoSpaceDE w:val="0"/>
                    <w:autoSpaceDN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T/C</w:t>
                  </w:r>
                </w:p>
              </w:tc>
              <w:tc>
                <w:tcPr>
                  <w:tcW w:w="1594" w:type="dxa"/>
                  <w:vMerge w:val="continue"/>
                  <w:tcBorders>
                    <w:tl2br w:val="nil"/>
                    <w:tr2bl w:val="nil"/>
                  </w:tcBorders>
                  <w:vAlign w:val="center"/>
                </w:tcPr>
                <w:p w14:paraId="5D714D61">
                  <w:pPr>
                    <w:kinsoku/>
                    <w:jc w:val="center"/>
                    <w:rPr>
                      <w:rFonts w:ascii="Times New Roman" w:hAnsi="Times New Roman" w:eastAsia="宋体" w:cs="Times New Roman"/>
                      <w:color w:val="000000" w:themeColor="text1"/>
                      <w:lang w:eastAsia="zh-CN"/>
                      <w14:textFill>
                        <w14:solidFill>
                          <w14:schemeClr w14:val="tx1"/>
                        </w14:solidFill>
                      </w14:textFill>
                    </w:rPr>
                  </w:pPr>
                </w:p>
              </w:tc>
            </w:tr>
            <w:tr w14:paraId="50383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20" w:type="dxa"/>
                  <w:tcBorders>
                    <w:tl2br w:val="nil"/>
                    <w:tr2bl w:val="nil"/>
                  </w:tcBorders>
                  <w:vAlign w:val="center"/>
                </w:tcPr>
                <w:p w14:paraId="1805CF37">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w:t>
                  </w:r>
                </w:p>
              </w:tc>
              <w:tc>
                <w:tcPr>
                  <w:tcW w:w="1007" w:type="dxa"/>
                  <w:tcBorders>
                    <w:tl2br w:val="nil"/>
                    <w:tr2bl w:val="nil"/>
                  </w:tcBorders>
                  <w:vAlign w:val="center"/>
                </w:tcPr>
                <w:p w14:paraId="3A43369C">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纯水制备机废树脂</w:t>
                  </w:r>
                  <w:r>
                    <w:rPr>
                      <w:rFonts w:hint="eastAsia" w:ascii="Times New Roman" w:hAnsi="Times New Roman" w:eastAsia="宋体" w:cs="Times New Roman"/>
                      <w:color w:val="000000" w:themeColor="text1"/>
                      <w:lang w:val="en-US" w:eastAsia="zh-CN"/>
                      <w14:textFill>
                        <w14:solidFill>
                          <w14:schemeClr w14:val="tx1"/>
                        </w14:solidFill>
                      </w14:textFill>
                    </w:rPr>
                    <w:t>滤芯滤膜</w:t>
                  </w:r>
                </w:p>
              </w:tc>
              <w:tc>
                <w:tcPr>
                  <w:tcW w:w="1121" w:type="dxa"/>
                  <w:tcBorders>
                    <w:tl2br w:val="nil"/>
                    <w:tr2bl w:val="nil"/>
                  </w:tcBorders>
                  <w:vAlign w:val="center"/>
                </w:tcPr>
                <w:p w14:paraId="22C32011">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纯水制备</w:t>
                  </w:r>
                </w:p>
              </w:tc>
              <w:tc>
                <w:tcPr>
                  <w:tcW w:w="677" w:type="dxa"/>
                  <w:tcBorders>
                    <w:tl2br w:val="nil"/>
                    <w:tr2bl w:val="nil"/>
                  </w:tcBorders>
                  <w:vAlign w:val="center"/>
                </w:tcPr>
                <w:p w14:paraId="7C9C9D85">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w:t>
                  </w:r>
                </w:p>
              </w:tc>
              <w:tc>
                <w:tcPr>
                  <w:tcW w:w="797" w:type="dxa"/>
                  <w:tcBorders>
                    <w:tl2br w:val="nil"/>
                    <w:tr2bl w:val="nil"/>
                  </w:tcBorders>
                  <w:vAlign w:val="center"/>
                </w:tcPr>
                <w:p w14:paraId="55DE6D4C">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固态</w:t>
                  </w:r>
                </w:p>
              </w:tc>
              <w:tc>
                <w:tcPr>
                  <w:tcW w:w="1159" w:type="dxa"/>
                  <w:tcBorders>
                    <w:tl2br w:val="nil"/>
                    <w:tr2bl w:val="nil"/>
                  </w:tcBorders>
                  <w:vAlign w:val="center"/>
                </w:tcPr>
                <w:p w14:paraId="4927987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废树脂</w:t>
                  </w:r>
                </w:p>
              </w:tc>
              <w:tc>
                <w:tcPr>
                  <w:tcW w:w="732" w:type="dxa"/>
                  <w:tcBorders>
                    <w:tl2br w:val="nil"/>
                    <w:tr2bl w:val="nil"/>
                  </w:tcBorders>
                  <w:vAlign w:val="center"/>
                </w:tcPr>
                <w:p w14:paraId="09C1731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w:t>
                  </w:r>
                </w:p>
              </w:tc>
              <w:tc>
                <w:tcPr>
                  <w:tcW w:w="908" w:type="dxa"/>
                  <w:tcBorders>
                    <w:tl2br w:val="nil"/>
                    <w:tr2bl w:val="nil"/>
                  </w:tcBorders>
                  <w:vAlign w:val="center"/>
                </w:tcPr>
                <w:p w14:paraId="7319879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HW50</w:t>
                  </w:r>
                </w:p>
              </w:tc>
              <w:tc>
                <w:tcPr>
                  <w:tcW w:w="769" w:type="dxa"/>
                  <w:tcBorders>
                    <w:tl2br w:val="nil"/>
                    <w:tr2bl w:val="nil"/>
                  </w:tcBorders>
                  <w:vAlign w:val="center"/>
                </w:tcPr>
                <w:p w14:paraId="04AFD9D9">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261-151-50</w:t>
                  </w:r>
                </w:p>
              </w:tc>
              <w:tc>
                <w:tcPr>
                  <w:tcW w:w="677" w:type="dxa"/>
                  <w:tcBorders>
                    <w:tl2br w:val="nil"/>
                    <w:tr2bl w:val="nil"/>
                  </w:tcBorders>
                  <w:vAlign w:val="center"/>
                </w:tcPr>
                <w:p w14:paraId="2C510B0A">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T</w:t>
                  </w:r>
                </w:p>
              </w:tc>
              <w:tc>
                <w:tcPr>
                  <w:tcW w:w="1594" w:type="dxa"/>
                  <w:tcBorders>
                    <w:tl2br w:val="nil"/>
                    <w:tr2bl w:val="nil"/>
                  </w:tcBorders>
                  <w:vAlign w:val="center"/>
                </w:tcPr>
                <w:p w14:paraId="584D551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厂家定期维护后带走</w:t>
                  </w:r>
                </w:p>
              </w:tc>
            </w:tr>
          </w:tbl>
          <w:p w14:paraId="06A362E6">
            <w:pPr>
              <w:kinsoku/>
              <w:adjustRightInd/>
              <w:snapToGrid/>
              <w:spacing w:before="156" w:beforeLines="50"/>
              <w:jc w:val="center"/>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表4-1</w:t>
            </w:r>
            <w:r>
              <w:rPr>
                <w:rFonts w:hint="eastAsia" w:ascii="Times New Roman" w:hAnsi="Times New Roman" w:eastAsia="宋体" w:cs="Times New Roman"/>
                <w:b/>
                <w:bCs/>
                <w:color w:val="000000" w:themeColor="text1"/>
                <w:sz w:val="24"/>
                <w:lang w:val="en-US" w:eastAsia="zh-CN"/>
                <w14:textFill>
                  <w14:solidFill>
                    <w14:schemeClr w14:val="tx1"/>
                  </w14:solidFill>
                </w14:textFill>
              </w:rPr>
              <w:t>4</w:t>
            </w:r>
            <w:r>
              <w:rPr>
                <w:rFonts w:ascii="Times New Roman" w:hAnsi="Times New Roman" w:eastAsia="宋体" w:cs="Times New Roman"/>
                <w:b/>
                <w:bCs/>
                <w:color w:val="000000" w:themeColor="text1"/>
                <w:sz w:val="24"/>
                <w:lang w:eastAsia="zh-CN"/>
                <w14:textFill>
                  <w14:solidFill>
                    <w14:schemeClr w14:val="tx1"/>
                  </w14:solidFill>
                </w14:textFill>
              </w:rPr>
              <w:t xml:space="preserve"> 危险废物汇总表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73"/>
              <w:gridCol w:w="911"/>
              <w:gridCol w:w="1250"/>
              <w:gridCol w:w="839"/>
              <w:gridCol w:w="670"/>
              <w:gridCol w:w="507"/>
              <w:gridCol w:w="880"/>
              <w:gridCol w:w="880"/>
              <w:gridCol w:w="548"/>
              <w:gridCol w:w="670"/>
              <w:gridCol w:w="1367"/>
            </w:tblGrid>
            <w:tr w14:paraId="3FCD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4515BFEF">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序号</w:t>
                  </w:r>
                </w:p>
              </w:tc>
              <w:tc>
                <w:tcPr>
                  <w:tcW w:w="0" w:type="auto"/>
                  <w:vAlign w:val="center"/>
                </w:tcPr>
                <w:p w14:paraId="6E711E5F">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危险废物名称</w:t>
                  </w:r>
                </w:p>
              </w:tc>
              <w:tc>
                <w:tcPr>
                  <w:tcW w:w="0" w:type="auto"/>
                  <w:vAlign w:val="center"/>
                </w:tcPr>
                <w:p w14:paraId="04A70798">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危险废物类别</w:t>
                  </w:r>
                </w:p>
              </w:tc>
              <w:tc>
                <w:tcPr>
                  <w:tcW w:w="0" w:type="auto"/>
                  <w:vAlign w:val="center"/>
                </w:tcPr>
                <w:p w14:paraId="16DB070C">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危险废物代码</w:t>
                  </w:r>
                </w:p>
              </w:tc>
              <w:tc>
                <w:tcPr>
                  <w:tcW w:w="0" w:type="auto"/>
                  <w:vAlign w:val="center"/>
                </w:tcPr>
                <w:p w14:paraId="6BAA0D01">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产生量(吨/年)</w:t>
                  </w:r>
                </w:p>
              </w:tc>
              <w:tc>
                <w:tcPr>
                  <w:tcW w:w="0" w:type="auto"/>
                  <w:vAlign w:val="center"/>
                </w:tcPr>
                <w:p w14:paraId="75C1E1A9">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产生工序及装置</w:t>
                  </w:r>
                </w:p>
              </w:tc>
              <w:tc>
                <w:tcPr>
                  <w:tcW w:w="0" w:type="auto"/>
                  <w:vAlign w:val="center"/>
                </w:tcPr>
                <w:p w14:paraId="29FB0BC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形态</w:t>
                  </w:r>
                </w:p>
              </w:tc>
              <w:tc>
                <w:tcPr>
                  <w:tcW w:w="0" w:type="auto"/>
                  <w:vAlign w:val="center"/>
                </w:tcPr>
                <w:p w14:paraId="1F00979C">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主要成分</w:t>
                  </w:r>
                </w:p>
              </w:tc>
              <w:tc>
                <w:tcPr>
                  <w:tcW w:w="0" w:type="auto"/>
                  <w:vAlign w:val="center"/>
                </w:tcPr>
                <w:p w14:paraId="74C4F0D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有害成分</w:t>
                  </w:r>
                </w:p>
              </w:tc>
              <w:tc>
                <w:tcPr>
                  <w:tcW w:w="0" w:type="auto"/>
                  <w:vAlign w:val="center"/>
                </w:tcPr>
                <w:p w14:paraId="42597381">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产废周期</w:t>
                  </w:r>
                </w:p>
              </w:tc>
              <w:tc>
                <w:tcPr>
                  <w:tcW w:w="0" w:type="auto"/>
                  <w:vAlign w:val="center"/>
                </w:tcPr>
                <w:p w14:paraId="7CB0E344">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危险特性</w:t>
                  </w:r>
                </w:p>
              </w:tc>
              <w:tc>
                <w:tcPr>
                  <w:tcW w:w="0" w:type="auto"/>
                  <w:vAlign w:val="center"/>
                </w:tcPr>
                <w:p w14:paraId="290BABE1">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污染防治措施</w:t>
                  </w:r>
                </w:p>
              </w:tc>
            </w:tr>
            <w:tr w14:paraId="1A74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25E6B474">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0" w:type="auto"/>
                  <w:vAlign w:val="center"/>
                </w:tcPr>
                <w:p w14:paraId="441D59D0">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废活性炭</w:t>
                  </w:r>
                </w:p>
              </w:tc>
              <w:tc>
                <w:tcPr>
                  <w:tcW w:w="0" w:type="auto"/>
                  <w:vAlign w:val="center"/>
                </w:tcPr>
                <w:p w14:paraId="280DEF60">
                  <w:pPr>
                    <w:kinsoku/>
                    <w:jc w:val="center"/>
                    <w:rPr>
                      <w:rFonts w:cs="Times New Roman"/>
                      <w:color w:val="000000" w:themeColor="text1"/>
                      <w:lang w:eastAsia="zh-CN" w:bidi="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HW49</w:t>
                  </w:r>
                </w:p>
              </w:tc>
              <w:tc>
                <w:tcPr>
                  <w:tcW w:w="0" w:type="auto"/>
                  <w:vAlign w:val="center"/>
                </w:tcPr>
                <w:p w14:paraId="5CA8B43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900-039-49</w:t>
                  </w:r>
                </w:p>
              </w:tc>
              <w:tc>
                <w:tcPr>
                  <w:tcW w:w="0" w:type="auto"/>
                  <w:vAlign w:val="center"/>
                </w:tcPr>
                <w:p w14:paraId="24BDD1A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4.417</w:t>
                  </w:r>
                </w:p>
              </w:tc>
              <w:tc>
                <w:tcPr>
                  <w:tcW w:w="0" w:type="auto"/>
                  <w:vAlign w:val="center"/>
                </w:tcPr>
                <w:p w14:paraId="78886948">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废气</w:t>
                  </w:r>
                  <w:r>
                    <w:rPr>
                      <w:rFonts w:hint="eastAsia" w:ascii="Times New Roman" w:hAnsi="Times New Roman" w:eastAsia="宋体" w:cs="Times New Roman"/>
                      <w:color w:val="000000" w:themeColor="text1"/>
                      <w:lang w:eastAsia="zh-CN"/>
                      <w14:textFill>
                        <w14:solidFill>
                          <w14:schemeClr w14:val="tx1"/>
                        </w14:solidFill>
                      </w14:textFill>
                    </w:rPr>
                    <w:t>处理</w:t>
                  </w:r>
                </w:p>
              </w:tc>
              <w:tc>
                <w:tcPr>
                  <w:tcW w:w="0" w:type="auto"/>
                  <w:vAlign w:val="center"/>
                </w:tcPr>
                <w:p w14:paraId="69376BF0">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固态</w:t>
                  </w:r>
                </w:p>
              </w:tc>
              <w:tc>
                <w:tcPr>
                  <w:tcW w:w="0" w:type="auto"/>
                  <w:vAlign w:val="center"/>
                </w:tcPr>
                <w:p w14:paraId="476C7308">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有机废气、活性炭</w:t>
                  </w:r>
                </w:p>
              </w:tc>
              <w:tc>
                <w:tcPr>
                  <w:tcW w:w="0" w:type="auto"/>
                  <w:vAlign w:val="center"/>
                </w:tcPr>
                <w:p w14:paraId="071FF874">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有机废气、活性炭</w:t>
                  </w:r>
                </w:p>
              </w:tc>
              <w:tc>
                <w:tcPr>
                  <w:tcW w:w="0" w:type="auto"/>
                  <w:vAlign w:val="center"/>
                </w:tcPr>
                <w:p w14:paraId="431414F5">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个月</w:t>
                  </w:r>
                </w:p>
              </w:tc>
              <w:tc>
                <w:tcPr>
                  <w:tcW w:w="0" w:type="auto"/>
                  <w:vAlign w:val="center"/>
                </w:tcPr>
                <w:p w14:paraId="7FCC4F1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T</w:t>
                  </w:r>
                </w:p>
              </w:tc>
              <w:tc>
                <w:tcPr>
                  <w:tcW w:w="0" w:type="auto"/>
                  <w:vMerge w:val="restart"/>
                  <w:vAlign w:val="center"/>
                </w:tcPr>
                <w:p w14:paraId="28A4F8D1">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暂存在危险废物暂存间，委托有资质单位处理</w:t>
                  </w:r>
                </w:p>
              </w:tc>
            </w:tr>
            <w:tr w14:paraId="2783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4192F8C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w:t>
                  </w:r>
                </w:p>
              </w:tc>
              <w:tc>
                <w:tcPr>
                  <w:tcW w:w="0" w:type="auto"/>
                  <w:vAlign w:val="center"/>
                </w:tcPr>
                <w:p w14:paraId="6EDD2D55">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废过滤棉</w:t>
                  </w:r>
                </w:p>
              </w:tc>
              <w:tc>
                <w:tcPr>
                  <w:tcW w:w="0" w:type="auto"/>
                  <w:vAlign w:val="center"/>
                </w:tcPr>
                <w:p w14:paraId="62994462">
                  <w:pPr>
                    <w:pageBreakBefore w:val="0"/>
                    <w:kinsoku/>
                    <w:overflowPunct/>
                    <w:topLinePunct w:val="0"/>
                    <w:bidi w:val="0"/>
                    <w:adjustRightInd/>
                    <w:snapToGrid/>
                    <w:jc w:val="center"/>
                    <w:rPr>
                      <w:rFonts w:cs="Times New Roman"/>
                      <w:color w:val="000000" w:themeColor="text1"/>
                      <w:lang w:eastAsia="zh-CN" w:bidi="zh-CN"/>
                      <w14:textFill>
                        <w14:solidFill>
                          <w14:schemeClr w14:val="tx1"/>
                        </w14:solidFill>
                      </w14:textFill>
                    </w:rPr>
                  </w:pPr>
                  <w:r>
                    <w:rPr>
                      <w:rFonts w:ascii="Times New Roman" w:hAnsi="Times New Roman" w:eastAsia="宋体" w:cs="Times New Roman"/>
                      <w:lang w:eastAsia="zh-CN"/>
                    </w:rPr>
                    <w:t>HW49</w:t>
                  </w:r>
                </w:p>
              </w:tc>
              <w:tc>
                <w:tcPr>
                  <w:tcW w:w="0" w:type="auto"/>
                  <w:vAlign w:val="center"/>
                </w:tcPr>
                <w:p w14:paraId="355D9326">
                  <w:pPr>
                    <w:pageBreakBefore w:val="0"/>
                    <w:kinsoku/>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900-041-49</w:t>
                  </w:r>
                </w:p>
              </w:tc>
              <w:tc>
                <w:tcPr>
                  <w:tcW w:w="0" w:type="auto"/>
                  <w:vAlign w:val="center"/>
                </w:tcPr>
                <w:p w14:paraId="691C7914">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1.5</w:t>
                  </w:r>
                </w:p>
              </w:tc>
              <w:tc>
                <w:tcPr>
                  <w:tcW w:w="0" w:type="auto"/>
                  <w:vAlign w:val="center"/>
                </w:tcPr>
                <w:p w14:paraId="5E8A6460">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废气</w:t>
                  </w:r>
                  <w:r>
                    <w:rPr>
                      <w:rFonts w:hint="eastAsia" w:ascii="Times New Roman" w:hAnsi="Times New Roman" w:eastAsia="宋体" w:cs="Times New Roman"/>
                      <w:color w:val="000000" w:themeColor="text1"/>
                      <w:lang w:eastAsia="zh-CN"/>
                      <w14:textFill>
                        <w14:solidFill>
                          <w14:schemeClr w14:val="tx1"/>
                        </w14:solidFill>
                      </w14:textFill>
                    </w:rPr>
                    <w:t>处理</w:t>
                  </w:r>
                </w:p>
              </w:tc>
              <w:tc>
                <w:tcPr>
                  <w:tcW w:w="0" w:type="auto"/>
                  <w:vAlign w:val="center"/>
                </w:tcPr>
                <w:p w14:paraId="6447107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固态</w:t>
                  </w:r>
                </w:p>
              </w:tc>
              <w:tc>
                <w:tcPr>
                  <w:tcW w:w="0" w:type="auto"/>
                  <w:vAlign w:val="center"/>
                </w:tcPr>
                <w:p w14:paraId="2A22A51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有机废气</w:t>
                  </w:r>
                </w:p>
              </w:tc>
              <w:tc>
                <w:tcPr>
                  <w:tcW w:w="0" w:type="auto"/>
                  <w:vAlign w:val="center"/>
                </w:tcPr>
                <w:p w14:paraId="4736B68D">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有机废气</w:t>
                  </w:r>
                </w:p>
              </w:tc>
              <w:tc>
                <w:tcPr>
                  <w:tcW w:w="0" w:type="auto"/>
                  <w:vAlign w:val="center"/>
                </w:tcPr>
                <w:p w14:paraId="56948FB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个月</w:t>
                  </w:r>
                </w:p>
              </w:tc>
              <w:tc>
                <w:tcPr>
                  <w:tcW w:w="0" w:type="auto"/>
                  <w:vAlign w:val="center"/>
                </w:tcPr>
                <w:p w14:paraId="7DC6FFD1">
                  <w:pPr>
                    <w:pageBreakBefore w:val="0"/>
                    <w:overflowPunct/>
                    <w:topLinePunct w:val="0"/>
                    <w:autoSpaceDE w:val="0"/>
                    <w:autoSpaceDN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rPr>
                    <w:t>T/In</w:t>
                  </w:r>
                </w:p>
              </w:tc>
              <w:tc>
                <w:tcPr>
                  <w:tcW w:w="0" w:type="auto"/>
                  <w:vMerge w:val="continue"/>
                  <w:vAlign w:val="center"/>
                </w:tcPr>
                <w:p w14:paraId="4FC07C24">
                  <w:pPr>
                    <w:kinsoku/>
                    <w:jc w:val="center"/>
                    <w:rPr>
                      <w:rFonts w:ascii="Times New Roman" w:hAnsi="Times New Roman" w:eastAsia="宋体" w:cs="Times New Roman"/>
                      <w:color w:val="000000" w:themeColor="text1"/>
                      <w:lang w:eastAsia="zh-CN"/>
                      <w14:textFill>
                        <w14:solidFill>
                          <w14:schemeClr w14:val="tx1"/>
                        </w14:solidFill>
                      </w14:textFill>
                    </w:rPr>
                  </w:pPr>
                </w:p>
              </w:tc>
            </w:tr>
            <w:tr w14:paraId="44CE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3805093D">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3</w:t>
                  </w:r>
                </w:p>
              </w:tc>
              <w:tc>
                <w:tcPr>
                  <w:tcW w:w="0" w:type="auto"/>
                  <w:vAlign w:val="center"/>
                </w:tcPr>
                <w:p w14:paraId="6BBD6DF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w:t>
                  </w:r>
                  <w:r>
                    <w:rPr>
                      <w:rFonts w:hint="eastAsia" w:ascii="Times New Roman" w:hAnsi="Times New Roman" w:eastAsia="宋体" w:cs="Times New Roman"/>
                      <w:color w:val="000000" w:themeColor="text1"/>
                      <w:lang w:eastAsia="zh-CN"/>
                      <w14:textFill>
                        <w14:solidFill>
                          <w14:schemeClr w14:val="tx1"/>
                        </w14:solidFill>
                      </w14:textFill>
                    </w:rPr>
                    <w:t>槽渣</w:t>
                  </w:r>
                </w:p>
              </w:tc>
              <w:tc>
                <w:tcPr>
                  <w:tcW w:w="0" w:type="auto"/>
                  <w:vAlign w:val="center"/>
                </w:tcPr>
                <w:p w14:paraId="74381DC1">
                  <w:pPr>
                    <w:pStyle w:val="31"/>
                    <w:pageBreakBefore w:val="0"/>
                    <w:overflowPunct/>
                    <w:topLinePunct w:val="0"/>
                    <w:bidi w:val="0"/>
                    <w:adjustRightInd/>
                    <w:snapToGrid/>
                    <w:ind w:left="0" w:leftChars="0" w:firstLine="0" w:firstLineChars="0"/>
                    <w:jc w:val="center"/>
                    <w:rPr>
                      <w:rFonts w:ascii="Times New Roman" w:hAnsi="Times New Roman" w:eastAsia="宋体" w:cs="Times New Roman"/>
                      <w:color w:val="000000" w:themeColor="text1"/>
                      <w:lang w:eastAsia="zh-CN" w:bidi="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HW17</w:t>
                  </w:r>
                </w:p>
              </w:tc>
              <w:tc>
                <w:tcPr>
                  <w:tcW w:w="0" w:type="auto"/>
                  <w:vAlign w:val="center"/>
                </w:tcPr>
                <w:p w14:paraId="675F7085">
                  <w:pPr>
                    <w:pageBreakBefore w:val="0"/>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336-064-17</w:t>
                  </w:r>
                </w:p>
              </w:tc>
              <w:tc>
                <w:tcPr>
                  <w:tcW w:w="0" w:type="auto"/>
                  <w:vAlign w:val="center"/>
                </w:tcPr>
                <w:p w14:paraId="3C419CC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0" w:type="auto"/>
                  <w:vAlign w:val="center"/>
                </w:tcPr>
                <w:p w14:paraId="0A3B9EA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表面处理</w:t>
                  </w:r>
                </w:p>
              </w:tc>
              <w:tc>
                <w:tcPr>
                  <w:tcW w:w="0" w:type="auto"/>
                  <w:vAlign w:val="center"/>
                </w:tcPr>
                <w:p w14:paraId="21432FB0">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固态</w:t>
                  </w:r>
                </w:p>
              </w:tc>
              <w:tc>
                <w:tcPr>
                  <w:tcW w:w="0" w:type="auto"/>
                  <w:vAlign w:val="center"/>
                </w:tcPr>
                <w:p w14:paraId="7F14B768">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有机废气、活性炭</w:t>
                  </w:r>
                </w:p>
              </w:tc>
              <w:tc>
                <w:tcPr>
                  <w:tcW w:w="0" w:type="auto"/>
                  <w:vAlign w:val="center"/>
                </w:tcPr>
                <w:p w14:paraId="3D5EADF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有机废气、活性炭</w:t>
                  </w:r>
                </w:p>
              </w:tc>
              <w:tc>
                <w:tcPr>
                  <w:tcW w:w="0" w:type="auto"/>
                  <w:vAlign w:val="center"/>
                </w:tcPr>
                <w:p w14:paraId="175CA45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lang w:eastAsia="zh-CN"/>
                      <w14:textFill>
                        <w14:solidFill>
                          <w14:schemeClr w14:val="tx1"/>
                        </w14:solidFill>
                      </w14:textFill>
                    </w:rPr>
                    <w:t>个月</w:t>
                  </w:r>
                </w:p>
              </w:tc>
              <w:tc>
                <w:tcPr>
                  <w:tcW w:w="0" w:type="auto"/>
                  <w:vAlign w:val="center"/>
                </w:tcPr>
                <w:p w14:paraId="081036A3">
                  <w:pPr>
                    <w:pageBreakBefore w:val="0"/>
                    <w:overflowPunct/>
                    <w:topLinePunct w:val="0"/>
                    <w:autoSpaceDE w:val="0"/>
                    <w:autoSpaceDN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T/C</w:t>
                  </w:r>
                </w:p>
              </w:tc>
              <w:tc>
                <w:tcPr>
                  <w:tcW w:w="0" w:type="auto"/>
                  <w:vMerge w:val="continue"/>
                  <w:vAlign w:val="center"/>
                </w:tcPr>
                <w:p w14:paraId="7870FF86">
                  <w:pPr>
                    <w:kinsoku/>
                    <w:jc w:val="center"/>
                    <w:rPr>
                      <w:rFonts w:ascii="Times New Roman" w:hAnsi="Times New Roman" w:eastAsia="宋体" w:cs="Times New Roman"/>
                      <w:color w:val="000000" w:themeColor="text1"/>
                      <w:lang w:eastAsia="zh-CN"/>
                      <w14:textFill>
                        <w14:solidFill>
                          <w14:schemeClr w14:val="tx1"/>
                        </w14:solidFill>
                      </w14:textFill>
                    </w:rPr>
                  </w:pPr>
                </w:p>
              </w:tc>
            </w:tr>
            <w:tr w14:paraId="272E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1A2A4AC9">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0" w:type="auto"/>
                  <w:vAlign w:val="center"/>
                </w:tcPr>
                <w:p w14:paraId="28A4117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0" w:type="auto"/>
                  <w:vAlign w:val="center"/>
                </w:tcPr>
                <w:p w14:paraId="32006EA8">
                  <w:pPr>
                    <w:pStyle w:val="31"/>
                    <w:pageBreakBefore w:val="0"/>
                    <w:overflowPunct/>
                    <w:topLinePunct w:val="0"/>
                    <w:bidi w:val="0"/>
                    <w:adjustRightInd/>
                    <w:snapToGrid/>
                    <w:ind w:left="0" w:leftChars="0" w:firstLine="0" w:firstLineChars="0"/>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HW17</w:t>
                  </w:r>
                </w:p>
              </w:tc>
              <w:tc>
                <w:tcPr>
                  <w:tcW w:w="0" w:type="auto"/>
                  <w:vAlign w:val="center"/>
                </w:tcPr>
                <w:p w14:paraId="4E8D3C0E">
                  <w:pPr>
                    <w:pageBreakBefore w:val="0"/>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336-064-17</w:t>
                  </w:r>
                </w:p>
              </w:tc>
              <w:tc>
                <w:tcPr>
                  <w:tcW w:w="0" w:type="auto"/>
                  <w:vAlign w:val="center"/>
                </w:tcPr>
                <w:p w14:paraId="09D8FCED">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0" w:type="auto"/>
                  <w:vAlign w:val="center"/>
                </w:tcPr>
                <w:p w14:paraId="7541E903">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污水处理</w:t>
                  </w:r>
                </w:p>
              </w:tc>
              <w:tc>
                <w:tcPr>
                  <w:tcW w:w="0" w:type="auto"/>
                  <w:vAlign w:val="center"/>
                </w:tcPr>
                <w:p w14:paraId="76AAB4E8">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半固态</w:t>
                  </w:r>
                </w:p>
              </w:tc>
              <w:tc>
                <w:tcPr>
                  <w:tcW w:w="0" w:type="auto"/>
                  <w:vAlign w:val="center"/>
                </w:tcPr>
                <w:p w14:paraId="551D5049">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0" w:type="auto"/>
                  <w:vAlign w:val="center"/>
                </w:tcPr>
                <w:p w14:paraId="73AABCEC">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0" w:type="auto"/>
                  <w:vAlign w:val="center"/>
                </w:tcPr>
                <w:p w14:paraId="1CC95827">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w:t>
                  </w:r>
                  <w:r>
                    <w:rPr>
                      <w:rFonts w:hint="eastAsia" w:ascii="Times New Roman" w:hAnsi="Times New Roman" w:eastAsia="宋体" w:cs="Times New Roman"/>
                      <w:lang w:eastAsia="zh-CN"/>
                    </w:rPr>
                    <w:t>个月</w:t>
                  </w:r>
                </w:p>
              </w:tc>
              <w:tc>
                <w:tcPr>
                  <w:tcW w:w="0" w:type="auto"/>
                  <w:vAlign w:val="center"/>
                </w:tcPr>
                <w:p w14:paraId="63F966B8">
                  <w:pPr>
                    <w:pageBreakBefore w:val="0"/>
                    <w:overflowPunct/>
                    <w:topLinePunct w:val="0"/>
                    <w:autoSpaceDE w:val="0"/>
                    <w:autoSpaceDN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T/C</w:t>
                  </w:r>
                </w:p>
              </w:tc>
              <w:tc>
                <w:tcPr>
                  <w:tcW w:w="0" w:type="auto"/>
                  <w:vMerge w:val="continue"/>
                  <w:vAlign w:val="center"/>
                </w:tcPr>
                <w:p w14:paraId="1D1CEFE7">
                  <w:pPr>
                    <w:kinsoku/>
                    <w:jc w:val="center"/>
                    <w:rPr>
                      <w:rFonts w:ascii="Times New Roman" w:hAnsi="Times New Roman" w:eastAsia="宋体" w:cs="Times New Roman"/>
                      <w:color w:val="000000" w:themeColor="text1"/>
                      <w:lang w:eastAsia="zh-CN"/>
                      <w14:textFill>
                        <w14:solidFill>
                          <w14:schemeClr w14:val="tx1"/>
                        </w14:solidFill>
                      </w14:textFill>
                    </w:rPr>
                  </w:pPr>
                </w:p>
              </w:tc>
            </w:tr>
            <w:tr w14:paraId="7183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vAlign w:val="center"/>
                </w:tcPr>
                <w:p w14:paraId="0F135BD2">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0" w:type="auto"/>
                  <w:vAlign w:val="center"/>
                </w:tcPr>
                <w:p w14:paraId="27F79919">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纯水制备机废树脂</w:t>
                  </w:r>
                  <w:r>
                    <w:rPr>
                      <w:rFonts w:hint="eastAsia" w:ascii="Times New Roman" w:hAnsi="Times New Roman" w:eastAsia="宋体" w:cs="Times New Roman"/>
                      <w:color w:val="000000" w:themeColor="text1"/>
                      <w:lang w:val="en-US" w:eastAsia="zh-CN"/>
                      <w14:textFill>
                        <w14:solidFill>
                          <w14:schemeClr w14:val="tx1"/>
                        </w14:solidFill>
                      </w14:textFill>
                    </w:rPr>
                    <w:t>滤芯滤膜</w:t>
                  </w:r>
                </w:p>
              </w:tc>
              <w:tc>
                <w:tcPr>
                  <w:tcW w:w="0" w:type="auto"/>
                  <w:vAlign w:val="center"/>
                </w:tcPr>
                <w:p w14:paraId="483253C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HW50</w:t>
                  </w:r>
                </w:p>
              </w:tc>
              <w:tc>
                <w:tcPr>
                  <w:tcW w:w="0" w:type="auto"/>
                  <w:vAlign w:val="center"/>
                </w:tcPr>
                <w:p w14:paraId="5D8E1B68">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261-151-50</w:t>
                  </w:r>
                </w:p>
              </w:tc>
              <w:tc>
                <w:tcPr>
                  <w:tcW w:w="0" w:type="auto"/>
                  <w:vAlign w:val="center"/>
                </w:tcPr>
                <w:p w14:paraId="3C695089">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0" w:type="auto"/>
                  <w:vAlign w:val="center"/>
                </w:tcPr>
                <w:p w14:paraId="4C8A5DC7">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纯水制备</w:t>
                  </w:r>
                </w:p>
              </w:tc>
              <w:tc>
                <w:tcPr>
                  <w:tcW w:w="0" w:type="auto"/>
                  <w:vAlign w:val="center"/>
                </w:tcPr>
                <w:p w14:paraId="68C466EB">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固态</w:t>
                  </w:r>
                </w:p>
              </w:tc>
              <w:tc>
                <w:tcPr>
                  <w:tcW w:w="0" w:type="auto"/>
                  <w:vAlign w:val="center"/>
                </w:tcPr>
                <w:p w14:paraId="342FD277">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废树脂</w:t>
                  </w:r>
                </w:p>
              </w:tc>
              <w:tc>
                <w:tcPr>
                  <w:tcW w:w="0" w:type="auto"/>
                  <w:vAlign w:val="center"/>
                </w:tcPr>
                <w:p w14:paraId="2638DE3D">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废树脂</w:t>
                  </w:r>
                </w:p>
              </w:tc>
              <w:tc>
                <w:tcPr>
                  <w:tcW w:w="0" w:type="auto"/>
                  <w:vAlign w:val="center"/>
                </w:tcPr>
                <w:p w14:paraId="28D4F4DD">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r>
                    <w:rPr>
                      <w:rFonts w:hint="eastAsia" w:ascii="Times New Roman" w:hAnsi="Times New Roman" w:eastAsia="宋体" w:cs="Times New Roman"/>
                      <w:lang w:eastAsia="zh-CN"/>
                    </w:rPr>
                    <w:t>个月</w:t>
                  </w:r>
                </w:p>
              </w:tc>
              <w:tc>
                <w:tcPr>
                  <w:tcW w:w="0" w:type="auto"/>
                  <w:vAlign w:val="center"/>
                </w:tcPr>
                <w:p w14:paraId="3BCA1D44">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T</w:t>
                  </w:r>
                </w:p>
              </w:tc>
              <w:tc>
                <w:tcPr>
                  <w:tcW w:w="0" w:type="auto"/>
                  <w:vAlign w:val="center"/>
                </w:tcPr>
                <w:p w14:paraId="29531104">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厂家定期维护后带走</w:t>
                  </w:r>
                </w:p>
              </w:tc>
            </w:tr>
          </w:tbl>
          <w:p w14:paraId="1132F970">
            <w:pPr>
              <w:kinsoku/>
              <w:adjustRightInd/>
              <w:snapToGrid/>
              <w:spacing w:before="156" w:beforeLines="50"/>
              <w:jc w:val="center"/>
              <w:rPr>
                <w:rFonts w:ascii="Times New Roman" w:hAnsi="Times New Roman" w:eastAsia="宋体" w:cs="Times New Roman"/>
                <w:b/>
                <w:bCs/>
                <w:color w:val="000000" w:themeColor="text1"/>
                <w:sz w:val="24"/>
                <w:highlight w:val="yellow"/>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lang w:eastAsia="zh-CN"/>
                <w14:textFill>
                  <w14:solidFill>
                    <w14:schemeClr w14:val="tx1"/>
                  </w14:solidFill>
                </w14:textFill>
              </w:rPr>
              <w:t>1</w:t>
            </w:r>
            <w:r>
              <w:rPr>
                <w:rFonts w:hint="eastAsia" w:ascii="Times New Roman" w:hAnsi="Times New Roman" w:eastAsia="宋体" w:cs="Times New Roman"/>
                <w:b/>
                <w:bCs/>
                <w:color w:val="000000" w:themeColor="text1"/>
                <w:sz w:val="24"/>
                <w:lang w:val="en-US" w:eastAsia="zh-CN"/>
                <w14:textFill>
                  <w14:solidFill>
                    <w14:schemeClr w14:val="tx1"/>
                  </w14:solidFill>
                </w14:textFill>
              </w:rPr>
              <w:t>5</w:t>
            </w:r>
            <w:r>
              <w:rPr>
                <w:rFonts w:ascii="Times New Roman" w:hAnsi="Times New Roman" w:eastAsia="宋体" w:cs="Times New Roman"/>
                <w:b/>
                <w:bCs/>
                <w:color w:val="000000" w:themeColor="text1"/>
                <w:sz w:val="24"/>
                <w:lang w:eastAsia="zh-CN"/>
                <w14:textFill>
                  <w14:solidFill>
                    <w14:schemeClr w14:val="tx1"/>
                  </w14:solidFill>
                </w14:textFill>
              </w:rPr>
              <w:t xml:space="preserve"> 建设项目危险废物贮存场所（设施）基本情况样表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667"/>
              <w:gridCol w:w="1197"/>
              <w:gridCol w:w="1052"/>
              <w:gridCol w:w="1505"/>
              <w:gridCol w:w="668"/>
              <w:gridCol w:w="903"/>
              <w:gridCol w:w="819"/>
              <w:gridCol w:w="777"/>
              <w:gridCol w:w="773"/>
            </w:tblGrid>
            <w:tr w14:paraId="2034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 w:type="dxa"/>
                  <w:vAlign w:val="center"/>
                </w:tcPr>
                <w:p w14:paraId="6B97F6B5">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序号</w:t>
                  </w:r>
                </w:p>
              </w:tc>
              <w:tc>
                <w:tcPr>
                  <w:tcW w:w="1667" w:type="dxa"/>
                  <w:vAlign w:val="center"/>
                </w:tcPr>
                <w:p w14:paraId="3FE0605C">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贮存场所（设施）名称</w:t>
                  </w:r>
                </w:p>
              </w:tc>
              <w:tc>
                <w:tcPr>
                  <w:tcW w:w="1197" w:type="dxa"/>
                  <w:vAlign w:val="center"/>
                </w:tcPr>
                <w:p w14:paraId="1DDD84C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危险废物名称</w:t>
                  </w:r>
                </w:p>
              </w:tc>
              <w:tc>
                <w:tcPr>
                  <w:tcW w:w="1052" w:type="dxa"/>
                  <w:vAlign w:val="center"/>
                </w:tcPr>
                <w:p w14:paraId="563AF06D">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危险废物类别</w:t>
                  </w:r>
                </w:p>
              </w:tc>
              <w:tc>
                <w:tcPr>
                  <w:tcW w:w="1505" w:type="dxa"/>
                  <w:vAlign w:val="center"/>
                </w:tcPr>
                <w:p w14:paraId="2E26594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危险废物代码</w:t>
                  </w:r>
                </w:p>
              </w:tc>
              <w:tc>
                <w:tcPr>
                  <w:tcW w:w="668" w:type="dxa"/>
                  <w:vAlign w:val="center"/>
                </w:tcPr>
                <w:p w14:paraId="103C67F8">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位置</w:t>
                  </w:r>
                </w:p>
              </w:tc>
              <w:tc>
                <w:tcPr>
                  <w:tcW w:w="903" w:type="dxa"/>
                  <w:vAlign w:val="center"/>
                </w:tcPr>
                <w:p w14:paraId="786D40C6">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占地面积</w:t>
                  </w:r>
                </w:p>
              </w:tc>
              <w:tc>
                <w:tcPr>
                  <w:tcW w:w="819" w:type="dxa"/>
                  <w:vAlign w:val="center"/>
                </w:tcPr>
                <w:p w14:paraId="125AE82A">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贮存方式</w:t>
                  </w:r>
                </w:p>
              </w:tc>
              <w:tc>
                <w:tcPr>
                  <w:tcW w:w="777" w:type="dxa"/>
                  <w:vAlign w:val="center"/>
                </w:tcPr>
                <w:p w14:paraId="44894D07">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贮存能力</w:t>
                  </w:r>
                </w:p>
              </w:tc>
              <w:tc>
                <w:tcPr>
                  <w:tcW w:w="773" w:type="dxa"/>
                  <w:vAlign w:val="center"/>
                </w:tcPr>
                <w:p w14:paraId="625CE11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贮存周期</w:t>
                  </w:r>
                </w:p>
              </w:tc>
            </w:tr>
            <w:tr w14:paraId="1897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0" w:type="dxa"/>
                  <w:vAlign w:val="center"/>
                </w:tcPr>
                <w:p w14:paraId="3DBF491A">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667" w:type="dxa"/>
                  <w:vAlign w:val="center"/>
                </w:tcPr>
                <w:p w14:paraId="2271DE35">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危险废物暂存间</w:t>
                  </w:r>
                </w:p>
              </w:tc>
              <w:tc>
                <w:tcPr>
                  <w:tcW w:w="1197" w:type="dxa"/>
                  <w:vAlign w:val="center"/>
                </w:tcPr>
                <w:p w14:paraId="2BEAF113">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废活性炭</w:t>
                  </w:r>
                </w:p>
              </w:tc>
              <w:tc>
                <w:tcPr>
                  <w:tcW w:w="1052" w:type="dxa"/>
                  <w:vAlign w:val="center"/>
                </w:tcPr>
                <w:p w14:paraId="75303340">
                  <w:pPr>
                    <w:kinsoku/>
                    <w:jc w:val="center"/>
                    <w:rPr>
                      <w:rFonts w:cs="Times New Roman"/>
                      <w:color w:val="000000" w:themeColor="text1"/>
                      <w:lang w:eastAsia="zh-CN" w:bidi="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HW49</w:t>
                  </w:r>
                </w:p>
              </w:tc>
              <w:tc>
                <w:tcPr>
                  <w:tcW w:w="1505" w:type="dxa"/>
                  <w:vAlign w:val="center"/>
                </w:tcPr>
                <w:p w14:paraId="53DC273B">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900-039-49</w:t>
                  </w:r>
                </w:p>
              </w:tc>
              <w:tc>
                <w:tcPr>
                  <w:tcW w:w="668" w:type="dxa"/>
                  <w:vMerge w:val="restart"/>
                  <w:vAlign w:val="center"/>
                </w:tcPr>
                <w:p w14:paraId="206E1CAA">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生产车间</w:t>
                  </w:r>
                </w:p>
              </w:tc>
              <w:tc>
                <w:tcPr>
                  <w:tcW w:w="903" w:type="dxa"/>
                  <w:vMerge w:val="restart"/>
                  <w:vAlign w:val="center"/>
                </w:tcPr>
                <w:p w14:paraId="497A2F9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30</w:t>
                  </w:r>
                  <w:r>
                    <w:rPr>
                      <w:rFonts w:ascii="Times New Roman" w:hAnsi="Times New Roman" w:eastAsia="宋体" w:cs="Times New Roman"/>
                      <w:color w:val="000000" w:themeColor="text1"/>
                      <w:lang w:eastAsia="zh-CN"/>
                      <w14:textFill>
                        <w14:solidFill>
                          <w14:schemeClr w14:val="tx1"/>
                        </w14:solidFill>
                      </w14:textFill>
                    </w:rPr>
                    <w:t>m</w:t>
                  </w:r>
                  <w:r>
                    <w:rPr>
                      <w:rFonts w:ascii="Times New Roman" w:hAnsi="Times New Roman" w:eastAsia="宋体" w:cs="Times New Roman"/>
                      <w:color w:val="000000" w:themeColor="text1"/>
                      <w:vertAlign w:val="superscript"/>
                      <w:lang w:eastAsia="zh-CN"/>
                      <w14:textFill>
                        <w14:solidFill>
                          <w14:schemeClr w14:val="tx1"/>
                        </w14:solidFill>
                      </w14:textFill>
                    </w:rPr>
                    <w:t>2</w:t>
                  </w:r>
                </w:p>
              </w:tc>
              <w:tc>
                <w:tcPr>
                  <w:tcW w:w="819" w:type="dxa"/>
                  <w:vAlign w:val="center"/>
                </w:tcPr>
                <w:p w14:paraId="0F2DF88D">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桶装</w:t>
                  </w:r>
                </w:p>
              </w:tc>
              <w:tc>
                <w:tcPr>
                  <w:tcW w:w="777" w:type="dxa"/>
                  <w:vAlign w:val="center"/>
                </w:tcPr>
                <w:p w14:paraId="6EB0F47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2</w:t>
                  </w:r>
                  <w:r>
                    <w:rPr>
                      <w:rFonts w:ascii="Times New Roman" w:hAnsi="Times New Roman" w:eastAsia="宋体" w:cs="Times New Roman"/>
                      <w:lang w:eastAsia="zh-CN"/>
                    </w:rPr>
                    <w:t>t</w:t>
                  </w:r>
                </w:p>
              </w:tc>
              <w:tc>
                <w:tcPr>
                  <w:tcW w:w="773" w:type="dxa"/>
                  <w:vAlign w:val="center"/>
                </w:tcPr>
                <w:p w14:paraId="1F24A33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3</w:t>
                  </w:r>
                  <w:r>
                    <w:rPr>
                      <w:rFonts w:ascii="Times New Roman" w:hAnsi="Times New Roman" w:eastAsia="宋体" w:cs="Times New Roman"/>
                      <w:lang w:eastAsia="zh-CN"/>
                    </w:rPr>
                    <w:t>个月</w:t>
                  </w:r>
                </w:p>
              </w:tc>
            </w:tr>
            <w:tr w14:paraId="2178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0" w:type="dxa"/>
                  <w:vAlign w:val="center"/>
                </w:tcPr>
                <w:p w14:paraId="2B95ADB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w:t>
                  </w:r>
                </w:p>
              </w:tc>
              <w:tc>
                <w:tcPr>
                  <w:tcW w:w="1667" w:type="dxa"/>
                  <w:vAlign w:val="center"/>
                </w:tcPr>
                <w:p w14:paraId="6D110DE7">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危险废物暂存间</w:t>
                  </w:r>
                </w:p>
              </w:tc>
              <w:tc>
                <w:tcPr>
                  <w:tcW w:w="1197" w:type="dxa"/>
                  <w:vAlign w:val="center"/>
                </w:tcPr>
                <w:p w14:paraId="0AC839FC">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废过滤棉</w:t>
                  </w:r>
                </w:p>
              </w:tc>
              <w:tc>
                <w:tcPr>
                  <w:tcW w:w="1052" w:type="dxa"/>
                  <w:vAlign w:val="center"/>
                </w:tcPr>
                <w:p w14:paraId="5B867D25">
                  <w:pPr>
                    <w:pageBreakBefore w:val="0"/>
                    <w:kinsoku/>
                    <w:overflowPunct/>
                    <w:topLinePunct w:val="0"/>
                    <w:bidi w:val="0"/>
                    <w:adjustRightInd/>
                    <w:snapToGrid/>
                    <w:jc w:val="center"/>
                    <w:rPr>
                      <w:rFonts w:cs="Times New Roman"/>
                      <w:color w:val="000000" w:themeColor="text1"/>
                      <w:lang w:eastAsia="zh-CN" w:bidi="zh-CN"/>
                      <w14:textFill>
                        <w14:solidFill>
                          <w14:schemeClr w14:val="tx1"/>
                        </w14:solidFill>
                      </w14:textFill>
                    </w:rPr>
                  </w:pPr>
                  <w:r>
                    <w:rPr>
                      <w:rFonts w:ascii="Times New Roman" w:hAnsi="Times New Roman" w:eastAsia="宋体" w:cs="Times New Roman"/>
                      <w:lang w:eastAsia="zh-CN"/>
                    </w:rPr>
                    <w:t>HW49</w:t>
                  </w:r>
                </w:p>
              </w:tc>
              <w:tc>
                <w:tcPr>
                  <w:tcW w:w="1505" w:type="dxa"/>
                  <w:vAlign w:val="center"/>
                </w:tcPr>
                <w:p w14:paraId="48EBD14D">
                  <w:pPr>
                    <w:pageBreakBefore w:val="0"/>
                    <w:kinsoku/>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900-041-49</w:t>
                  </w:r>
                </w:p>
              </w:tc>
              <w:tc>
                <w:tcPr>
                  <w:tcW w:w="668" w:type="dxa"/>
                  <w:vMerge w:val="continue"/>
                  <w:vAlign w:val="center"/>
                </w:tcPr>
                <w:p w14:paraId="2894A3A9">
                  <w:pPr>
                    <w:kinsoku/>
                    <w:jc w:val="center"/>
                    <w:rPr>
                      <w:rFonts w:ascii="Times New Roman" w:hAnsi="Times New Roman" w:eastAsia="宋体" w:cs="Times New Roman"/>
                      <w:color w:val="000000" w:themeColor="text1"/>
                      <w:lang w:eastAsia="zh-CN"/>
                      <w14:textFill>
                        <w14:solidFill>
                          <w14:schemeClr w14:val="tx1"/>
                        </w14:solidFill>
                      </w14:textFill>
                    </w:rPr>
                  </w:pPr>
                </w:p>
              </w:tc>
              <w:tc>
                <w:tcPr>
                  <w:tcW w:w="903" w:type="dxa"/>
                  <w:vMerge w:val="continue"/>
                  <w:vAlign w:val="center"/>
                </w:tcPr>
                <w:p w14:paraId="50CB0E7C">
                  <w:pPr>
                    <w:kinsoku/>
                    <w:jc w:val="center"/>
                    <w:rPr>
                      <w:rFonts w:ascii="Times New Roman" w:hAnsi="Times New Roman" w:eastAsia="宋体" w:cs="Times New Roman"/>
                      <w:color w:val="000000" w:themeColor="text1"/>
                      <w:lang w:eastAsia="zh-CN"/>
                      <w14:textFill>
                        <w14:solidFill>
                          <w14:schemeClr w14:val="tx1"/>
                        </w14:solidFill>
                      </w14:textFill>
                    </w:rPr>
                  </w:pPr>
                </w:p>
              </w:tc>
              <w:tc>
                <w:tcPr>
                  <w:tcW w:w="819" w:type="dxa"/>
                  <w:vAlign w:val="center"/>
                </w:tcPr>
                <w:p w14:paraId="1E5E0E99">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袋装</w:t>
                  </w:r>
                </w:p>
              </w:tc>
              <w:tc>
                <w:tcPr>
                  <w:tcW w:w="777" w:type="dxa"/>
                  <w:vAlign w:val="center"/>
                </w:tcPr>
                <w:p w14:paraId="749EA81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0.5</w:t>
                  </w:r>
                  <w:r>
                    <w:rPr>
                      <w:rFonts w:hint="eastAsia" w:ascii="Times New Roman" w:hAnsi="Times New Roman" w:eastAsia="宋体" w:cs="Times New Roman"/>
                      <w:lang w:eastAsia="zh-CN"/>
                    </w:rPr>
                    <w:t>t</w:t>
                  </w:r>
                </w:p>
              </w:tc>
              <w:tc>
                <w:tcPr>
                  <w:tcW w:w="773" w:type="dxa"/>
                  <w:vAlign w:val="center"/>
                </w:tcPr>
                <w:p w14:paraId="56540E9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个月</w:t>
                  </w:r>
                </w:p>
              </w:tc>
            </w:tr>
            <w:tr w14:paraId="0C1C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0" w:type="dxa"/>
                  <w:vAlign w:val="center"/>
                </w:tcPr>
                <w:p w14:paraId="710546D6">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3</w:t>
                  </w:r>
                </w:p>
              </w:tc>
              <w:tc>
                <w:tcPr>
                  <w:tcW w:w="1667" w:type="dxa"/>
                  <w:vAlign w:val="center"/>
                </w:tcPr>
                <w:p w14:paraId="769AC46F">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危险废物暂存间</w:t>
                  </w:r>
                </w:p>
              </w:tc>
              <w:tc>
                <w:tcPr>
                  <w:tcW w:w="1197" w:type="dxa"/>
                  <w:vAlign w:val="center"/>
                </w:tcPr>
                <w:p w14:paraId="1205C917">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w:t>
                  </w:r>
                  <w:r>
                    <w:rPr>
                      <w:rFonts w:hint="eastAsia" w:ascii="Times New Roman" w:hAnsi="Times New Roman" w:eastAsia="宋体" w:cs="Times New Roman"/>
                      <w:color w:val="000000" w:themeColor="text1"/>
                      <w:lang w:eastAsia="zh-CN"/>
                      <w14:textFill>
                        <w14:solidFill>
                          <w14:schemeClr w14:val="tx1"/>
                        </w14:solidFill>
                      </w14:textFill>
                    </w:rPr>
                    <w:t>槽渣</w:t>
                  </w:r>
                </w:p>
              </w:tc>
              <w:tc>
                <w:tcPr>
                  <w:tcW w:w="1052" w:type="dxa"/>
                  <w:vAlign w:val="center"/>
                </w:tcPr>
                <w:p w14:paraId="52652B40">
                  <w:pPr>
                    <w:pStyle w:val="31"/>
                    <w:pageBreakBefore w:val="0"/>
                    <w:overflowPunct/>
                    <w:topLinePunct w:val="0"/>
                    <w:bidi w:val="0"/>
                    <w:adjustRightInd/>
                    <w:snapToGrid/>
                    <w:ind w:left="0" w:leftChars="0" w:firstLine="0" w:firstLineChars="0"/>
                    <w:jc w:val="center"/>
                    <w:rPr>
                      <w:rFonts w:ascii="Times New Roman" w:hAnsi="Times New Roman" w:eastAsia="宋体" w:cs="Times New Roman"/>
                      <w:color w:val="000000" w:themeColor="text1"/>
                      <w:lang w:eastAsia="zh-CN" w:bidi="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HW17</w:t>
                  </w:r>
                </w:p>
              </w:tc>
              <w:tc>
                <w:tcPr>
                  <w:tcW w:w="1505" w:type="dxa"/>
                  <w:vAlign w:val="center"/>
                </w:tcPr>
                <w:p w14:paraId="573D5334">
                  <w:pPr>
                    <w:pageBreakBefore w:val="0"/>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336-064-17</w:t>
                  </w:r>
                </w:p>
              </w:tc>
              <w:tc>
                <w:tcPr>
                  <w:tcW w:w="668" w:type="dxa"/>
                  <w:vMerge w:val="continue"/>
                  <w:vAlign w:val="center"/>
                </w:tcPr>
                <w:p w14:paraId="7365B099">
                  <w:pPr>
                    <w:kinsoku/>
                    <w:jc w:val="center"/>
                    <w:rPr>
                      <w:rFonts w:ascii="Times New Roman" w:hAnsi="Times New Roman" w:eastAsia="宋体" w:cs="Times New Roman"/>
                      <w:color w:val="000000" w:themeColor="text1"/>
                      <w:lang w:eastAsia="zh-CN"/>
                      <w14:textFill>
                        <w14:solidFill>
                          <w14:schemeClr w14:val="tx1"/>
                        </w14:solidFill>
                      </w14:textFill>
                    </w:rPr>
                  </w:pPr>
                </w:p>
              </w:tc>
              <w:tc>
                <w:tcPr>
                  <w:tcW w:w="903" w:type="dxa"/>
                  <w:vMerge w:val="continue"/>
                  <w:vAlign w:val="center"/>
                </w:tcPr>
                <w:p w14:paraId="57868EAF">
                  <w:pPr>
                    <w:kinsoku/>
                    <w:jc w:val="center"/>
                    <w:rPr>
                      <w:rFonts w:ascii="Times New Roman" w:hAnsi="Times New Roman" w:eastAsia="宋体" w:cs="Times New Roman"/>
                      <w:color w:val="000000" w:themeColor="text1"/>
                      <w:lang w:eastAsia="zh-CN"/>
                      <w14:textFill>
                        <w14:solidFill>
                          <w14:schemeClr w14:val="tx1"/>
                        </w14:solidFill>
                      </w14:textFill>
                    </w:rPr>
                  </w:pPr>
                </w:p>
              </w:tc>
              <w:tc>
                <w:tcPr>
                  <w:tcW w:w="819" w:type="dxa"/>
                  <w:vAlign w:val="center"/>
                </w:tcPr>
                <w:p w14:paraId="4FAF1AA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桶装</w:t>
                  </w:r>
                </w:p>
              </w:tc>
              <w:tc>
                <w:tcPr>
                  <w:tcW w:w="777" w:type="dxa"/>
                  <w:vAlign w:val="center"/>
                </w:tcPr>
                <w:p w14:paraId="06FED13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val="en-US" w:eastAsia="zh-CN"/>
                    </w:rPr>
                    <w:t>2</w:t>
                  </w:r>
                  <w:r>
                    <w:rPr>
                      <w:rFonts w:ascii="Times New Roman" w:hAnsi="Times New Roman" w:eastAsia="宋体" w:cs="Times New Roman"/>
                      <w:lang w:eastAsia="zh-CN"/>
                    </w:rPr>
                    <w:t>t</w:t>
                  </w:r>
                </w:p>
              </w:tc>
              <w:tc>
                <w:tcPr>
                  <w:tcW w:w="773" w:type="dxa"/>
                  <w:vAlign w:val="center"/>
                </w:tcPr>
                <w:p w14:paraId="7FDBB244">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lang w:eastAsia="zh-CN"/>
                    </w:rPr>
                    <w:t>3个月</w:t>
                  </w:r>
                </w:p>
              </w:tc>
            </w:tr>
            <w:tr w14:paraId="3ACB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0" w:type="dxa"/>
                  <w:vAlign w:val="center"/>
                </w:tcPr>
                <w:p w14:paraId="2888268B">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1667" w:type="dxa"/>
                  <w:vAlign w:val="center"/>
                </w:tcPr>
                <w:p w14:paraId="1E7EF961">
                  <w:pPr>
                    <w:kinsoku/>
                    <w:jc w:val="center"/>
                    <w:rPr>
                      <w:rFonts w:ascii="Times New Roman" w:hAnsi="Times New Roman" w:eastAsia="宋体" w:cs="Times New Roman"/>
                      <w:lang w:eastAsia="zh-CN"/>
                    </w:rPr>
                  </w:pPr>
                  <w:r>
                    <w:rPr>
                      <w:rFonts w:ascii="Times New Roman" w:hAnsi="Times New Roman" w:eastAsia="宋体" w:cs="Times New Roman"/>
                      <w:lang w:eastAsia="zh-CN"/>
                    </w:rPr>
                    <w:t>危险废物暂存间</w:t>
                  </w:r>
                </w:p>
              </w:tc>
              <w:tc>
                <w:tcPr>
                  <w:tcW w:w="1197" w:type="dxa"/>
                  <w:vAlign w:val="center"/>
                </w:tcPr>
                <w:p w14:paraId="4782917C">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1052" w:type="dxa"/>
                  <w:vAlign w:val="center"/>
                </w:tcPr>
                <w:p w14:paraId="7371F01F">
                  <w:pPr>
                    <w:pStyle w:val="31"/>
                    <w:pageBreakBefore w:val="0"/>
                    <w:overflowPunct/>
                    <w:topLinePunct w:val="0"/>
                    <w:bidi w:val="0"/>
                    <w:adjustRightInd/>
                    <w:snapToGrid/>
                    <w:ind w:left="0" w:leftChars="0" w:firstLine="0" w:firstLineChars="0"/>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HW17</w:t>
                  </w:r>
                </w:p>
              </w:tc>
              <w:tc>
                <w:tcPr>
                  <w:tcW w:w="1505" w:type="dxa"/>
                  <w:vAlign w:val="center"/>
                </w:tcPr>
                <w:p w14:paraId="358206E0">
                  <w:pPr>
                    <w:pageBreakBefore w:val="0"/>
                    <w:overflowPunct/>
                    <w:topLinePunct w:val="0"/>
                    <w:bidi w:val="0"/>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napToGrid/>
                      <w:color w:val="auto"/>
                      <w:spacing w:val="0"/>
                      <w:kern w:val="0"/>
                      <w:position w:val="0"/>
                      <w:sz w:val="21"/>
                      <w:szCs w:val="21"/>
                      <w:lang w:val="en-US" w:eastAsia="zh-CN"/>
                    </w:rPr>
                    <w:t>336-064-17</w:t>
                  </w:r>
                </w:p>
              </w:tc>
              <w:tc>
                <w:tcPr>
                  <w:tcW w:w="668" w:type="dxa"/>
                  <w:vMerge w:val="continue"/>
                  <w:vAlign w:val="center"/>
                </w:tcPr>
                <w:p w14:paraId="105F8C12">
                  <w:pPr>
                    <w:kinsoku/>
                    <w:jc w:val="center"/>
                    <w:rPr>
                      <w:rFonts w:ascii="Times New Roman" w:hAnsi="Times New Roman" w:eastAsia="宋体" w:cs="Times New Roman"/>
                      <w:color w:val="000000" w:themeColor="text1"/>
                      <w:lang w:eastAsia="zh-CN"/>
                      <w14:textFill>
                        <w14:solidFill>
                          <w14:schemeClr w14:val="tx1"/>
                        </w14:solidFill>
                      </w14:textFill>
                    </w:rPr>
                  </w:pPr>
                </w:p>
              </w:tc>
              <w:tc>
                <w:tcPr>
                  <w:tcW w:w="903" w:type="dxa"/>
                  <w:vMerge w:val="continue"/>
                  <w:vAlign w:val="center"/>
                </w:tcPr>
                <w:p w14:paraId="3CE2F154">
                  <w:pPr>
                    <w:kinsoku/>
                    <w:jc w:val="center"/>
                    <w:rPr>
                      <w:rFonts w:ascii="Times New Roman" w:hAnsi="Times New Roman" w:eastAsia="宋体" w:cs="Times New Roman"/>
                      <w:color w:val="000000" w:themeColor="text1"/>
                      <w:lang w:eastAsia="zh-CN"/>
                      <w14:textFill>
                        <w14:solidFill>
                          <w14:schemeClr w14:val="tx1"/>
                        </w14:solidFill>
                      </w14:textFill>
                    </w:rPr>
                  </w:pPr>
                </w:p>
              </w:tc>
              <w:tc>
                <w:tcPr>
                  <w:tcW w:w="819" w:type="dxa"/>
                  <w:vAlign w:val="center"/>
                </w:tcPr>
                <w:p w14:paraId="39B1FD82">
                  <w:pPr>
                    <w:kinsoku/>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桶装</w:t>
                  </w:r>
                </w:p>
              </w:tc>
              <w:tc>
                <w:tcPr>
                  <w:tcW w:w="777" w:type="dxa"/>
                  <w:vAlign w:val="center"/>
                </w:tcPr>
                <w:p w14:paraId="314849A2">
                  <w:pPr>
                    <w:kinsoku/>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ascii="Times New Roman" w:hAnsi="Times New Roman" w:eastAsia="宋体" w:cs="Times New Roman"/>
                      <w:lang w:eastAsia="zh-CN"/>
                    </w:rPr>
                    <w:t>t</w:t>
                  </w:r>
                </w:p>
              </w:tc>
              <w:tc>
                <w:tcPr>
                  <w:tcW w:w="773" w:type="dxa"/>
                  <w:vAlign w:val="center"/>
                </w:tcPr>
                <w:p w14:paraId="0EE396AF">
                  <w:pPr>
                    <w:kinsoku/>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3</w:t>
                  </w:r>
                  <w:r>
                    <w:rPr>
                      <w:rFonts w:ascii="Times New Roman" w:hAnsi="Times New Roman" w:eastAsia="宋体" w:cs="Times New Roman"/>
                      <w:lang w:eastAsia="zh-CN"/>
                    </w:rPr>
                    <w:t>个月</w:t>
                  </w:r>
                </w:p>
              </w:tc>
            </w:tr>
          </w:tbl>
          <w:p w14:paraId="49F5FA50">
            <w:pPr>
              <w:pStyle w:val="61"/>
              <w:kinsoku/>
              <w:adjustRightInd/>
              <w:snapToGrid/>
              <w:spacing w:before="0" w:line="360" w:lineRule="auto"/>
              <w:ind w:firstLine="480" w:firstLineChars="200"/>
              <w:rPr>
                <w:rFonts w:ascii="Times New Roman" w:hAnsi="Times New Roman" w:eastAsia="宋体" w:cs="Times New Roman"/>
                <w:color w:val="000000" w:themeColor="text1"/>
                <w:kern w:val="2"/>
                <w:sz w:val="24"/>
                <w:lang w:eastAsia="zh-CN"/>
                <w14:textFill>
                  <w14:solidFill>
                    <w14:schemeClr w14:val="tx1"/>
                  </w14:solidFill>
                </w14:textFill>
              </w:rPr>
            </w:pPr>
            <w:r>
              <w:rPr>
                <w:rFonts w:ascii="Times New Roman" w:hAnsi="Times New Roman" w:eastAsia="宋体" w:cs="Times New Roman"/>
                <w:color w:val="000000" w:themeColor="text1"/>
                <w:kern w:val="2"/>
                <w:sz w:val="24"/>
                <w:lang w:eastAsia="zh-CN"/>
                <w14:textFill>
                  <w14:solidFill>
                    <w14:schemeClr w14:val="tx1"/>
                  </w14:solidFill>
                </w14:textFill>
              </w:rPr>
              <w:t>环境管理要求：</w:t>
            </w:r>
          </w:p>
          <w:p w14:paraId="7C909A83">
            <w:pPr>
              <w:pStyle w:val="61"/>
              <w:kinsoku/>
              <w:wordWrap w:val="0"/>
              <w:adjustRightInd/>
              <w:snapToGrid/>
              <w:spacing w:before="0" w:line="360" w:lineRule="auto"/>
              <w:ind w:firstLine="480" w:firstLineChars="200"/>
              <w:rPr>
                <w:rFonts w:ascii="Times New Roman" w:hAnsi="Times New Roman" w:eastAsia="宋体" w:cs="Times New Roman"/>
                <w:color w:val="000000" w:themeColor="text1"/>
                <w:kern w:val="2"/>
                <w:sz w:val="24"/>
                <w:lang w:eastAsia="zh-CN" w:bidi="ar"/>
                <w14:textFill>
                  <w14:solidFill>
                    <w14:schemeClr w14:val="tx1"/>
                  </w14:solidFill>
                </w14:textFill>
              </w:rPr>
            </w:pPr>
            <w:r>
              <w:rPr>
                <w:rFonts w:ascii="Times New Roman" w:hAnsi="Times New Roman" w:eastAsia="宋体" w:cs="Times New Roman"/>
                <w:color w:val="000000" w:themeColor="text1"/>
                <w:kern w:val="2"/>
                <w:sz w:val="24"/>
                <w:lang w:eastAsia="zh-CN" w:bidi="ar"/>
                <w14:textFill>
                  <w14:solidFill>
                    <w14:schemeClr w14:val="tx1"/>
                  </w14:solidFill>
                </w14:textFill>
              </w:rPr>
              <w:t>项目一般固体废物存放一般固废暂存间，暂存场地的设置应符合《一般工业固体废物贮存和填埋污染控制标准》（GB18599-2020）中的规定。</w:t>
            </w:r>
          </w:p>
          <w:p w14:paraId="5284906B">
            <w:pPr>
              <w:pStyle w:val="61"/>
              <w:kinsoku/>
              <w:wordWrap w:val="0"/>
              <w:adjustRightInd/>
              <w:snapToGrid/>
              <w:spacing w:before="0" w:line="360" w:lineRule="auto"/>
              <w:ind w:firstLineChars="200"/>
              <w:rPr>
                <w:rFonts w:ascii="Times New Roman" w:hAnsi="Times New Roman" w:eastAsia="宋体" w:cs="Times New Roman"/>
                <w:b/>
                <w:bCs/>
                <w:kern w:val="2"/>
                <w:sz w:val="24"/>
                <w:lang w:eastAsia="zh-CN" w:bidi="ar"/>
              </w:rPr>
            </w:pPr>
            <w:r>
              <w:rPr>
                <w:rFonts w:ascii="Times New Roman" w:hAnsi="Times New Roman" w:eastAsia="宋体" w:cs="Times New Roman"/>
                <w:b/>
                <w:bCs/>
                <w:color w:val="000000" w:themeColor="text1"/>
                <w:kern w:val="2"/>
                <w:sz w:val="24"/>
                <w:lang w:eastAsia="zh-CN" w:bidi="ar"/>
                <w14:textFill>
                  <w14:solidFill>
                    <w14:schemeClr w14:val="tx1"/>
                  </w14:solidFill>
                </w14:textFill>
              </w:rPr>
              <w:t>一般固废暂存间设置要求做到以下几点：</w:t>
            </w:r>
          </w:p>
          <w:p w14:paraId="42A54A63">
            <w:pPr>
              <w:pStyle w:val="61"/>
              <w:kinsoku/>
              <w:adjustRightInd/>
              <w:snapToGrid/>
              <w:spacing w:before="0" w:line="360" w:lineRule="auto"/>
              <w:ind w:firstLine="480" w:firstLineChars="200"/>
              <w:rPr>
                <w:rFonts w:ascii="Times New Roman" w:hAnsi="Times New Roman" w:eastAsia="宋体" w:cs="Times New Roman"/>
                <w:kern w:val="2"/>
                <w:sz w:val="24"/>
                <w:lang w:eastAsia="zh-CN" w:bidi="ar"/>
              </w:rPr>
            </w:pPr>
            <w:r>
              <w:rPr>
                <w:rFonts w:ascii="Times New Roman" w:hAnsi="Times New Roman" w:eastAsia="宋体" w:cs="Times New Roman"/>
                <w:kern w:val="2"/>
                <w:sz w:val="24"/>
                <w:lang w:eastAsia="zh-CN" w:bidi="ar"/>
              </w:rPr>
              <w:t>（1）贮存场、填埋场的环境保护图形标志应符合GB15562.2的规定，并应定期检查和维护。</w:t>
            </w:r>
          </w:p>
          <w:p w14:paraId="5A2398EC">
            <w:pPr>
              <w:pStyle w:val="61"/>
              <w:kinsoku/>
              <w:adjustRightInd/>
              <w:snapToGrid/>
              <w:spacing w:before="0" w:line="360" w:lineRule="auto"/>
              <w:ind w:firstLine="480" w:firstLineChars="200"/>
              <w:rPr>
                <w:rFonts w:ascii="Times New Roman" w:hAnsi="Times New Roman" w:eastAsia="宋体" w:cs="Times New Roman"/>
                <w:kern w:val="2"/>
                <w:sz w:val="24"/>
                <w:lang w:eastAsia="zh-CN" w:bidi="ar"/>
              </w:rPr>
            </w:pPr>
            <w:r>
              <w:rPr>
                <w:rFonts w:ascii="Times New Roman" w:hAnsi="Times New Roman" w:eastAsia="宋体" w:cs="Times New Roman"/>
                <w:kern w:val="2"/>
                <w:sz w:val="24"/>
                <w:lang w:eastAsia="zh-CN" w:bidi="ar"/>
              </w:rPr>
              <w:t>（2）不相容的一般工业固体废物应设置不同的分区进行贮存和填埋作业。</w:t>
            </w:r>
          </w:p>
          <w:p w14:paraId="22AE7139">
            <w:pPr>
              <w:pStyle w:val="61"/>
              <w:kinsoku/>
              <w:adjustRightInd/>
              <w:snapToGrid/>
              <w:spacing w:before="0"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kern w:val="2"/>
                <w:sz w:val="24"/>
                <w:lang w:eastAsia="zh-CN" w:bidi="ar"/>
              </w:rPr>
              <w:t>（3）</w:t>
            </w:r>
            <w:r>
              <w:rPr>
                <w:rFonts w:ascii="Times New Roman" w:hAnsi="Times New Roman" w:eastAsia="宋体" w:cs="Times New Roman"/>
                <w:sz w:val="24"/>
                <w:lang w:eastAsia="zh-CN" w:bidi="ar"/>
              </w:rPr>
              <w:t>危险废物和生活垃圾不得进入一般工业固体废物贮存场及填埋场。</w:t>
            </w:r>
          </w:p>
          <w:p w14:paraId="193A693B">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0E3C7E2">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（5）产生工业固体废物的单位委托他人运输、利用、处置工业固体废物的，应当对受托方的主体资格和技术能力进行核实，依法签订书面合同，在合同中约定污染防治要求。</w:t>
            </w:r>
          </w:p>
          <w:p w14:paraId="6D7825EE">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受托方运输、利用、处置工业固体废物，应当依照有关法律法规的规定和合同约定履行污染防治要求，并将运输、利用、处置情况告知产生工业固体废物的单位。</w:t>
            </w:r>
          </w:p>
          <w:p w14:paraId="35540CFA">
            <w:pPr>
              <w:pStyle w:val="61"/>
              <w:kinsoku/>
              <w:wordWrap w:val="0"/>
              <w:adjustRightInd/>
              <w:snapToGrid/>
              <w:spacing w:line="360" w:lineRule="auto"/>
              <w:ind w:firstLine="480" w:firstLineChars="200"/>
              <w:rPr>
                <w:rFonts w:ascii="Times New Roman" w:hAnsi="Times New Roman" w:eastAsia="宋体" w:cs="Times New Roman"/>
                <w:kern w:val="2"/>
                <w:sz w:val="24"/>
                <w:lang w:eastAsia="zh-CN" w:bidi="ar"/>
              </w:rPr>
            </w:pPr>
            <w:r>
              <w:rPr>
                <w:rFonts w:ascii="Times New Roman" w:hAnsi="Times New Roman" w:eastAsia="宋体" w:cs="Times New Roman"/>
                <w:kern w:val="2"/>
                <w:sz w:val="24"/>
                <w:lang w:eastAsia="zh-CN" w:bidi="ar"/>
              </w:rPr>
              <w:t>（6）产生工业固体废物的单位应当取得排污许可证。排污许可的具体办法和实施步骤由国务院规定。</w:t>
            </w:r>
          </w:p>
          <w:p w14:paraId="7482B3D9">
            <w:pPr>
              <w:pStyle w:val="61"/>
              <w:kinsoku/>
              <w:wordWrap w:val="0"/>
              <w:adjustRightInd/>
              <w:snapToGrid/>
              <w:spacing w:line="360" w:lineRule="auto"/>
              <w:ind w:firstLine="480" w:firstLineChars="200"/>
              <w:rPr>
                <w:rFonts w:ascii="Times New Roman" w:hAnsi="Times New Roman" w:eastAsia="宋体" w:cs="Times New Roman"/>
                <w:kern w:val="2"/>
                <w:sz w:val="24"/>
                <w:lang w:eastAsia="zh-CN" w:bidi="ar"/>
              </w:rPr>
            </w:pPr>
            <w:r>
              <w:rPr>
                <w:rFonts w:ascii="Times New Roman" w:hAnsi="Times New Roman" w:eastAsia="宋体" w:cs="Times New Roman"/>
                <w:kern w:val="2"/>
                <w:sz w:val="24"/>
                <w:lang w:eastAsia="zh-CN"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553A94A6">
            <w:pPr>
              <w:kinsoku/>
              <w:wordWrap w:val="0"/>
              <w:adjustRightInd/>
              <w:snapToGrid/>
              <w:spacing w:line="360" w:lineRule="auto"/>
              <w:ind w:firstLine="480" w:firstLineChars="200"/>
              <w:rPr>
                <w:rFonts w:ascii="Times New Roman" w:hAnsi="Times New Roman" w:eastAsia="宋体" w:cs="Times New Roman"/>
                <w:b/>
                <w:bCs/>
                <w:kern w:val="2"/>
                <w:sz w:val="24"/>
                <w:lang w:eastAsia="zh-CN" w:bidi="ar"/>
              </w:rPr>
            </w:pPr>
            <w:r>
              <w:rPr>
                <w:rFonts w:ascii="Times New Roman" w:hAnsi="Times New Roman" w:eastAsia="宋体" w:cs="Times New Roman"/>
                <w:sz w:val="24"/>
                <w:lang w:eastAsia="zh-CN" w:bidi="ar"/>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43659838">
            <w:pPr>
              <w:pStyle w:val="61"/>
              <w:kinsoku/>
              <w:wordWrap w:val="0"/>
              <w:adjustRightInd/>
              <w:snapToGrid/>
              <w:spacing w:before="0" w:line="360" w:lineRule="auto"/>
              <w:ind w:firstLineChars="200"/>
              <w:rPr>
                <w:rFonts w:ascii="Times New Roman" w:hAnsi="Times New Roman" w:eastAsia="宋体" w:cs="Times New Roman"/>
                <w:b/>
                <w:bCs/>
                <w:kern w:val="2"/>
                <w:sz w:val="24"/>
                <w:lang w:eastAsia="zh-CN" w:bidi="ar"/>
              </w:rPr>
            </w:pPr>
            <w:r>
              <w:rPr>
                <w:rFonts w:ascii="Times New Roman" w:hAnsi="Times New Roman" w:eastAsia="宋体" w:cs="Times New Roman"/>
                <w:b/>
                <w:bCs/>
                <w:kern w:val="2"/>
                <w:sz w:val="24"/>
                <w:lang w:eastAsia="zh-CN" w:bidi="ar"/>
              </w:rPr>
              <w:t>危险废物暂存间设置要求做到以下几点：</w:t>
            </w:r>
          </w:p>
          <w:p w14:paraId="2B8D761C">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hint="eastAsia" w:ascii="Times New Roman" w:hAnsi="Times New Roman" w:eastAsia="宋体" w:cs="Times New Roman"/>
                <w:sz w:val="24"/>
                <w:lang w:eastAsia="zh-CN" w:bidi="ar"/>
              </w:rPr>
              <w:t>本项目拟在厂区内西北部设立一座</w:t>
            </w:r>
            <w:r>
              <w:rPr>
                <w:rFonts w:hint="eastAsia" w:ascii="Times New Roman" w:hAnsi="Times New Roman" w:eastAsia="宋体" w:cs="Times New Roman"/>
                <w:sz w:val="24"/>
                <w:lang w:val="en-US" w:eastAsia="zh-CN" w:bidi="ar"/>
              </w:rPr>
              <w:t>15</w:t>
            </w:r>
            <w:r>
              <w:rPr>
                <w:rFonts w:hint="eastAsia" w:ascii="Times New Roman" w:hAnsi="Times New Roman" w:eastAsia="宋体" w:cs="Times New Roman"/>
                <w:sz w:val="24"/>
                <w:lang w:eastAsia="zh-CN" w:bidi="ar"/>
              </w:rPr>
              <w:t>m</w:t>
            </w:r>
            <w:r>
              <w:rPr>
                <w:rFonts w:hint="eastAsia" w:ascii="Times New Roman" w:hAnsi="Times New Roman" w:eastAsia="宋体" w:cs="Times New Roman"/>
                <w:sz w:val="24"/>
                <w:vertAlign w:val="superscript"/>
                <w:lang w:eastAsia="zh-CN" w:bidi="ar"/>
              </w:rPr>
              <w:t>2</w:t>
            </w:r>
            <w:r>
              <w:rPr>
                <w:rFonts w:hint="eastAsia" w:ascii="Times New Roman" w:hAnsi="Times New Roman" w:eastAsia="宋体" w:cs="Times New Roman"/>
                <w:sz w:val="24"/>
                <w:lang w:eastAsia="zh-CN" w:bidi="ar"/>
              </w:rPr>
              <w:t>危废间，危废间的建筑材料应坚固、防渗，必须与危险废物相容，内部应设置导流槽及集水坑，门口应设置围堰，防止液体泄漏‌；配备必要的集气管网，确保废物的有害气体排放能够得到有效收集与处理。</w:t>
            </w:r>
          </w:p>
          <w:p w14:paraId="6CF8DADF">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危险废物暂存场地的设置应符合《危险废物贮存污染控制标准》（GB18597-2023）中的规定。</w:t>
            </w:r>
          </w:p>
          <w:p w14:paraId="21F1A0E3">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（1）危险废物贮存设施必须按《危险废物识别标志设置技术规范》（HJ1276-2022）中规定设置警示标志；</w:t>
            </w:r>
          </w:p>
          <w:p w14:paraId="4DB5F251">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hint="eastAsia" w:ascii="Times New Roman" w:hAnsi="Times New Roman" w:eastAsia="宋体" w:cs="Times New Roman"/>
                <w:sz w:val="24"/>
                <w:lang w:eastAsia="zh-CN" w:bidi="ar"/>
              </w:rPr>
              <w:t>（2）危废间基础必须防渗，其防渗层等效为至少6米厚粘土层（渗透系数</w:t>
            </w:r>
            <w:r>
              <w:rPr>
                <w:rFonts w:ascii="Times New Roman" w:hAnsi="Times New Roman" w:eastAsia="宋体" w:cs="Times New Roman"/>
                <w:sz w:val="24"/>
                <w:lang w:eastAsia="zh-CN" w:bidi="ar"/>
              </w:rPr>
              <w:t>≤</w:t>
            </w:r>
            <w:r>
              <w:rPr>
                <w:rFonts w:hint="eastAsia" w:ascii="Times New Roman" w:hAnsi="Times New Roman" w:eastAsia="宋体" w:cs="Times New Roman"/>
                <w:sz w:val="24"/>
                <w:lang w:eastAsia="zh-CN" w:bidi="ar"/>
              </w:rPr>
              <w:t>10</w:t>
            </w:r>
            <w:r>
              <w:rPr>
                <w:rFonts w:hint="eastAsia" w:ascii="Times New Roman" w:hAnsi="Times New Roman" w:eastAsia="宋体" w:cs="Times New Roman"/>
                <w:sz w:val="24"/>
                <w:vertAlign w:val="superscript"/>
                <w:lang w:eastAsia="zh-CN" w:bidi="ar"/>
              </w:rPr>
              <w:t>-7</w:t>
            </w:r>
            <w:r>
              <w:rPr>
                <w:rFonts w:hint="eastAsia" w:ascii="Times New Roman" w:hAnsi="Times New Roman" w:eastAsia="宋体" w:cs="Times New Roman"/>
                <w:sz w:val="24"/>
                <w:lang w:eastAsia="zh-CN" w:bidi="ar"/>
              </w:rPr>
              <w:t>cm/s），或2mm厚高密度聚乙烯，或至少2mm厚的其它人工材料，渗透系数</w:t>
            </w:r>
            <w:r>
              <w:rPr>
                <w:rFonts w:ascii="Times New Roman" w:hAnsi="Times New Roman" w:eastAsia="宋体" w:cs="Times New Roman"/>
                <w:sz w:val="24"/>
                <w:lang w:eastAsia="zh-CN" w:bidi="ar"/>
              </w:rPr>
              <w:t>≤</w:t>
            </w:r>
            <w:r>
              <w:rPr>
                <w:rFonts w:hint="eastAsia" w:ascii="Times New Roman" w:hAnsi="Times New Roman" w:eastAsia="宋体" w:cs="Times New Roman"/>
                <w:sz w:val="24"/>
                <w:lang w:eastAsia="zh-CN" w:bidi="ar"/>
              </w:rPr>
              <w:t>10</w:t>
            </w:r>
            <w:r>
              <w:rPr>
                <w:rFonts w:hint="eastAsia" w:ascii="Times New Roman" w:hAnsi="Times New Roman" w:eastAsia="宋体" w:cs="Times New Roman"/>
                <w:sz w:val="24"/>
                <w:vertAlign w:val="superscript"/>
                <w:lang w:eastAsia="zh-CN" w:bidi="ar"/>
              </w:rPr>
              <w:t>-10</w:t>
            </w:r>
            <w:r>
              <w:rPr>
                <w:rFonts w:hint="eastAsia" w:ascii="Times New Roman" w:hAnsi="Times New Roman" w:eastAsia="宋体" w:cs="Times New Roman"/>
                <w:sz w:val="24"/>
                <w:lang w:eastAsia="zh-CN" w:bidi="ar"/>
              </w:rPr>
              <w:t>cm/s。</w:t>
            </w:r>
          </w:p>
          <w:p w14:paraId="581DDCB3">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w:t>
            </w:r>
            <w:r>
              <w:rPr>
                <w:rFonts w:hint="eastAsia" w:ascii="Times New Roman" w:hAnsi="Times New Roman" w:eastAsia="宋体" w:cs="Times New Roman"/>
                <w:sz w:val="24"/>
                <w:lang w:eastAsia="zh-CN" w:bidi="ar"/>
              </w:rPr>
              <w:t>3</w:t>
            </w:r>
            <w:r>
              <w:rPr>
                <w:rFonts w:ascii="Times New Roman" w:hAnsi="Times New Roman" w:eastAsia="宋体" w:cs="Times New Roman"/>
                <w:sz w:val="24"/>
                <w:lang w:eastAsia="zh-CN" w:bidi="ar"/>
              </w:rPr>
              <w:t>）企业须健全危险废物相关管理制度，并严格落实。</w:t>
            </w:r>
          </w:p>
          <w:p w14:paraId="0CA89F9D">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①企业须对危险废物储运场所张贴警示标识，危险废物包装张贴警示标签；</w:t>
            </w:r>
          </w:p>
          <w:p w14:paraId="3C0002AE">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②规范危险废物台账记录、建立危险废物收集及储运有关档案，认真填写《危险废物项目区内转运记录表》，</w:t>
            </w:r>
            <w:r>
              <w:rPr>
                <w:rFonts w:hint="eastAsia" w:ascii="Times New Roman" w:hAnsi="Times New Roman" w:eastAsia="宋体" w:cs="Times New Roman"/>
                <w:sz w:val="24"/>
                <w:lang w:eastAsia="zh-CN" w:bidi="ar"/>
              </w:rPr>
              <w:t>做好</w:t>
            </w:r>
            <w:r>
              <w:rPr>
                <w:rFonts w:ascii="Times New Roman" w:hAnsi="Times New Roman" w:eastAsia="宋体" w:cs="Times New Roman"/>
                <w:sz w:val="24"/>
                <w:lang w:eastAsia="zh-CN" w:bidi="ar"/>
              </w:rPr>
              <w:t>危险废物台账的记录，记录上须注明危险废物的名称、来源、数量、特性和包装容器的类别、入库日期、存放库位、废物出库日期及接收单位名称等，并即时存档以备查阅。</w:t>
            </w:r>
          </w:p>
          <w:p w14:paraId="6773B356">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w:t>
            </w:r>
            <w:r>
              <w:rPr>
                <w:rFonts w:hint="eastAsia" w:ascii="Times New Roman" w:hAnsi="Times New Roman" w:eastAsia="宋体" w:cs="Times New Roman"/>
                <w:sz w:val="24"/>
                <w:lang w:eastAsia="zh-CN" w:bidi="ar"/>
              </w:rPr>
              <w:t>4</w:t>
            </w:r>
            <w:r>
              <w:rPr>
                <w:rFonts w:ascii="Times New Roman" w:hAnsi="Times New Roman" w:eastAsia="宋体" w:cs="Times New Roman"/>
                <w:sz w:val="24"/>
                <w:lang w:eastAsia="zh-CN" w:bidi="ar"/>
              </w:rPr>
              <w:t>）危险废物存储和管理的相关要求。</w:t>
            </w:r>
          </w:p>
          <w:p w14:paraId="5CB3DA2F">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①必须将危险废物装入容器内密封装运，盛装危险废物的容器应当符合标准，材质要满足相应的强度要求且必须完好无损，容器材质和衬里要与危险废物相容（不相互反应）；</w:t>
            </w:r>
          </w:p>
          <w:p w14:paraId="7AC62525">
            <w:pPr>
              <w:kinsoku/>
              <w:wordWrap w:val="0"/>
              <w:adjustRightInd/>
              <w:snapToGrid/>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②危险废物转移过程严格落实《危险废物转移管理办法》的相关规定，规范危险废物转移，做好每次外运处置废物的运输登记。</w:t>
            </w:r>
          </w:p>
          <w:p w14:paraId="1E8C081C">
            <w:pPr>
              <w:kinsoku/>
              <w:wordWrap w:val="0"/>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bidi="ar"/>
              </w:rPr>
              <w:t>项目固体废物处置符合《一般工业固体废物贮存和填埋污染控制标准》（GB18599--2020）、《危险废物贮存污染控制标准》（GB18597-2023）中相关要求，各固体废物均能得到妥善解决，对周围环境影响较小。</w:t>
            </w:r>
          </w:p>
          <w:p w14:paraId="7D1FE3D3">
            <w:pPr>
              <w:pStyle w:val="61"/>
              <w:kinsoku/>
              <w:adjustRightInd/>
              <w:snapToGrid/>
              <w:spacing w:before="0" w:line="360" w:lineRule="auto"/>
              <w:ind w:firstLine="0"/>
              <w:rPr>
                <w:rFonts w:ascii="Times New Roman" w:hAnsi="Times New Roman" w:eastAsia="宋体" w:cs="Times New Roman"/>
                <w:b/>
                <w:bCs/>
                <w:kern w:val="2"/>
                <w:sz w:val="24"/>
                <w:lang w:eastAsia="zh-CN"/>
              </w:rPr>
            </w:pPr>
            <w:r>
              <w:rPr>
                <w:rFonts w:ascii="Times New Roman" w:hAnsi="Times New Roman" w:eastAsia="宋体" w:cs="Times New Roman"/>
                <w:b/>
                <w:bCs/>
                <w:kern w:val="2"/>
                <w:sz w:val="24"/>
                <w:lang w:eastAsia="zh-CN"/>
              </w:rPr>
              <w:t>5、地下水、土壤</w:t>
            </w:r>
          </w:p>
          <w:p w14:paraId="4B7404B2">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厂区危废暂存间等处</w:t>
            </w:r>
            <w:r>
              <w:rPr>
                <w:rFonts w:hint="eastAsia" w:ascii="Times New Roman" w:hAnsi="Times New Roman" w:eastAsia="宋体" w:cs="Times New Roman"/>
                <w:kern w:val="2"/>
                <w:sz w:val="24"/>
                <w:lang w:eastAsia="zh-CN"/>
              </w:rPr>
              <w:t>若</w:t>
            </w:r>
            <w:r>
              <w:rPr>
                <w:rFonts w:ascii="Times New Roman" w:hAnsi="Times New Roman" w:eastAsia="宋体" w:cs="Times New Roman"/>
                <w:kern w:val="2"/>
                <w:sz w:val="24"/>
                <w:lang w:eastAsia="zh-CN"/>
              </w:rPr>
              <w:t>防渗措施不到位，会有废油下渗污染地下水、土壤。</w:t>
            </w:r>
          </w:p>
          <w:p w14:paraId="3CE501FF">
            <w:pPr>
              <w:pStyle w:val="61"/>
              <w:kinsoku/>
              <w:adjustRightInd/>
              <w:snapToGrid/>
              <w:spacing w:before="0"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kern w:val="2"/>
                <w:sz w:val="24"/>
                <w:lang w:eastAsia="zh-CN"/>
                <w14:textFill>
                  <w14:solidFill>
                    <w14:schemeClr w14:val="tx1"/>
                  </w14:solidFill>
                </w14:textFill>
              </w:rPr>
              <w:t>项目在建设过程中，将危废间</w:t>
            </w:r>
            <w:r>
              <w:rPr>
                <w:rFonts w:hint="eastAsia" w:ascii="Times New Roman" w:hAnsi="Times New Roman" w:eastAsia="宋体" w:cs="Times New Roman"/>
                <w:color w:val="000000" w:themeColor="text1"/>
                <w:kern w:val="2"/>
                <w:sz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lang w:val="en-US" w:eastAsia="zh-CN"/>
                <w14:textFill>
                  <w14:solidFill>
                    <w14:schemeClr w14:val="tx1"/>
                  </w14:solidFill>
                </w14:textFill>
              </w:rPr>
              <w:t>DBP油罐区</w:t>
            </w:r>
            <w:r>
              <w:rPr>
                <w:rFonts w:ascii="Times New Roman" w:hAnsi="Times New Roman" w:eastAsia="宋体" w:cs="Times New Roman"/>
                <w:color w:val="000000" w:themeColor="text1"/>
                <w:kern w:val="2"/>
                <w:sz w:val="24"/>
                <w:lang w:eastAsia="zh-CN"/>
                <w14:textFill>
                  <w14:solidFill>
                    <w14:schemeClr w14:val="tx1"/>
                  </w14:solidFill>
                </w14:textFill>
              </w:rPr>
              <w:t>等区域划分为重点防渗区。</w:t>
            </w:r>
            <w:r>
              <w:rPr>
                <w:rFonts w:ascii="Times New Roman" w:hAnsi="Times New Roman" w:eastAsia="宋体" w:cs="Times New Roman"/>
                <w:color w:val="000000" w:themeColor="text1"/>
                <w:sz w:val="24"/>
                <w:szCs w:val="24"/>
                <w:lang w:eastAsia="zh-CN"/>
                <w14:textFill>
                  <w14:solidFill>
                    <w14:schemeClr w14:val="tx1"/>
                  </w14:solidFill>
                </w14:textFill>
              </w:rPr>
              <w:t>防渗层需满足等效黏土防水层Mb≥6.0m，K≤1.0×10</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-7</w:t>
            </w:r>
            <w:r>
              <w:rPr>
                <w:rFonts w:ascii="Times New Roman" w:hAnsi="Times New Roman" w:eastAsia="宋体" w:cs="Times New Roman"/>
                <w:color w:val="000000" w:themeColor="text1"/>
                <w:sz w:val="24"/>
                <w:szCs w:val="24"/>
                <w:lang w:eastAsia="zh-CN"/>
                <w14:textFill>
                  <w14:solidFill>
                    <w14:schemeClr w14:val="tx1"/>
                  </w14:solidFill>
                </w14:textFill>
              </w:rPr>
              <w:t>cm/s；或参照《危险废物填埋场污染控制标准》（GB18598-2023）中对防渗层的要求为“人工合成材料衬层可以采用高密度聚乙烯（HDPE），其渗透系数不大于10</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-10</w:t>
            </w:r>
            <w:r>
              <w:rPr>
                <w:rFonts w:ascii="Times New Roman" w:hAnsi="Times New Roman" w:eastAsia="宋体" w:cs="Times New Roman"/>
                <w:color w:val="000000" w:themeColor="text1"/>
                <w:sz w:val="24"/>
                <w:szCs w:val="24"/>
                <w:lang w:eastAsia="zh-CN"/>
                <w14:textFill>
                  <w14:solidFill>
                    <w14:schemeClr w14:val="tx1"/>
                  </w14:solidFill>
                </w14:textFill>
              </w:rPr>
              <w:t>cm/s，厚度不小于1.5mm。”建议防渗层的设置必须达到“双人工衬层，且人工衬层的材料渗透系数不大于10</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-10</w:t>
            </w:r>
            <w:r>
              <w:rPr>
                <w:rFonts w:ascii="Times New Roman" w:hAnsi="Times New Roman" w:eastAsia="宋体" w:cs="Times New Roman"/>
                <w:color w:val="000000" w:themeColor="text1"/>
                <w:sz w:val="24"/>
                <w:szCs w:val="24"/>
                <w:lang w:eastAsia="zh-CN"/>
                <w14:textFill>
                  <w14:solidFill>
                    <w14:schemeClr w14:val="tx1"/>
                  </w14:solidFill>
                </w14:textFill>
              </w:rPr>
              <w:t>cm/s”的要求。</w:t>
            </w:r>
          </w:p>
          <w:p w14:paraId="388A6B9A">
            <w:pPr>
              <w:pStyle w:val="61"/>
              <w:kinsoku/>
              <w:adjustRightInd/>
              <w:snapToGrid/>
              <w:spacing w:before="0" w:line="360" w:lineRule="auto"/>
              <w:ind w:firstLine="480" w:firstLineChars="200"/>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生产车间划分为一般防渗区，防渗层需满足等效黏土防水层Mb≥0.75m，K≤1.0×10</w:t>
            </w:r>
            <w:r>
              <w:rPr>
                <w:rFonts w:ascii="Times New Roman" w:hAnsi="Times New Roman" w:eastAsia="宋体" w:cs="Times New Roman"/>
                <w:kern w:val="2"/>
                <w:sz w:val="24"/>
                <w:vertAlign w:val="superscript"/>
                <w:lang w:eastAsia="zh-CN"/>
              </w:rPr>
              <w:t>-7</w:t>
            </w:r>
            <w:r>
              <w:rPr>
                <w:rFonts w:ascii="Times New Roman" w:hAnsi="Times New Roman" w:eastAsia="宋体" w:cs="Times New Roman"/>
                <w:kern w:val="2"/>
                <w:sz w:val="24"/>
                <w:lang w:eastAsia="zh-CN"/>
              </w:rPr>
              <w:t>cm/s；或参照《一般工业固体废物贮存和填埋污染控制标准》（GB18599-2020）中Ⅱ类场的要求：“当天然基础层的渗透系统大于1.0×10</w:t>
            </w:r>
            <w:r>
              <w:rPr>
                <w:rFonts w:ascii="Times New Roman" w:hAnsi="Times New Roman" w:eastAsia="宋体" w:cs="Times New Roman"/>
                <w:kern w:val="2"/>
                <w:sz w:val="24"/>
                <w:vertAlign w:val="superscript"/>
                <w:lang w:eastAsia="zh-CN"/>
              </w:rPr>
              <w:t>-7</w:t>
            </w:r>
            <w:r>
              <w:rPr>
                <w:rFonts w:ascii="Times New Roman" w:hAnsi="Times New Roman" w:eastAsia="宋体" w:cs="Times New Roman"/>
                <w:kern w:val="2"/>
                <w:sz w:val="24"/>
                <w:lang w:eastAsia="zh-CN"/>
              </w:rPr>
              <w:t>cm/s时，应采用天然或人工材料构筑防渗层，防渗层的厚度应相当于渗透系数1.0×10</w:t>
            </w:r>
            <w:r>
              <w:rPr>
                <w:rFonts w:ascii="Times New Roman" w:hAnsi="Times New Roman" w:eastAsia="宋体" w:cs="Times New Roman"/>
                <w:kern w:val="2"/>
                <w:sz w:val="24"/>
                <w:vertAlign w:val="superscript"/>
                <w:lang w:eastAsia="zh-CN"/>
              </w:rPr>
              <w:t>-7</w:t>
            </w:r>
            <w:r>
              <w:rPr>
                <w:rFonts w:ascii="Times New Roman" w:hAnsi="Times New Roman" w:eastAsia="宋体" w:cs="Times New Roman"/>
                <w:kern w:val="2"/>
                <w:sz w:val="24"/>
                <w:lang w:eastAsia="zh-CN"/>
              </w:rPr>
              <w:t>cm/s和厚度1.5m的粘土层的防渗性能”。</w:t>
            </w:r>
          </w:p>
          <w:p w14:paraId="6A43356E">
            <w:pPr>
              <w:pStyle w:val="61"/>
              <w:kinsoku/>
              <w:adjustRightInd/>
              <w:snapToGrid/>
              <w:spacing w:before="0" w:line="360" w:lineRule="auto"/>
              <w:ind w:firstLine="480" w:firstLineChars="200"/>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kern w:val="2"/>
                <w:sz w:val="24"/>
                <w:lang w:eastAsia="zh-CN"/>
              </w:rPr>
              <w:t>根据以上分区情况，对本项目场区防渗分区见下表。</w:t>
            </w:r>
          </w:p>
          <w:p w14:paraId="387D3C66">
            <w:pPr>
              <w:kinsoku/>
              <w:adjustRightInd/>
              <w:snapToGrid/>
              <w:jc w:val="center"/>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lang w:eastAsia="zh-CN"/>
                <w14:textFill>
                  <w14:solidFill>
                    <w14:schemeClr w14:val="tx1"/>
                  </w14:solidFill>
                </w14:textFill>
              </w:rPr>
              <w:t>1</w:t>
            </w:r>
            <w:r>
              <w:rPr>
                <w:rFonts w:hint="eastAsia" w:ascii="Times New Roman" w:hAnsi="Times New Roman" w:eastAsia="宋体" w:cs="Times New Roman"/>
                <w:b/>
                <w:bCs/>
                <w:color w:val="000000" w:themeColor="text1"/>
                <w:sz w:val="24"/>
                <w:lang w:val="en-US" w:eastAsia="zh-CN"/>
                <w14:textFill>
                  <w14:solidFill>
                    <w14:schemeClr w14:val="tx1"/>
                  </w14:solidFill>
                </w14:textFill>
              </w:rPr>
              <w:t>6</w:t>
            </w:r>
            <w:r>
              <w:rPr>
                <w:rFonts w:ascii="Times New Roman" w:hAnsi="Times New Roman" w:eastAsia="宋体" w:cs="Times New Roman"/>
                <w:b/>
                <w:bCs/>
                <w:color w:val="000000" w:themeColor="text1"/>
                <w:sz w:val="24"/>
                <w:lang w:eastAsia="zh-CN"/>
                <w14:textFill>
                  <w14:solidFill>
                    <w14:schemeClr w14:val="tx1"/>
                  </w14:solidFill>
                </w14:textFill>
              </w:rPr>
              <w:t xml:space="preserve"> 地下水污染防渗分区参照表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327"/>
              <w:gridCol w:w="1048"/>
              <w:gridCol w:w="1006"/>
              <w:gridCol w:w="5171"/>
            </w:tblGrid>
            <w:tr w14:paraId="3DD0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single" w:color="auto" w:sz="4" w:space="0"/>
                    <w:bottom w:val="single" w:color="auto" w:sz="4" w:space="0"/>
                    <w:right w:val="single" w:color="auto" w:sz="4" w:space="0"/>
                  </w:tcBorders>
                  <w:vAlign w:val="center"/>
                </w:tcPr>
                <w:p w14:paraId="3782D9EA">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场区内建构筑物</w:t>
                  </w:r>
                </w:p>
              </w:tc>
              <w:tc>
                <w:tcPr>
                  <w:tcW w:w="1121" w:type="dxa"/>
                  <w:tcBorders>
                    <w:top w:val="single" w:color="auto" w:sz="4" w:space="0"/>
                    <w:left w:val="nil"/>
                    <w:bottom w:val="single" w:color="auto" w:sz="4" w:space="0"/>
                    <w:right w:val="single" w:color="auto" w:sz="4" w:space="0"/>
                  </w:tcBorders>
                  <w:vAlign w:val="center"/>
                </w:tcPr>
                <w:p w14:paraId="31EEBD13">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污染控制难易程度</w:t>
                  </w:r>
                </w:p>
              </w:tc>
              <w:tc>
                <w:tcPr>
                  <w:tcW w:w="885" w:type="dxa"/>
                  <w:tcBorders>
                    <w:top w:val="single" w:color="auto" w:sz="4" w:space="0"/>
                    <w:left w:val="nil"/>
                    <w:bottom w:val="single" w:color="auto" w:sz="4" w:space="0"/>
                    <w:right w:val="single" w:color="auto" w:sz="4" w:space="0"/>
                  </w:tcBorders>
                  <w:vAlign w:val="center"/>
                </w:tcPr>
                <w:p w14:paraId="2ED85E4A">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污染物类型</w:t>
                  </w:r>
                </w:p>
              </w:tc>
              <w:tc>
                <w:tcPr>
                  <w:tcW w:w="850" w:type="dxa"/>
                  <w:tcBorders>
                    <w:top w:val="single" w:color="auto" w:sz="4" w:space="0"/>
                    <w:left w:val="nil"/>
                    <w:bottom w:val="single" w:color="auto" w:sz="4" w:space="0"/>
                    <w:right w:val="single" w:color="auto" w:sz="4" w:space="0"/>
                  </w:tcBorders>
                  <w:vAlign w:val="center"/>
                </w:tcPr>
                <w:p w14:paraId="3DA6154C">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防渗分区</w:t>
                  </w:r>
                </w:p>
              </w:tc>
              <w:tc>
                <w:tcPr>
                  <w:tcW w:w="4368" w:type="dxa"/>
                  <w:tcBorders>
                    <w:top w:val="single" w:color="auto" w:sz="4" w:space="0"/>
                    <w:left w:val="nil"/>
                    <w:bottom w:val="single" w:color="auto" w:sz="4" w:space="0"/>
                    <w:right w:val="single" w:color="auto" w:sz="4" w:space="0"/>
                  </w:tcBorders>
                  <w:vAlign w:val="center"/>
                </w:tcPr>
                <w:p w14:paraId="278BEB56">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防渗技术要求</w:t>
                  </w:r>
                </w:p>
              </w:tc>
            </w:tr>
            <w:tr w14:paraId="551C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single" w:color="auto" w:sz="4" w:space="0"/>
                    <w:bottom w:val="single" w:color="auto" w:sz="4" w:space="0"/>
                    <w:right w:val="single" w:color="auto" w:sz="4" w:space="0"/>
                  </w:tcBorders>
                  <w:vAlign w:val="center"/>
                </w:tcPr>
                <w:p w14:paraId="73FD415C">
                  <w:pPr>
                    <w:pStyle w:val="65"/>
                    <w:kinsoku/>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危废间</w:t>
                  </w:r>
                  <w:r>
                    <w:rPr>
                      <w:rFonts w:hint="eastAsia" w:ascii="Times New Roman" w:hAnsi="Times New Roman" w:eastAsia="宋体" w:cs="Times New Roman"/>
                      <w:color w:val="000000" w:themeColor="text1"/>
                      <w:lang w:eastAsia="zh-CN"/>
                      <w14:textFill>
                        <w14:solidFill>
                          <w14:schemeClr w14:val="tx1"/>
                        </w14:solidFill>
                      </w14:textFill>
                    </w:rPr>
                    <w:t>、电泳喷塑线、表面处理线</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eastAsia="zh-CN"/>
                      <w14:textFill>
                        <w14:solidFill>
                          <w14:schemeClr w14:val="tx1"/>
                        </w14:solidFill>
                      </w14:textFill>
                    </w:rPr>
                    <w:t>表面处理线</w:t>
                  </w: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1121" w:type="dxa"/>
                  <w:tcBorders>
                    <w:top w:val="single" w:color="auto" w:sz="4" w:space="0"/>
                    <w:left w:val="nil"/>
                    <w:bottom w:val="single" w:color="auto" w:sz="4" w:space="0"/>
                    <w:right w:val="single" w:color="auto" w:sz="4" w:space="0"/>
                  </w:tcBorders>
                  <w:vAlign w:val="center"/>
                </w:tcPr>
                <w:p w14:paraId="55C14EB9">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难</w:t>
                  </w:r>
                </w:p>
              </w:tc>
              <w:tc>
                <w:tcPr>
                  <w:tcW w:w="885" w:type="dxa"/>
                  <w:tcBorders>
                    <w:top w:val="single" w:color="auto" w:sz="4" w:space="0"/>
                    <w:left w:val="nil"/>
                    <w:bottom w:val="single" w:color="auto" w:sz="4" w:space="0"/>
                    <w:right w:val="single" w:color="auto" w:sz="4" w:space="0"/>
                  </w:tcBorders>
                  <w:vAlign w:val="center"/>
                </w:tcPr>
                <w:p w14:paraId="73F5E30D">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其他类型</w:t>
                  </w:r>
                </w:p>
              </w:tc>
              <w:tc>
                <w:tcPr>
                  <w:tcW w:w="850" w:type="dxa"/>
                  <w:tcBorders>
                    <w:top w:val="single" w:color="auto" w:sz="4" w:space="0"/>
                    <w:left w:val="nil"/>
                    <w:bottom w:val="single" w:color="auto" w:sz="4" w:space="0"/>
                    <w:right w:val="single" w:color="auto" w:sz="4" w:space="0"/>
                  </w:tcBorders>
                  <w:vAlign w:val="center"/>
                </w:tcPr>
                <w:p w14:paraId="3B144D61">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重点防渗区</w:t>
                  </w:r>
                </w:p>
              </w:tc>
              <w:tc>
                <w:tcPr>
                  <w:tcW w:w="4368" w:type="dxa"/>
                  <w:tcBorders>
                    <w:top w:val="single" w:color="auto" w:sz="4" w:space="0"/>
                    <w:left w:val="nil"/>
                    <w:bottom w:val="single" w:color="auto" w:sz="4" w:space="0"/>
                    <w:right w:val="single" w:color="auto" w:sz="4" w:space="0"/>
                  </w:tcBorders>
                  <w:vAlign w:val="center"/>
                </w:tcPr>
                <w:p w14:paraId="14E94C32">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基础必须防渗，防渗层等效为至少</w:t>
                  </w:r>
                  <w:r>
                    <w:rPr>
                      <w:rFonts w:hint="eastAsia" w:ascii="Times New Roman" w:hAnsi="Times New Roman" w:eastAsia="宋体" w:cs="Times New Roman"/>
                      <w:color w:val="000000" w:themeColor="text1"/>
                      <w:lang w:eastAsia="zh-CN"/>
                      <w14:textFill>
                        <w14:solidFill>
                          <w14:schemeClr w14:val="tx1"/>
                        </w14:solidFill>
                      </w14:textFill>
                    </w:rPr>
                    <w:t>6</w:t>
                  </w:r>
                  <w:r>
                    <w:rPr>
                      <w:rFonts w:ascii="Times New Roman" w:hAnsi="Times New Roman" w:eastAsia="宋体" w:cs="Times New Roman"/>
                      <w:color w:val="000000" w:themeColor="text1"/>
                      <w:lang w:eastAsia="zh-CN"/>
                      <w14:textFill>
                        <w14:solidFill>
                          <w14:schemeClr w14:val="tx1"/>
                        </w14:solidFill>
                      </w14:textFill>
                    </w:rPr>
                    <w:t>米厚粘土层（渗透系数≤10</w:t>
                  </w:r>
                  <w:r>
                    <w:rPr>
                      <w:rFonts w:ascii="Times New Roman" w:hAnsi="Times New Roman" w:eastAsia="宋体" w:cs="Times New Roman"/>
                      <w:color w:val="000000" w:themeColor="text1"/>
                      <w:vertAlign w:val="superscript"/>
                      <w:lang w:eastAsia="zh-CN"/>
                      <w14:textFill>
                        <w14:solidFill>
                          <w14:schemeClr w14:val="tx1"/>
                        </w14:solidFill>
                      </w14:textFill>
                    </w:rPr>
                    <w:t>-7</w:t>
                  </w:r>
                  <w:r>
                    <w:rPr>
                      <w:rFonts w:ascii="Times New Roman" w:hAnsi="Times New Roman" w:eastAsia="宋体" w:cs="Times New Roman"/>
                      <w:color w:val="000000" w:themeColor="text1"/>
                      <w:lang w:eastAsia="zh-CN"/>
                      <w14:textFill>
                        <w14:solidFill>
                          <w14:schemeClr w14:val="tx1"/>
                        </w14:solidFill>
                      </w14:textFill>
                    </w:rPr>
                    <w:t>cm/s），或2mm厚高密度聚乙烯，或至少2mm厚的其它人工材料，渗透系数≤10</w:t>
                  </w:r>
                  <w:r>
                    <w:rPr>
                      <w:rFonts w:ascii="Times New Roman" w:hAnsi="Times New Roman" w:eastAsia="宋体" w:cs="Times New Roman"/>
                      <w:color w:val="000000" w:themeColor="text1"/>
                      <w:vertAlign w:val="superscript"/>
                      <w:lang w:eastAsia="zh-CN"/>
                      <w14:textFill>
                        <w14:solidFill>
                          <w14:schemeClr w14:val="tx1"/>
                        </w14:solidFill>
                      </w14:textFill>
                    </w:rPr>
                    <w:t>-10</w:t>
                  </w:r>
                  <w:r>
                    <w:rPr>
                      <w:rFonts w:ascii="Times New Roman" w:hAnsi="Times New Roman" w:eastAsia="宋体" w:cs="Times New Roman"/>
                      <w:color w:val="000000" w:themeColor="text1"/>
                      <w:lang w:eastAsia="zh-CN"/>
                      <w14:textFill>
                        <w14:solidFill>
                          <w14:schemeClr w14:val="tx1"/>
                        </w14:solidFill>
                      </w14:textFill>
                    </w:rPr>
                    <w:t>cm/s</w:t>
                  </w:r>
                </w:p>
              </w:tc>
            </w:tr>
            <w:tr w14:paraId="2983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tcBorders>
                    <w:top w:val="single" w:color="auto" w:sz="4" w:space="0"/>
                    <w:left w:val="single" w:color="auto" w:sz="4" w:space="0"/>
                    <w:bottom w:val="single" w:color="auto" w:sz="4" w:space="0"/>
                    <w:right w:val="single" w:color="auto" w:sz="4" w:space="0"/>
                  </w:tcBorders>
                  <w:vAlign w:val="center"/>
                </w:tcPr>
                <w:p w14:paraId="4EA4EBC1">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生产区</w:t>
                  </w:r>
                </w:p>
              </w:tc>
              <w:tc>
                <w:tcPr>
                  <w:tcW w:w="1121" w:type="dxa"/>
                  <w:tcBorders>
                    <w:top w:val="single" w:color="auto" w:sz="4" w:space="0"/>
                    <w:left w:val="nil"/>
                    <w:bottom w:val="single" w:color="auto" w:sz="4" w:space="0"/>
                    <w:right w:val="single" w:color="auto" w:sz="4" w:space="0"/>
                  </w:tcBorders>
                  <w:vAlign w:val="center"/>
                </w:tcPr>
                <w:p w14:paraId="27F53D02">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难</w:t>
                  </w:r>
                </w:p>
              </w:tc>
              <w:tc>
                <w:tcPr>
                  <w:tcW w:w="885" w:type="dxa"/>
                  <w:tcBorders>
                    <w:top w:val="single" w:color="auto" w:sz="4" w:space="0"/>
                    <w:left w:val="nil"/>
                    <w:bottom w:val="single" w:color="auto" w:sz="4" w:space="0"/>
                    <w:right w:val="single" w:color="auto" w:sz="4" w:space="0"/>
                  </w:tcBorders>
                  <w:vAlign w:val="center"/>
                </w:tcPr>
                <w:p w14:paraId="06322CCD">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其他类型</w:t>
                  </w:r>
                </w:p>
              </w:tc>
              <w:tc>
                <w:tcPr>
                  <w:tcW w:w="850" w:type="dxa"/>
                  <w:tcBorders>
                    <w:top w:val="single" w:color="auto" w:sz="4" w:space="0"/>
                    <w:left w:val="nil"/>
                    <w:bottom w:val="single" w:color="auto" w:sz="4" w:space="0"/>
                    <w:right w:val="single" w:color="auto" w:sz="4" w:space="0"/>
                  </w:tcBorders>
                  <w:vAlign w:val="center"/>
                </w:tcPr>
                <w:p w14:paraId="4DED7B5B">
                  <w:pPr>
                    <w:pStyle w:val="65"/>
                    <w:kinsoku/>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一般防渗区</w:t>
                  </w:r>
                </w:p>
              </w:tc>
              <w:tc>
                <w:tcPr>
                  <w:tcW w:w="4368" w:type="dxa"/>
                  <w:tcBorders>
                    <w:top w:val="nil"/>
                    <w:left w:val="nil"/>
                    <w:bottom w:val="single" w:color="auto" w:sz="4" w:space="0"/>
                    <w:right w:val="single" w:color="auto" w:sz="4" w:space="0"/>
                  </w:tcBorders>
                  <w:vAlign w:val="center"/>
                </w:tcPr>
                <w:p w14:paraId="2AA22575">
                  <w:pPr>
                    <w:pStyle w:val="65"/>
                    <w:kinsoku/>
                    <w:spacing w:line="240" w:lineRule="auto"/>
                    <w:ind w:firstLine="0" w:firstLineChars="0"/>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应采用天然或人工材料构筑防渗层，防渗层的厚度应相当于渗透系数1.0×10</w:t>
                  </w:r>
                  <w:r>
                    <w:rPr>
                      <w:rFonts w:ascii="Times New Roman" w:hAnsi="Times New Roman" w:eastAsia="宋体" w:cs="Times New Roman"/>
                      <w:color w:val="000000" w:themeColor="text1"/>
                      <w:vertAlign w:val="superscript"/>
                      <w:lang w:eastAsia="zh-CN"/>
                      <w14:textFill>
                        <w14:solidFill>
                          <w14:schemeClr w14:val="tx1"/>
                        </w14:solidFill>
                      </w14:textFill>
                    </w:rPr>
                    <w:t>-7</w:t>
                  </w:r>
                  <w:r>
                    <w:rPr>
                      <w:rFonts w:ascii="Times New Roman" w:hAnsi="Times New Roman" w:eastAsia="宋体" w:cs="Times New Roman"/>
                      <w:color w:val="000000" w:themeColor="text1"/>
                      <w:lang w:eastAsia="zh-CN"/>
                      <w14:textFill>
                        <w14:solidFill>
                          <w14:schemeClr w14:val="tx1"/>
                        </w14:solidFill>
                      </w14:textFill>
                    </w:rPr>
                    <w:t>cm/s和厚度1.5m的粘土层的防渗性能</w:t>
                  </w:r>
                </w:p>
              </w:tc>
            </w:tr>
          </w:tbl>
          <w:p w14:paraId="3C843FDD">
            <w:pPr>
              <w:pStyle w:val="61"/>
              <w:kinsoku/>
              <w:adjustRightInd/>
              <w:snapToGrid/>
              <w:spacing w:before="0" w:line="360" w:lineRule="auto"/>
              <w:ind w:firstLine="0"/>
              <w:rPr>
                <w:rFonts w:ascii="Times New Roman" w:hAnsi="Times New Roman" w:eastAsia="宋体" w:cs="Times New Roman"/>
                <w:b/>
                <w:bCs/>
                <w:color w:val="000000" w:themeColor="text1"/>
                <w:kern w:val="2"/>
                <w:sz w:val="24"/>
                <w:lang w:eastAsia="zh-CN"/>
                <w14:textFill>
                  <w14:solidFill>
                    <w14:schemeClr w14:val="tx1"/>
                  </w14:solidFill>
                </w14:textFill>
              </w:rPr>
            </w:pPr>
            <w:r>
              <w:rPr>
                <w:rFonts w:ascii="Times New Roman" w:hAnsi="Times New Roman" w:eastAsia="宋体" w:cs="Times New Roman"/>
                <w:b/>
                <w:bCs/>
                <w:color w:val="000000" w:themeColor="text1"/>
                <w:kern w:val="2"/>
                <w:sz w:val="24"/>
                <w:lang w:eastAsia="zh-CN"/>
                <w14:textFill>
                  <w14:solidFill>
                    <w14:schemeClr w14:val="tx1"/>
                  </w14:solidFill>
                </w14:textFill>
              </w:rPr>
              <w:t>6、环境风险评价</w:t>
            </w:r>
          </w:p>
          <w:p w14:paraId="3892D5A8">
            <w:p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（1）风险调查</w:t>
            </w:r>
          </w:p>
          <w:p w14:paraId="741B55BC">
            <w:p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①物质风险性调查</w:t>
            </w:r>
          </w:p>
          <w:p w14:paraId="57B506FB">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调查建设项目物质数量和分布情况、生产工艺特点等基础资料。</w:t>
            </w:r>
          </w:p>
          <w:p w14:paraId="56D9A46C">
            <w:pPr>
              <w:kinsoku/>
              <w:adjustRightInd/>
              <w:snapToGrid/>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根据《建设项目环境风险评价技术导则》（HJ169-2018），计算所涉及的项目涉及的突然环境事件风险物质的最大存在总量与其在附录B中对应临界量的比值Q。在不同厂区的同一种物质，按其在厂界内的最大存在总量计算。</w:t>
            </w:r>
          </w:p>
          <w:p w14:paraId="7685A9E2">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当只涉及一种危险物质时，计算该物质的总量与其临界量比值，即为Q；</w:t>
            </w:r>
          </w:p>
          <w:p w14:paraId="00D33D77">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当存在多种危险物质时，则按下式计算物质总量与其临界量比值（Q）：</w:t>
            </w:r>
          </w:p>
          <w:p w14:paraId="42E9A32C">
            <w:pPr>
              <w:pStyle w:val="66"/>
              <w:kinsoku/>
              <w:adjustRightInd/>
              <w:snapToGrid/>
              <w:spacing w:after="0" w:afterAutospacing="0" w:line="36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lang w:eastAsia="zh-CN"/>
                <w14:textFill>
                  <w14:solidFill>
                    <w14:schemeClr w14:val="tx1"/>
                  </w14:solidFill>
                </w14:textFill>
              </w:rPr>
              <w:drawing>
                <wp:inline distT="0" distB="0" distL="0" distR="0">
                  <wp:extent cx="1708150" cy="45720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08150" cy="457200"/>
                          </a:xfrm>
                          <a:prstGeom prst="rect">
                            <a:avLst/>
                          </a:prstGeom>
                          <a:noFill/>
                          <a:ln>
                            <a:noFill/>
                          </a:ln>
                        </pic:spPr>
                      </pic:pic>
                    </a:graphicData>
                  </a:graphic>
                </wp:inline>
              </w:drawing>
            </w:r>
          </w:p>
          <w:p w14:paraId="18259785">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式中：q</w:t>
            </w:r>
            <w:r>
              <w:rPr>
                <w:rFonts w:ascii="Times New Roman" w:hAnsi="Times New Roman" w:eastAsia="宋体" w:cs="Times New Roman"/>
                <w:color w:val="000000" w:themeColor="text1"/>
                <w:sz w:val="24"/>
                <w:szCs w:val="24"/>
                <w:vertAlign w:val="subscript"/>
                <w:lang w:eastAsia="zh-CN"/>
                <w14:textFill>
                  <w14:solidFill>
                    <w14:schemeClr w14:val="tx1"/>
                  </w14:solidFill>
                </w14:textFill>
              </w:rPr>
              <w:t>1</w:t>
            </w:r>
            <w:r>
              <w:rPr>
                <w:rFonts w:ascii="Times New Roman" w:hAnsi="Times New Roman" w:eastAsia="宋体" w:cs="Times New Roman"/>
                <w:color w:val="000000" w:themeColor="text1"/>
                <w:sz w:val="24"/>
                <w:szCs w:val="24"/>
                <w:lang w:eastAsia="zh-CN"/>
                <w14:textFill>
                  <w14:solidFill>
                    <w14:schemeClr w14:val="tx1"/>
                  </w14:solidFill>
                </w14:textFill>
              </w:rPr>
              <w:t>，q</w:t>
            </w:r>
            <w:r>
              <w:rPr>
                <w:rFonts w:ascii="Times New Roman" w:hAnsi="Times New Roman" w:eastAsia="宋体" w:cs="Times New Roman"/>
                <w:color w:val="000000" w:themeColor="text1"/>
                <w:sz w:val="24"/>
                <w:szCs w:val="24"/>
                <w:vertAlign w:val="subscript"/>
                <w:lang w:eastAsia="zh-CN"/>
                <w14:textFill>
                  <w14:solidFill>
                    <w14:schemeClr w14:val="tx1"/>
                  </w14:solidFill>
                </w14:textFill>
              </w:rPr>
              <w:t>2</w:t>
            </w:r>
            <w:r>
              <w:rPr>
                <w:rFonts w:ascii="Times New Roman" w:hAnsi="Times New Roman" w:eastAsia="宋体" w:cs="Times New Roman"/>
                <w:color w:val="000000" w:themeColor="text1"/>
                <w:sz w:val="24"/>
                <w:szCs w:val="24"/>
                <w:lang w:eastAsia="zh-CN"/>
                <w14:textFill>
                  <w14:solidFill>
                    <w14:schemeClr w14:val="tx1"/>
                  </w14:solidFill>
                </w14:textFill>
              </w:rPr>
              <w:t>，…，q</w:t>
            </w:r>
            <w:r>
              <w:rPr>
                <w:rFonts w:ascii="Times New Roman" w:hAnsi="Times New Roman" w:eastAsia="宋体" w:cs="Times New Roman"/>
                <w:color w:val="000000" w:themeColor="text1"/>
                <w:sz w:val="24"/>
                <w:szCs w:val="24"/>
                <w:vertAlign w:val="subscript"/>
                <w:lang w:eastAsia="zh-CN"/>
                <w14:textFill>
                  <w14:solidFill>
                    <w14:schemeClr w14:val="tx1"/>
                  </w14:solidFill>
                </w14:textFill>
              </w:rPr>
              <w:t>n</w:t>
            </w:r>
            <w:r>
              <w:rPr>
                <w:rFonts w:ascii="Times New Roman" w:hAnsi="Times New Roman" w:eastAsia="宋体" w:cs="Times New Roman"/>
                <w:color w:val="000000" w:themeColor="text1"/>
                <w:sz w:val="24"/>
                <w:szCs w:val="24"/>
                <w:lang w:eastAsia="zh-CN"/>
                <w14:textFill>
                  <w14:solidFill>
                    <w14:schemeClr w14:val="tx1"/>
                  </w14:solidFill>
                </w14:textFill>
              </w:rPr>
              <w:t>——每种危险物质的最大存在总量，t；</w:t>
            </w:r>
          </w:p>
          <w:p w14:paraId="753281A9">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 xml:space="preserve">      Q</w:t>
            </w:r>
            <w:r>
              <w:rPr>
                <w:rFonts w:ascii="Times New Roman" w:hAnsi="Times New Roman" w:eastAsia="宋体" w:cs="Times New Roman"/>
                <w:color w:val="000000" w:themeColor="text1"/>
                <w:sz w:val="24"/>
                <w:szCs w:val="24"/>
                <w:vertAlign w:val="subscript"/>
                <w:lang w:eastAsia="zh-CN"/>
                <w14:textFill>
                  <w14:solidFill>
                    <w14:schemeClr w14:val="tx1"/>
                  </w14:solidFill>
                </w14:textFill>
              </w:rPr>
              <w:t>1</w:t>
            </w:r>
            <w:r>
              <w:rPr>
                <w:rFonts w:ascii="Times New Roman" w:hAnsi="Times New Roman" w:eastAsia="宋体" w:cs="Times New Roman"/>
                <w:color w:val="000000" w:themeColor="text1"/>
                <w:sz w:val="24"/>
                <w:szCs w:val="24"/>
                <w:lang w:eastAsia="zh-CN"/>
                <w14:textFill>
                  <w14:solidFill>
                    <w14:schemeClr w14:val="tx1"/>
                  </w14:solidFill>
                </w14:textFill>
              </w:rPr>
              <w:t>，Q</w:t>
            </w:r>
            <w:r>
              <w:rPr>
                <w:rFonts w:ascii="Times New Roman" w:hAnsi="Times New Roman" w:eastAsia="宋体" w:cs="Times New Roman"/>
                <w:color w:val="000000" w:themeColor="text1"/>
                <w:sz w:val="24"/>
                <w:szCs w:val="24"/>
                <w:vertAlign w:val="subscript"/>
                <w:lang w:eastAsia="zh-CN"/>
                <w14:textFill>
                  <w14:solidFill>
                    <w14:schemeClr w14:val="tx1"/>
                  </w14:solidFill>
                </w14:textFill>
              </w:rPr>
              <w:t>2</w:t>
            </w:r>
            <w:r>
              <w:rPr>
                <w:rFonts w:ascii="Times New Roman" w:hAnsi="Times New Roman" w:eastAsia="宋体" w:cs="Times New Roman"/>
                <w:color w:val="000000" w:themeColor="text1"/>
                <w:sz w:val="24"/>
                <w:szCs w:val="24"/>
                <w:lang w:eastAsia="zh-CN"/>
                <w14:textFill>
                  <w14:solidFill>
                    <w14:schemeClr w14:val="tx1"/>
                  </w14:solidFill>
                </w14:textFill>
              </w:rPr>
              <w:t>，…，Q</w:t>
            </w:r>
            <w:r>
              <w:rPr>
                <w:rFonts w:ascii="Times New Roman" w:hAnsi="Times New Roman" w:eastAsia="宋体" w:cs="Times New Roman"/>
                <w:color w:val="000000" w:themeColor="text1"/>
                <w:sz w:val="24"/>
                <w:szCs w:val="24"/>
                <w:vertAlign w:val="subscript"/>
                <w:lang w:eastAsia="zh-CN"/>
                <w14:textFill>
                  <w14:solidFill>
                    <w14:schemeClr w14:val="tx1"/>
                  </w14:solidFill>
                </w14:textFill>
              </w:rPr>
              <w:t>n</w:t>
            </w:r>
            <w:r>
              <w:rPr>
                <w:rFonts w:ascii="Times New Roman" w:hAnsi="Times New Roman" w:eastAsia="宋体" w:cs="Times New Roman"/>
                <w:color w:val="000000" w:themeColor="text1"/>
                <w:sz w:val="24"/>
                <w:szCs w:val="24"/>
                <w:lang w:eastAsia="zh-CN"/>
                <w14:textFill>
                  <w14:solidFill>
                    <w14:schemeClr w14:val="tx1"/>
                  </w14:solidFill>
                </w14:textFill>
              </w:rPr>
              <w:t>——每种危险物质的临界量，t。</w:t>
            </w:r>
          </w:p>
          <w:p w14:paraId="2DA52103">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 xml:space="preserve">      当Q&lt;1时，该项目环境风险潜势为I。</w:t>
            </w:r>
          </w:p>
          <w:p w14:paraId="32F04A3B">
            <w:pPr>
              <w:pStyle w:val="66"/>
              <w:kinsoku/>
              <w:adjustRightInd/>
              <w:snapToGrid/>
              <w:spacing w:after="0" w:afterAutospacing="0" w:line="360" w:lineRule="auto"/>
              <w:ind w:firstLine="48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 xml:space="preserve">      当Q≥1时，将Q值划分为：（1）1≤Q&lt;10；（2）10≤Q&lt;100；（3）Q≥100。</w:t>
            </w:r>
          </w:p>
          <w:p w14:paraId="475C809E">
            <w:pPr>
              <w:kinsoku/>
              <w:adjustRightInd/>
              <w:snapToGrid/>
              <w:spacing w:line="360" w:lineRule="auto"/>
              <w:ind w:firstLine="480" w:firstLineChars="200"/>
              <w:rPr>
                <w:rFonts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本项目风险物质储存情况如下。</w:t>
            </w:r>
          </w:p>
          <w:p w14:paraId="42BEF64E">
            <w:pPr>
              <w:kinsoku/>
              <w:adjustRightInd/>
              <w:snapToGrid/>
              <w:jc w:val="center"/>
              <w:rPr>
                <w:rFonts w:ascii="Times New Roman" w:hAnsi="Times New Roman" w:eastAsia="宋体" w:cs="Times New Roman"/>
                <w:b/>
                <w:bCs/>
                <w:color w:val="000000" w:themeColor="text1"/>
                <w:lang w:eastAsia="zh-CN"/>
                <w14:textFill>
                  <w14:solidFill>
                    <w14:schemeClr w14:val="tx1"/>
                  </w14:solidFill>
                </w14:textFill>
              </w:rPr>
            </w:pPr>
            <w:r>
              <w:rPr>
                <w:rFonts w:ascii="Times New Roman" w:hAnsi="Times New Roman" w:eastAsia="宋体" w:cs="Times New Roman"/>
                <w:b/>
                <w:bCs/>
                <w:color w:val="000000" w:themeColor="text1"/>
                <w:sz w:val="24"/>
                <w:szCs w:val="24"/>
                <w:lang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7</w:t>
            </w:r>
            <w:r>
              <w:rPr>
                <w:rFonts w:ascii="Times New Roman" w:hAnsi="Times New Roman" w:eastAsia="宋体" w:cs="Times New Roman"/>
                <w:b/>
                <w:bCs/>
                <w:color w:val="000000" w:themeColor="text1"/>
                <w:sz w:val="24"/>
                <w:szCs w:val="24"/>
                <w:lang w:eastAsia="zh-CN"/>
                <w14:textFill>
                  <w14:solidFill>
                    <w14:schemeClr w14:val="tx1"/>
                  </w14:solidFill>
                </w14:textFill>
              </w:rPr>
              <w:t xml:space="preserve"> 本项目主要危险化学品储存和临界量</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2468"/>
              <w:gridCol w:w="2469"/>
              <w:gridCol w:w="2472"/>
            </w:tblGrid>
            <w:tr w14:paraId="6FB5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071" w:type="dxa"/>
                  <w:tcBorders>
                    <w:top w:val="single" w:color="auto" w:sz="4" w:space="0"/>
                    <w:left w:val="single" w:color="auto" w:sz="4" w:space="0"/>
                    <w:bottom w:val="single" w:color="auto" w:sz="4" w:space="0"/>
                    <w:right w:val="single" w:color="auto" w:sz="4" w:space="0"/>
                  </w:tcBorders>
                  <w:vAlign w:val="center"/>
                </w:tcPr>
                <w:p w14:paraId="32FBDE10">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危险化学品</w:t>
                  </w:r>
                </w:p>
              </w:tc>
              <w:tc>
                <w:tcPr>
                  <w:tcW w:w="2085" w:type="dxa"/>
                  <w:tcBorders>
                    <w:top w:val="single" w:color="auto" w:sz="4" w:space="0"/>
                    <w:left w:val="single" w:color="auto" w:sz="4" w:space="0"/>
                    <w:bottom w:val="single" w:color="auto" w:sz="4" w:space="0"/>
                    <w:right w:val="single" w:color="auto" w:sz="4" w:space="0"/>
                  </w:tcBorders>
                  <w:vAlign w:val="center"/>
                </w:tcPr>
                <w:p w14:paraId="0382C97C">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最大存在量，t</w:t>
                  </w:r>
                </w:p>
              </w:tc>
              <w:tc>
                <w:tcPr>
                  <w:tcW w:w="2086" w:type="dxa"/>
                  <w:tcBorders>
                    <w:top w:val="single" w:color="auto" w:sz="4" w:space="0"/>
                    <w:left w:val="single" w:color="auto" w:sz="4" w:space="0"/>
                    <w:bottom w:val="single" w:color="auto" w:sz="4" w:space="0"/>
                    <w:right w:val="single" w:color="auto" w:sz="4" w:space="0"/>
                  </w:tcBorders>
                  <w:vAlign w:val="center"/>
                </w:tcPr>
                <w:p w14:paraId="4B7839F7">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临界量，t</w:t>
                  </w:r>
                </w:p>
              </w:tc>
              <w:tc>
                <w:tcPr>
                  <w:tcW w:w="2088" w:type="dxa"/>
                  <w:tcBorders>
                    <w:top w:val="single" w:color="auto" w:sz="4" w:space="0"/>
                    <w:left w:val="single" w:color="auto" w:sz="4" w:space="0"/>
                    <w:bottom w:val="single" w:color="auto" w:sz="4" w:space="0"/>
                    <w:right w:val="single" w:color="auto" w:sz="4" w:space="0"/>
                  </w:tcBorders>
                  <w:vAlign w:val="center"/>
                </w:tcPr>
                <w:p w14:paraId="5E54A11B">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q/Q</w:t>
                  </w:r>
                </w:p>
              </w:tc>
            </w:tr>
            <w:tr w14:paraId="600B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071" w:type="dxa"/>
                  <w:tcBorders>
                    <w:top w:val="single" w:color="auto" w:sz="4" w:space="0"/>
                    <w:left w:val="single" w:color="auto" w:sz="4" w:space="0"/>
                    <w:bottom w:val="single" w:color="auto" w:sz="4" w:space="0"/>
                    <w:right w:val="single" w:color="auto" w:sz="4" w:space="0"/>
                  </w:tcBorders>
                  <w:vAlign w:val="center"/>
                </w:tcPr>
                <w:p w14:paraId="1CBBAA4C">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硫酸</w:t>
                  </w:r>
                </w:p>
              </w:tc>
              <w:tc>
                <w:tcPr>
                  <w:tcW w:w="2085" w:type="dxa"/>
                  <w:tcBorders>
                    <w:top w:val="single" w:color="auto" w:sz="4" w:space="0"/>
                    <w:left w:val="single" w:color="auto" w:sz="4" w:space="0"/>
                    <w:bottom w:val="single" w:color="auto" w:sz="4" w:space="0"/>
                    <w:right w:val="single" w:color="auto" w:sz="4" w:space="0"/>
                  </w:tcBorders>
                  <w:vAlign w:val="center"/>
                </w:tcPr>
                <w:p w14:paraId="6680EFDC">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3.67</w:t>
                  </w:r>
                </w:p>
              </w:tc>
              <w:tc>
                <w:tcPr>
                  <w:tcW w:w="2086" w:type="dxa"/>
                  <w:tcBorders>
                    <w:top w:val="single" w:color="auto" w:sz="4" w:space="0"/>
                    <w:left w:val="single" w:color="auto" w:sz="4" w:space="0"/>
                    <w:bottom w:val="single" w:color="auto" w:sz="4" w:space="0"/>
                    <w:right w:val="single" w:color="auto" w:sz="4" w:space="0"/>
                  </w:tcBorders>
                  <w:vAlign w:val="center"/>
                </w:tcPr>
                <w:p w14:paraId="7B7ECB58">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088" w:type="dxa"/>
                  <w:tcBorders>
                    <w:top w:val="single" w:color="auto" w:sz="4" w:space="0"/>
                    <w:left w:val="single" w:color="auto" w:sz="4" w:space="0"/>
                    <w:bottom w:val="single" w:color="auto" w:sz="4" w:space="0"/>
                    <w:right w:val="single" w:color="auto" w:sz="4" w:space="0"/>
                  </w:tcBorders>
                  <w:vAlign w:val="center"/>
                </w:tcPr>
                <w:p w14:paraId="4A4BFBE9">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0.367</w:t>
                  </w:r>
                </w:p>
              </w:tc>
            </w:tr>
            <w:tr w14:paraId="240F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071" w:type="dxa"/>
                  <w:tcBorders>
                    <w:top w:val="single" w:color="auto" w:sz="4" w:space="0"/>
                    <w:left w:val="single" w:color="auto" w:sz="4" w:space="0"/>
                    <w:bottom w:val="single" w:color="auto" w:sz="4" w:space="0"/>
                    <w:right w:val="single" w:color="auto" w:sz="4" w:space="0"/>
                  </w:tcBorders>
                  <w:vAlign w:val="center"/>
                </w:tcPr>
                <w:p w14:paraId="532F1299">
                  <w:pPr>
                    <w:pStyle w:val="8"/>
                    <w:kinsoku/>
                    <w:adjustRightInd/>
                    <w:snapToGrid/>
                    <w:spacing w:before="0" w:after="0" w:line="240" w:lineRule="auto"/>
                    <w:ind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液化石油气</w:t>
                  </w:r>
                </w:p>
              </w:tc>
              <w:tc>
                <w:tcPr>
                  <w:tcW w:w="2085" w:type="dxa"/>
                  <w:tcBorders>
                    <w:top w:val="single" w:color="auto" w:sz="4" w:space="0"/>
                    <w:left w:val="single" w:color="auto" w:sz="4" w:space="0"/>
                    <w:bottom w:val="single" w:color="auto" w:sz="4" w:space="0"/>
                    <w:right w:val="single" w:color="auto" w:sz="4" w:space="0"/>
                  </w:tcBorders>
                  <w:vAlign w:val="center"/>
                </w:tcPr>
                <w:p w14:paraId="483FB754">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2086" w:type="dxa"/>
                  <w:tcBorders>
                    <w:top w:val="single" w:color="auto" w:sz="4" w:space="0"/>
                    <w:left w:val="single" w:color="auto" w:sz="4" w:space="0"/>
                    <w:bottom w:val="single" w:color="auto" w:sz="4" w:space="0"/>
                    <w:right w:val="single" w:color="auto" w:sz="4" w:space="0"/>
                  </w:tcBorders>
                  <w:vAlign w:val="center"/>
                </w:tcPr>
                <w:p w14:paraId="57D89AFB">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088" w:type="dxa"/>
                  <w:tcBorders>
                    <w:top w:val="single" w:color="auto" w:sz="4" w:space="0"/>
                    <w:left w:val="single" w:color="auto" w:sz="4" w:space="0"/>
                    <w:bottom w:val="single" w:color="auto" w:sz="4" w:space="0"/>
                    <w:right w:val="single" w:color="auto" w:sz="4" w:space="0"/>
                  </w:tcBorders>
                  <w:vAlign w:val="center"/>
                </w:tcPr>
                <w:p w14:paraId="5BA90B1F">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r>
            <w:tr w14:paraId="4AB5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071" w:type="dxa"/>
                  <w:tcBorders>
                    <w:top w:val="single" w:color="auto" w:sz="4" w:space="0"/>
                    <w:left w:val="single" w:color="auto" w:sz="4" w:space="0"/>
                    <w:bottom w:val="single" w:color="auto" w:sz="4" w:space="0"/>
                    <w:right w:val="single" w:color="auto" w:sz="4" w:space="0"/>
                  </w:tcBorders>
                  <w:vAlign w:val="center"/>
                </w:tcPr>
                <w:p w14:paraId="05C2EFD0">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磷酸</w:t>
                  </w:r>
                </w:p>
              </w:tc>
              <w:tc>
                <w:tcPr>
                  <w:tcW w:w="2085" w:type="dxa"/>
                  <w:tcBorders>
                    <w:top w:val="single" w:color="auto" w:sz="4" w:space="0"/>
                    <w:left w:val="single" w:color="auto" w:sz="4" w:space="0"/>
                    <w:bottom w:val="single" w:color="auto" w:sz="4" w:space="0"/>
                    <w:right w:val="single" w:color="auto" w:sz="4" w:space="0"/>
                  </w:tcBorders>
                  <w:vAlign w:val="center"/>
                </w:tcPr>
                <w:p w14:paraId="6B12A90E">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1.68</w:t>
                  </w:r>
                </w:p>
              </w:tc>
              <w:tc>
                <w:tcPr>
                  <w:tcW w:w="2086" w:type="dxa"/>
                  <w:tcBorders>
                    <w:top w:val="single" w:color="auto" w:sz="4" w:space="0"/>
                    <w:left w:val="single" w:color="auto" w:sz="4" w:space="0"/>
                    <w:bottom w:val="single" w:color="auto" w:sz="4" w:space="0"/>
                    <w:right w:val="single" w:color="auto" w:sz="4" w:space="0"/>
                  </w:tcBorders>
                  <w:vAlign w:val="center"/>
                </w:tcPr>
                <w:p w14:paraId="7A17D507">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088" w:type="dxa"/>
                  <w:tcBorders>
                    <w:top w:val="single" w:color="auto" w:sz="4" w:space="0"/>
                    <w:left w:val="single" w:color="auto" w:sz="4" w:space="0"/>
                    <w:bottom w:val="single" w:color="auto" w:sz="4" w:space="0"/>
                    <w:right w:val="single" w:color="auto" w:sz="4" w:space="0"/>
                  </w:tcBorders>
                  <w:vAlign w:val="center"/>
                </w:tcPr>
                <w:p w14:paraId="300E4FF4">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0.168</w:t>
                  </w:r>
                </w:p>
              </w:tc>
            </w:tr>
            <w:tr w14:paraId="6F56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071" w:type="dxa"/>
                  <w:tcBorders>
                    <w:top w:val="single" w:color="auto" w:sz="4" w:space="0"/>
                    <w:left w:val="single" w:color="auto" w:sz="4" w:space="0"/>
                    <w:bottom w:val="single" w:color="auto" w:sz="4" w:space="0"/>
                    <w:right w:val="single" w:color="auto" w:sz="4" w:space="0"/>
                  </w:tcBorders>
                  <w:vAlign w:val="center"/>
                </w:tcPr>
                <w:p w14:paraId="6CD331A6">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切削液</w:t>
                  </w:r>
                </w:p>
              </w:tc>
              <w:tc>
                <w:tcPr>
                  <w:tcW w:w="2085" w:type="dxa"/>
                  <w:tcBorders>
                    <w:top w:val="single" w:color="auto" w:sz="4" w:space="0"/>
                    <w:left w:val="single" w:color="auto" w:sz="4" w:space="0"/>
                    <w:bottom w:val="single" w:color="auto" w:sz="4" w:space="0"/>
                    <w:right w:val="single" w:color="auto" w:sz="4" w:space="0"/>
                  </w:tcBorders>
                  <w:vAlign w:val="center"/>
                </w:tcPr>
                <w:p w14:paraId="6CAD0217">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86" w:type="dxa"/>
                  <w:tcBorders>
                    <w:top w:val="single" w:color="auto" w:sz="4" w:space="0"/>
                    <w:left w:val="single" w:color="auto" w:sz="4" w:space="0"/>
                    <w:bottom w:val="single" w:color="auto" w:sz="4" w:space="0"/>
                    <w:right w:val="single" w:color="auto" w:sz="4" w:space="0"/>
                  </w:tcBorders>
                  <w:vAlign w:val="center"/>
                </w:tcPr>
                <w:p w14:paraId="21CC0800">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2500</w:t>
                  </w:r>
                </w:p>
              </w:tc>
              <w:tc>
                <w:tcPr>
                  <w:tcW w:w="2088" w:type="dxa"/>
                  <w:tcBorders>
                    <w:top w:val="single" w:color="auto" w:sz="4" w:space="0"/>
                    <w:left w:val="single" w:color="auto" w:sz="4" w:space="0"/>
                    <w:bottom w:val="single" w:color="auto" w:sz="4" w:space="0"/>
                    <w:right w:val="single" w:color="auto" w:sz="4" w:space="0"/>
                  </w:tcBorders>
                  <w:vAlign w:val="center"/>
                </w:tcPr>
                <w:p w14:paraId="3FB6C412">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0.0004</w:t>
                  </w:r>
                </w:p>
              </w:tc>
            </w:tr>
            <w:tr w14:paraId="7D82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071" w:type="dxa"/>
                  <w:tcBorders>
                    <w:top w:val="single" w:color="auto" w:sz="4" w:space="0"/>
                    <w:left w:val="single" w:color="auto" w:sz="4" w:space="0"/>
                    <w:bottom w:val="single" w:color="auto" w:sz="4" w:space="0"/>
                    <w:right w:val="single" w:color="auto" w:sz="4" w:space="0"/>
                  </w:tcBorders>
                  <w:vAlign w:val="center"/>
                </w:tcPr>
                <w:p w14:paraId="30A8DC99">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废切削液</w:t>
                  </w:r>
                </w:p>
              </w:tc>
              <w:tc>
                <w:tcPr>
                  <w:tcW w:w="2085" w:type="dxa"/>
                  <w:tcBorders>
                    <w:top w:val="single" w:color="auto" w:sz="4" w:space="0"/>
                    <w:left w:val="single" w:color="auto" w:sz="4" w:space="0"/>
                    <w:bottom w:val="single" w:color="auto" w:sz="4" w:space="0"/>
                    <w:right w:val="single" w:color="auto" w:sz="4" w:space="0"/>
                  </w:tcBorders>
                  <w:vAlign w:val="center"/>
                </w:tcPr>
                <w:p w14:paraId="153FFADC">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1</w:t>
                  </w:r>
                </w:p>
              </w:tc>
              <w:tc>
                <w:tcPr>
                  <w:tcW w:w="2086" w:type="dxa"/>
                  <w:tcBorders>
                    <w:top w:val="single" w:color="auto" w:sz="4" w:space="0"/>
                    <w:left w:val="single" w:color="auto" w:sz="4" w:space="0"/>
                    <w:bottom w:val="single" w:color="auto" w:sz="4" w:space="0"/>
                    <w:right w:val="single" w:color="auto" w:sz="4" w:space="0"/>
                  </w:tcBorders>
                  <w:vAlign w:val="center"/>
                </w:tcPr>
                <w:p w14:paraId="050F725F">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2500</w:t>
                  </w:r>
                </w:p>
              </w:tc>
              <w:tc>
                <w:tcPr>
                  <w:tcW w:w="2088" w:type="dxa"/>
                  <w:tcBorders>
                    <w:top w:val="single" w:color="auto" w:sz="4" w:space="0"/>
                    <w:left w:val="single" w:color="auto" w:sz="4" w:space="0"/>
                    <w:bottom w:val="single" w:color="auto" w:sz="4" w:space="0"/>
                    <w:right w:val="single" w:color="auto" w:sz="4" w:space="0"/>
                  </w:tcBorders>
                  <w:vAlign w:val="center"/>
                </w:tcPr>
                <w:p w14:paraId="47FD9ED7">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0.0004</w:t>
                  </w:r>
                </w:p>
              </w:tc>
            </w:tr>
            <w:tr w14:paraId="74AF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242" w:type="dxa"/>
                  <w:gridSpan w:val="3"/>
                  <w:tcBorders>
                    <w:top w:val="single" w:color="auto" w:sz="4" w:space="0"/>
                    <w:left w:val="single" w:color="auto" w:sz="4" w:space="0"/>
                    <w:bottom w:val="single" w:color="auto" w:sz="4" w:space="0"/>
                    <w:right w:val="single" w:color="auto" w:sz="4" w:space="0"/>
                  </w:tcBorders>
                  <w:vAlign w:val="center"/>
                </w:tcPr>
                <w:p w14:paraId="3303C8E1">
                  <w:pPr>
                    <w:pStyle w:val="8"/>
                    <w:kinsoku/>
                    <w:adjustRightInd/>
                    <w:snapToGrid/>
                    <w:spacing w:before="0" w:after="0" w:line="240" w:lineRule="auto"/>
                    <w:ind w:right="0"/>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合计</w:t>
                  </w:r>
                </w:p>
              </w:tc>
              <w:tc>
                <w:tcPr>
                  <w:tcW w:w="2088" w:type="dxa"/>
                  <w:tcBorders>
                    <w:top w:val="single" w:color="auto" w:sz="4" w:space="0"/>
                    <w:left w:val="single" w:color="auto" w:sz="4" w:space="0"/>
                    <w:bottom w:val="single" w:color="auto" w:sz="4" w:space="0"/>
                    <w:right w:val="single" w:color="auto" w:sz="4" w:space="0"/>
                  </w:tcBorders>
                  <w:vAlign w:val="center"/>
                </w:tcPr>
                <w:p w14:paraId="333E3622">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0.5858</w:t>
                  </w:r>
                </w:p>
              </w:tc>
            </w:tr>
            <w:tr w14:paraId="7892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330" w:type="dxa"/>
                  <w:gridSpan w:val="4"/>
                  <w:tcBorders>
                    <w:top w:val="single" w:color="auto" w:sz="4" w:space="0"/>
                    <w:left w:val="single" w:color="auto" w:sz="4" w:space="0"/>
                    <w:bottom w:val="single" w:color="auto" w:sz="4" w:space="0"/>
                    <w:right w:val="single" w:color="auto" w:sz="4" w:space="0"/>
                  </w:tcBorders>
                  <w:vAlign w:val="center"/>
                </w:tcPr>
                <w:p w14:paraId="6E01BB87">
                  <w:pPr>
                    <w:pStyle w:val="8"/>
                    <w:kinsoku/>
                    <w:adjustRightInd/>
                    <w:snapToGrid/>
                    <w:spacing w:before="0" w:after="0" w:line="240" w:lineRule="auto"/>
                    <w:ind w:right="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注：根据酸洗液msds可知，项目所用酸洗液中硫酸含量为30-60%，本次取60%计，根据前文水平衡核算，项目首次配比所用酸洗液为5.82m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，酸洗液密度取1.4g/cm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，则厂区酸洗池内硫酸量为2.67t，厂区日常储存1t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酸洗液则全厂硫酸最大在存量为3.67t；根据磷化液msds可知，项目所用磷化液中磷酸含量为5-30%，本次取30%计，根据前文水平衡核算，项目首次配比所用酸洗液为5.82m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，酸洗液密度取1.4g/cm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，则厂区磷化池内磷酸量为1.25t，厂区日常储存2t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酸洗液则全厂硫酸最大在存量为1.68t。</w:t>
                  </w:r>
                </w:p>
              </w:tc>
            </w:tr>
          </w:tbl>
          <w:p w14:paraId="0AF6FF1C">
            <w:pPr>
              <w:kinsoku/>
              <w:adjustRightInd/>
              <w:snapToGrid/>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由上可见，经计算Q值＜1。</w:t>
            </w:r>
          </w:p>
          <w:p w14:paraId="40A5923D">
            <w:p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②生产工艺危险性调查</w:t>
            </w:r>
          </w:p>
          <w:p w14:paraId="2AE8096D">
            <w:pPr>
              <w:kinsoku/>
              <w:adjustRightInd/>
              <w:snapToGrid/>
              <w:spacing w:line="360" w:lineRule="auto"/>
              <w:ind w:firstLine="480" w:firstLineChars="200"/>
              <w:rPr>
                <w:rFonts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lang w:eastAsia="zh-CN"/>
                <w14:textFill>
                  <w14:solidFill>
                    <w14:schemeClr w14:val="tx1"/>
                  </w14:solidFill>
                </w14:textFill>
              </w:rPr>
              <w:t>本项目生产过程不涉及高温工艺过程，不涉及危险物质的使用及贮存，无《建设项目环境风险评价技术导则》（HJ169-2018）附录C，表C.1中列明的工艺过程。</w:t>
            </w:r>
          </w:p>
          <w:p w14:paraId="22BE5737">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color w:val="000000" w:themeColor="text1"/>
                <w:sz w:val="24"/>
                <w:lang w:eastAsia="zh-CN"/>
                <w14:textFill>
                  <w14:solidFill>
                    <w14:schemeClr w14:val="tx1"/>
                  </w14:solidFill>
                </w14:textFill>
              </w:rPr>
              <w:t>故本项目生产工艺不存在重大危险性</w:t>
            </w:r>
            <w:r>
              <w:rPr>
                <w:rFonts w:ascii="Times New Roman" w:hAnsi="Times New Roman" w:eastAsia="宋体" w:cs="Times New Roman"/>
                <w:sz w:val="24"/>
                <w:lang w:eastAsia="zh-CN"/>
              </w:rPr>
              <w:t>。</w:t>
            </w:r>
          </w:p>
          <w:p w14:paraId="7B24B0CB">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（2）风险识别</w:t>
            </w:r>
          </w:p>
          <w:p w14:paraId="499F5774">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根据《建设项目环境风险评价技术导则》（HJ169-2018）和项目的实际情况，本次评价对全厂在实际生产运行过程中，可能产生的环境风险进行分析。</w:t>
            </w:r>
          </w:p>
          <w:p w14:paraId="00EAD2CA">
            <w:pPr>
              <w:pStyle w:val="67"/>
              <w:kinsoku/>
              <w:adjustRightInd/>
              <w:snapToGrid/>
              <w:spacing w:before="0" w:beforeAutospacing="0" w:after="0" w:afterAutospacing="0"/>
              <w:ind w:right="0" w:rightChars="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风险识别内容如下：</w:t>
            </w:r>
          </w:p>
          <w:p w14:paraId="4BA53419">
            <w:pPr>
              <w:pStyle w:val="67"/>
              <w:kinsoku/>
              <w:adjustRightInd/>
              <w:snapToGrid/>
              <w:spacing w:before="0" w:beforeAutospacing="0" w:after="0" w:afterAutospacing="0"/>
              <w:ind w:right="0" w:rightChars="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w:t>
            </w:r>
            <w:r>
              <w:rPr>
                <w:rFonts w:ascii="Times New Roman" w:hAnsi="Times New Roman" w:eastAsia="宋体" w:cs="Times New Roman"/>
                <w:color w:val="auto"/>
                <w:sz w:val="24"/>
                <w:szCs w:val="24"/>
                <w:lang w:eastAsia="zh-CN"/>
              </w:rPr>
              <w:t>物质风险识别</w:t>
            </w:r>
          </w:p>
          <w:p w14:paraId="1BCC7D13">
            <w:pPr>
              <w:pStyle w:val="67"/>
              <w:kinsoku/>
              <w:adjustRightInd/>
              <w:snapToGrid/>
              <w:spacing w:before="0" w:beforeAutospacing="0" w:after="0" w:afterAutospacing="0"/>
              <w:ind w:right="0" w:rightChars="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物质风险识别范围包括：主要原材料及辅助材料、燃料、中间产品、最终产品以及生产过程排放的“三废”污染物等。</w:t>
            </w:r>
          </w:p>
          <w:p w14:paraId="0EE7069D">
            <w:pPr>
              <w:pStyle w:val="67"/>
              <w:kinsoku/>
              <w:adjustRightInd/>
              <w:snapToGrid/>
              <w:spacing w:before="0" w:beforeAutospacing="0" w:after="0" w:afterAutospacing="0"/>
              <w:ind w:right="0" w:rightChars="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w:t>
            </w:r>
            <w:r>
              <w:rPr>
                <w:rFonts w:ascii="Times New Roman" w:hAnsi="Times New Roman" w:eastAsia="宋体" w:cs="Times New Roman"/>
                <w:color w:val="auto"/>
                <w:sz w:val="24"/>
                <w:szCs w:val="24"/>
                <w:lang w:eastAsia="zh-CN"/>
              </w:rPr>
              <w:t>生产设施风险识别</w:t>
            </w:r>
          </w:p>
          <w:p w14:paraId="4FF57E2A">
            <w:pPr>
              <w:pStyle w:val="67"/>
              <w:kinsoku/>
              <w:adjustRightInd/>
              <w:snapToGrid/>
              <w:spacing w:before="0" w:beforeAutospacing="0" w:after="0" w:afterAutospacing="0"/>
              <w:ind w:right="0" w:rightChars="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a.</w:t>
            </w:r>
            <w:r>
              <w:rPr>
                <w:rFonts w:ascii="Times New Roman" w:hAnsi="Times New Roman" w:eastAsia="宋体" w:cs="Times New Roman"/>
                <w:color w:val="auto"/>
                <w:sz w:val="24"/>
                <w:szCs w:val="24"/>
                <w:lang w:eastAsia="zh-CN"/>
              </w:rPr>
              <w:t>电器设备，原辅材料等维护管理和使用不当引起的火灾、爆炸。</w:t>
            </w:r>
          </w:p>
          <w:p w14:paraId="17F5F5E4">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b.</w:t>
            </w:r>
            <w:r>
              <w:rPr>
                <w:rFonts w:ascii="Times New Roman" w:hAnsi="Times New Roman" w:eastAsia="宋体" w:cs="Times New Roman"/>
                <w:color w:val="auto"/>
                <w:sz w:val="24"/>
                <w:szCs w:val="24"/>
                <w:lang w:eastAsia="zh-CN"/>
              </w:rPr>
              <w:t>项目危险废物等</w:t>
            </w:r>
            <w:r>
              <w:rPr>
                <w:rFonts w:hint="eastAsia" w:ascii="Times New Roman" w:hAnsi="Times New Roman" w:eastAsia="宋体" w:cs="Times New Roman"/>
                <w:color w:val="auto"/>
                <w:sz w:val="24"/>
                <w:szCs w:val="24"/>
                <w:lang w:eastAsia="zh-CN"/>
              </w:rPr>
              <w:t>泄漏</w:t>
            </w:r>
            <w:r>
              <w:rPr>
                <w:rFonts w:ascii="Times New Roman" w:hAnsi="Times New Roman" w:eastAsia="宋体" w:cs="Times New Roman"/>
                <w:color w:val="auto"/>
                <w:sz w:val="24"/>
                <w:szCs w:val="24"/>
                <w:lang w:eastAsia="zh-CN"/>
              </w:rPr>
              <w:t>导致地下水受到污染。</w:t>
            </w:r>
          </w:p>
          <w:p w14:paraId="51E6DD21">
            <w:pPr>
              <w:kinsoku/>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3</w:t>
            </w:r>
            <w:r>
              <w:rPr>
                <w:rFonts w:ascii="Times New Roman" w:hAnsi="Times New Roman" w:eastAsia="宋体" w:cs="Times New Roman"/>
                <w:sz w:val="24"/>
                <w:lang w:eastAsia="zh-CN"/>
              </w:rPr>
              <w:t>）</w:t>
            </w:r>
            <w:r>
              <w:rPr>
                <w:rFonts w:hint="eastAsia" w:ascii="Times New Roman" w:hAnsi="Times New Roman" w:eastAsia="宋体" w:cs="Times New Roman"/>
                <w:sz w:val="24"/>
                <w:lang w:eastAsia="zh-CN"/>
              </w:rPr>
              <w:t>事故源项分析</w:t>
            </w:r>
          </w:p>
          <w:p w14:paraId="20BE28C3">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w:t>
            </w:r>
            <w:r>
              <w:rPr>
                <w:rFonts w:ascii="Times New Roman" w:hAnsi="Times New Roman" w:eastAsia="宋体" w:cs="Times New Roman"/>
                <w:color w:val="auto"/>
                <w:sz w:val="24"/>
                <w:szCs w:val="24"/>
                <w:lang w:eastAsia="zh-CN"/>
              </w:rPr>
              <w:t>火灾/爆炸产生的伴生/次生危害</w:t>
            </w:r>
          </w:p>
          <w:p w14:paraId="3A2E784A">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车间原料泄漏发生火灾或爆炸，其可能产生的次生污染为火灾消防废水及燃烧废气。</w:t>
            </w:r>
          </w:p>
          <w:p w14:paraId="23C9723F">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②泄漏事故</w:t>
            </w:r>
          </w:p>
          <w:p w14:paraId="023099AE">
            <w:pPr>
              <w:pStyle w:val="21"/>
              <w:kinsoku/>
              <w:adjustRightInd/>
              <w:snapToGrid/>
              <w:spacing w:after="0" w:line="360" w:lineRule="auto"/>
              <w:ind w:left="0" w:leftChars="0" w:firstLine="480"/>
              <w:rPr>
                <w:rFonts w:ascii="Times New Roman" w:hAnsi="Times New Roman" w:eastAsia="宋体" w:cs="Times New Roman"/>
                <w:color w:val="auto"/>
                <w:lang w:eastAsia="zh-CN"/>
              </w:rPr>
            </w:pPr>
            <w:r>
              <w:rPr>
                <w:rFonts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酸洗池、磷化池等</w:t>
            </w:r>
            <w:r>
              <w:rPr>
                <w:rFonts w:ascii="Times New Roman" w:hAnsi="Times New Roman" w:eastAsia="宋体" w:cs="Times New Roman"/>
                <w:color w:val="auto"/>
                <w:kern w:val="2"/>
                <w:sz w:val="24"/>
                <w:szCs w:val="24"/>
                <w:lang w:val="en-US" w:eastAsia="zh-CN" w:bidi="ar-SA"/>
              </w:rPr>
              <w:t>发生泄漏，并流入厂区地面，造成地下水和土壤污染。</w:t>
            </w:r>
          </w:p>
          <w:p w14:paraId="1D8463EE">
            <w:pPr>
              <w:kinsoku/>
              <w:adjustRightInd/>
              <w:snapToGrid/>
              <w:spacing w:line="360" w:lineRule="auto"/>
              <w:ind w:firstLine="480" w:firstLineChars="200"/>
              <w:rPr>
                <w:rFonts w:ascii="Times New Roman" w:hAnsi="Times New Roman" w:eastAsia="宋体" w:cs="Times New Roman"/>
                <w:sz w:val="24"/>
                <w:lang w:eastAsia="zh-CN"/>
              </w:rPr>
            </w:pPr>
            <w:r>
              <w:rPr>
                <w:rFonts w:hint="eastAsia" w:ascii="Times New Roman" w:hAnsi="Times New Roman" w:eastAsia="宋体" w:cs="Times New Roman"/>
                <w:sz w:val="24"/>
                <w:lang w:eastAsia="zh-CN"/>
              </w:rPr>
              <w:t>（4）风险防范应急措施</w:t>
            </w:r>
          </w:p>
          <w:p w14:paraId="7AFA7262">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①</w:t>
            </w:r>
            <w:r>
              <w:rPr>
                <w:rFonts w:ascii="Times New Roman" w:hAnsi="Times New Roman" w:cs="Times New Roman"/>
                <w:color w:val="auto"/>
                <w:sz w:val="24"/>
                <w:szCs w:val="20"/>
                <w:lang w:eastAsia="zh-CN"/>
              </w:rPr>
              <w:t>工艺技术设计风险防范措施</w:t>
            </w:r>
          </w:p>
          <w:p w14:paraId="75031109">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a.</w:t>
            </w:r>
            <w:r>
              <w:rPr>
                <w:rFonts w:ascii="Times New Roman" w:hAnsi="Times New Roman" w:cs="Times New Roman"/>
                <w:color w:val="auto"/>
                <w:sz w:val="24"/>
                <w:szCs w:val="20"/>
                <w:lang w:eastAsia="zh-CN"/>
              </w:rPr>
              <w:t>生产装置的供电、供水等公用设施必须加强日常管理，确保满足正常生产和事故状态下的要求。</w:t>
            </w:r>
          </w:p>
          <w:p w14:paraId="11B174CB">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b.</w:t>
            </w:r>
            <w:r>
              <w:rPr>
                <w:rFonts w:ascii="Times New Roman" w:hAnsi="Times New Roman" w:cs="Times New Roman"/>
                <w:color w:val="auto"/>
                <w:sz w:val="24"/>
                <w:szCs w:val="20"/>
                <w:lang w:eastAsia="zh-CN"/>
              </w:rPr>
              <w:t>所有管道系统均必须按有关标准进行良好设计、制作及安装，必须由当地有关质检部门进行验收并通过后方能投入使用。物料输送管线要定期试压检漏。易燃气体可能泄漏的场所，主要采用防爆电机及器材。</w:t>
            </w:r>
          </w:p>
          <w:p w14:paraId="5FDA4039">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c.</w:t>
            </w:r>
            <w:r>
              <w:rPr>
                <w:rFonts w:ascii="Times New Roman" w:hAnsi="Times New Roman" w:cs="Times New Roman"/>
                <w:color w:val="auto"/>
                <w:sz w:val="24"/>
                <w:szCs w:val="20"/>
                <w:lang w:eastAsia="zh-CN"/>
              </w:rPr>
              <w:t>高温和低温设备及管道外部均需包绝缘材料；输送设备和管道应设计用非燃材料保温；高温设备和管道应设立隔离栏，并有警示标志。</w:t>
            </w:r>
          </w:p>
          <w:p w14:paraId="52DEB88D">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②</w:t>
            </w:r>
            <w:r>
              <w:rPr>
                <w:rFonts w:ascii="Times New Roman" w:hAnsi="Times New Roman" w:cs="Times New Roman"/>
                <w:color w:val="auto"/>
                <w:sz w:val="24"/>
                <w:szCs w:val="20"/>
                <w:lang w:eastAsia="zh-CN"/>
              </w:rPr>
              <w:t>贮存过程防范措施</w:t>
            </w:r>
          </w:p>
          <w:p w14:paraId="455ADE00">
            <w:pPr>
              <w:kinsoku/>
              <w:adjustRightInd/>
              <w:snapToGrid/>
              <w:spacing w:line="360" w:lineRule="auto"/>
              <w:ind w:firstLine="480" w:firstLineChars="200"/>
              <w:rPr>
                <w:rFonts w:ascii="Times New Roman" w:hAnsi="Times New Roman" w:cs="Times New Roman"/>
                <w:color w:val="auto"/>
                <w:sz w:val="24"/>
                <w:szCs w:val="20"/>
                <w:lang w:eastAsia="zh-CN"/>
              </w:rPr>
            </w:pPr>
            <w:r>
              <w:rPr>
                <w:rFonts w:ascii="Times New Roman" w:hAnsi="Times New Roman" w:cs="Times New Roman"/>
                <w:color w:val="auto"/>
                <w:sz w:val="24"/>
                <w:szCs w:val="20"/>
                <w:lang w:eastAsia="zh-CN"/>
              </w:rPr>
              <w:t>消防灭火设施委托有资质的单位进行设计。在储存各类化学品时应严格遵守《常用化学危险品贮存通则》中的相关规定设计各仓库及建筑物，各建筑物应同时满足《建筑设计防火规范》中的各项规定，以达到安全生产、消防的安全距离和安全措施的要求。</w:t>
            </w:r>
          </w:p>
          <w:p w14:paraId="4A038B9A">
            <w:pPr>
              <w:kinsoku/>
              <w:adjustRightInd/>
              <w:snapToGrid/>
              <w:spacing w:line="360" w:lineRule="auto"/>
              <w:ind w:firstLine="480" w:firstLineChars="200"/>
              <w:rPr>
                <w:rFonts w:ascii="Times New Roman" w:hAnsi="Times New Roman" w:cs="Times New Roman"/>
                <w:color w:val="auto"/>
                <w:sz w:val="24"/>
                <w:szCs w:val="20"/>
                <w:lang w:eastAsia="zh-CN"/>
              </w:rPr>
            </w:pPr>
            <w:r>
              <w:rPr>
                <w:rFonts w:ascii="Times New Roman" w:hAnsi="Times New Roman" w:cs="Times New Roman"/>
                <w:color w:val="auto"/>
                <w:sz w:val="24"/>
                <w:szCs w:val="20"/>
                <w:lang w:eastAsia="zh-CN"/>
              </w:rPr>
              <w:t>a.</w:t>
            </w:r>
            <w:r>
              <w:rPr>
                <w:rFonts w:hint="eastAsia" w:cs="Times New Roman"/>
                <w:color w:val="auto"/>
                <w:sz w:val="24"/>
                <w:szCs w:val="20"/>
                <w:lang w:eastAsia="zh-CN"/>
              </w:rPr>
              <w:t>危化品库</w:t>
            </w:r>
            <w:r>
              <w:rPr>
                <w:rFonts w:ascii="Times New Roman" w:hAnsi="Times New Roman" w:cs="Times New Roman"/>
                <w:color w:val="auto"/>
                <w:sz w:val="24"/>
                <w:szCs w:val="20"/>
                <w:lang w:eastAsia="zh-CN"/>
              </w:rPr>
              <w:t>符合储存的相关条件，实施危险化学品的储存和使用，设置事故截留和收集措施；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14:paraId="050F787A">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b.</w:t>
            </w:r>
            <w:r>
              <w:rPr>
                <w:rFonts w:ascii="Times New Roman" w:hAnsi="Times New Roman" w:cs="Times New Roman"/>
                <w:color w:val="auto"/>
                <w:sz w:val="24"/>
                <w:szCs w:val="20"/>
                <w:lang w:eastAsia="zh-CN"/>
              </w:rPr>
              <w:t>贮存仓库必须配备有专业知识的技术人员，库房及场所应设专人管理，管理人员必须配备可靠的个人安全防护用品。</w:t>
            </w:r>
          </w:p>
          <w:p w14:paraId="3D8D9884">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c.</w:t>
            </w:r>
            <w:r>
              <w:rPr>
                <w:rFonts w:ascii="Times New Roman" w:hAnsi="Times New Roman" w:cs="Times New Roman"/>
                <w:color w:val="auto"/>
                <w:sz w:val="24"/>
                <w:szCs w:val="20"/>
                <w:lang w:eastAsia="zh-CN"/>
              </w:rPr>
              <w:t>原料入库时，应严格检验物品质量、数量、包装情况、有无泄漏。入库后应采取适当的养护措施，在贮存期内，定期检查，发现其品质变化、包装破损、渗漏、稳定剂短缺等，应及时处理。</w:t>
            </w:r>
          </w:p>
          <w:p w14:paraId="7C20E2A1">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d.</w:t>
            </w:r>
            <w:r>
              <w:rPr>
                <w:rFonts w:ascii="Times New Roman" w:hAnsi="Times New Roman" w:cs="Times New Roman"/>
                <w:color w:val="auto"/>
                <w:sz w:val="24"/>
                <w:szCs w:val="20"/>
                <w:lang w:eastAsia="zh-CN"/>
              </w:rPr>
              <w:t>库房温度、湿度应严格控制、经常检查，发现变化及时调整。并配备相应灭火器。</w:t>
            </w:r>
          </w:p>
          <w:p w14:paraId="14A34329">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e.</w:t>
            </w:r>
            <w:r>
              <w:rPr>
                <w:rFonts w:ascii="Times New Roman" w:hAnsi="Times New Roman" w:cs="Times New Roman"/>
                <w:color w:val="auto"/>
                <w:sz w:val="24"/>
                <w:szCs w:val="20"/>
                <w:lang w:eastAsia="zh-CN"/>
              </w:rPr>
              <w:t>在危险品仓库设立报警系统，设置火灾探测器及报警灭火控制设施，以便在火灾的初期阶段发出报警，并及时采取措施进行扑救。在这些易发生火灾的岗位除采用119电话报警外，另设置具有专用线路的火灾报警系统。</w:t>
            </w:r>
          </w:p>
          <w:p w14:paraId="56543B5C">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f.</w:t>
            </w:r>
            <w:r>
              <w:rPr>
                <w:rFonts w:ascii="Times New Roman" w:hAnsi="Times New Roman" w:cs="Times New Roman"/>
                <w:color w:val="auto"/>
                <w:sz w:val="24"/>
                <w:szCs w:val="20"/>
                <w:lang w:eastAsia="zh-CN"/>
              </w:rPr>
              <w:t>仓库管理员每天一次对仓库内的化学品、油品的摆放情况及容器的完好情况进行检查，发现渗漏等异常情况立即做出处理。</w:t>
            </w:r>
          </w:p>
          <w:p w14:paraId="78760C7D">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g.</w:t>
            </w:r>
            <w:r>
              <w:rPr>
                <w:rFonts w:ascii="Times New Roman" w:hAnsi="Times New Roman" w:cs="Times New Roman"/>
                <w:color w:val="auto"/>
                <w:sz w:val="24"/>
                <w:szCs w:val="20"/>
                <w:lang w:eastAsia="zh-CN"/>
              </w:rPr>
              <w:t>严格按《危险化学品安全管理条例》的要求，对仓库工作人员应进行保管及紧急事故发生时处理方法的培训，经考核合格后持证上岗。制定危险化学品安全操作规程，要求操作人员严格按操作规程作业。</w:t>
            </w:r>
          </w:p>
          <w:p w14:paraId="63CA0FF8">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③</w:t>
            </w:r>
            <w:r>
              <w:rPr>
                <w:rFonts w:ascii="Times New Roman" w:hAnsi="Times New Roman" w:cs="Times New Roman"/>
                <w:color w:val="auto"/>
                <w:sz w:val="24"/>
                <w:szCs w:val="20"/>
                <w:lang w:eastAsia="zh-CN"/>
              </w:rPr>
              <w:t>火灾、爆炸事故的预防措施</w:t>
            </w:r>
          </w:p>
          <w:p w14:paraId="59D380F9">
            <w:pPr>
              <w:kinsoku/>
              <w:adjustRightInd/>
              <w:snapToGrid/>
              <w:spacing w:line="360" w:lineRule="auto"/>
              <w:ind w:firstLine="480" w:firstLineChars="200"/>
              <w:rPr>
                <w:rFonts w:ascii="Times New Roman" w:hAnsi="Times New Roman" w:cs="Times New Roman"/>
                <w:color w:val="auto"/>
                <w:sz w:val="24"/>
                <w:szCs w:val="20"/>
                <w:lang w:eastAsia="zh-CN"/>
              </w:rPr>
            </w:pPr>
            <w:r>
              <w:rPr>
                <w:rFonts w:ascii="Times New Roman" w:hAnsi="Times New Roman" w:cs="Times New Roman"/>
                <w:color w:val="auto"/>
                <w:sz w:val="24"/>
                <w:szCs w:val="20"/>
                <w:lang w:eastAsia="zh-CN"/>
              </w:rPr>
              <w:t>建立健全防火安全规章制度并严格执行。根据一些地区的经验，防火安全制度主要有以下几种：安全员责任制度：主要把每个工作人员在业务上、工作上与消防安全管理上的职责、责任明确；防火防爆制度：是对各类火种、火源和有散发火花危险的机械设备、作业活动，以及可燃、易燃物品等的控制和管理；用火审批制度：在非固定点进行明火作业时，必须根据用火场所危险程度大小以及各级防火责任人，规定批准权限；安全检查制度：各类储存容器、输送设备、安全设施、消防器材，进行各种日常的、定期的、专业的防火安全检查，并将发现的问题定人、限期落实整改；其他安全制度：如外来人员和车辆入库制度，临时电线装接制度，夜间值班巡逻制度，火险、火警报告制度，安全奖惩制度等。</w:t>
            </w:r>
          </w:p>
          <w:p w14:paraId="2207AF2B">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④</w:t>
            </w:r>
            <w:r>
              <w:rPr>
                <w:rFonts w:ascii="Times New Roman" w:hAnsi="Times New Roman" w:cs="Times New Roman"/>
                <w:color w:val="auto"/>
                <w:sz w:val="24"/>
                <w:szCs w:val="20"/>
                <w:lang w:eastAsia="zh-CN"/>
              </w:rPr>
              <w:t>生产过程防范措施</w:t>
            </w:r>
          </w:p>
          <w:p w14:paraId="1BD7CEE1">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a.</w:t>
            </w:r>
            <w:r>
              <w:rPr>
                <w:rFonts w:ascii="Times New Roman" w:hAnsi="Times New Roman" w:cs="Times New Roman"/>
                <w:color w:val="auto"/>
                <w:sz w:val="24"/>
                <w:szCs w:val="20"/>
                <w:lang w:eastAsia="zh-CN"/>
              </w:rPr>
              <w:t>根据化学品的性质，对车间分别考虑防火、防爆，耐腐蚀及排风的要求。所有的化学品容器，使用点都设有局部排风以保证室内处于良好的工作环境。</w:t>
            </w:r>
          </w:p>
          <w:p w14:paraId="41284170">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b.</w:t>
            </w:r>
            <w:r>
              <w:rPr>
                <w:rFonts w:ascii="Times New Roman" w:hAnsi="Times New Roman" w:cs="Times New Roman"/>
                <w:color w:val="auto"/>
                <w:sz w:val="24"/>
                <w:szCs w:val="20"/>
                <w:lang w:eastAsia="zh-CN"/>
              </w:rPr>
              <w:t>生产过程中为保证职工安全，设有人员防护设备。</w:t>
            </w:r>
          </w:p>
          <w:p w14:paraId="40634C44">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c.</w:t>
            </w:r>
            <w:r>
              <w:rPr>
                <w:rFonts w:ascii="Times New Roman" w:hAnsi="Times New Roman" w:cs="Times New Roman"/>
                <w:color w:val="auto"/>
                <w:sz w:val="24"/>
                <w:szCs w:val="20"/>
                <w:lang w:eastAsia="zh-CN"/>
              </w:rPr>
              <w:t>使用危险化学品的过程中，各机床</w:t>
            </w:r>
            <w:r>
              <w:rPr>
                <w:rFonts w:hint="eastAsia" w:ascii="Times New Roman" w:hAnsi="Times New Roman" w:cs="Times New Roman"/>
                <w:color w:val="auto"/>
                <w:sz w:val="24"/>
                <w:szCs w:val="20"/>
                <w:lang w:eastAsia="zh-CN"/>
              </w:rPr>
              <w:t>、</w:t>
            </w:r>
            <w:r>
              <w:rPr>
                <w:rFonts w:hint="eastAsia" w:ascii="Times New Roman" w:hAnsi="Times New Roman" w:cs="Times New Roman"/>
                <w:color w:val="auto"/>
                <w:sz w:val="24"/>
                <w:szCs w:val="20"/>
                <w:lang w:val="en-US" w:eastAsia="zh-CN"/>
              </w:rPr>
              <w:t>池体</w:t>
            </w:r>
            <w:r>
              <w:rPr>
                <w:rFonts w:ascii="Times New Roman" w:hAnsi="Times New Roman" w:cs="Times New Roman"/>
                <w:color w:val="auto"/>
                <w:sz w:val="24"/>
                <w:szCs w:val="20"/>
                <w:lang w:eastAsia="zh-CN"/>
              </w:rPr>
              <w:t>操作人员对现场的化学品、油品进行检查，泄漏或渗漏的包装容器应迅速移至安全区域。</w:t>
            </w:r>
          </w:p>
          <w:p w14:paraId="3C7199BB">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d.</w:t>
            </w:r>
            <w:r>
              <w:rPr>
                <w:rFonts w:ascii="Times New Roman" w:hAnsi="Times New Roman" w:cs="Times New Roman"/>
                <w:color w:val="auto"/>
                <w:sz w:val="24"/>
                <w:szCs w:val="20"/>
                <w:lang w:eastAsia="zh-CN"/>
              </w:rPr>
              <w:t>为了防止偶然火灾事故造成重大人身伤亡和设备损失，设计有完整、高效的消防报警系统，整个系统包括烟感系统、应急疏散系统、室内外消防装置系统、排烟系统和应急照明及疏散指示系统。</w:t>
            </w:r>
          </w:p>
          <w:p w14:paraId="6D236A48">
            <w:pPr>
              <w:kinsoku/>
              <w:adjustRightInd/>
              <w:snapToGrid/>
              <w:spacing w:line="360" w:lineRule="auto"/>
              <w:ind w:firstLine="480" w:firstLineChars="200"/>
              <w:rPr>
                <w:rFonts w:ascii="Times New Roman" w:hAnsi="Times New Roman" w:cs="Times New Roman"/>
                <w:color w:val="auto"/>
                <w:sz w:val="24"/>
                <w:szCs w:val="20"/>
                <w:lang w:eastAsia="zh-CN"/>
              </w:rPr>
            </w:pPr>
            <w:r>
              <w:rPr>
                <w:rFonts w:hint="eastAsia" w:ascii="Times New Roman" w:hAnsi="Times New Roman" w:eastAsia="宋体" w:cs="Times New Roman"/>
                <w:color w:val="auto"/>
                <w:sz w:val="24"/>
                <w:szCs w:val="20"/>
                <w:lang w:eastAsia="zh-CN"/>
              </w:rPr>
              <w:t>e.</w:t>
            </w:r>
            <w:r>
              <w:rPr>
                <w:rFonts w:ascii="Times New Roman" w:hAnsi="Times New Roman" w:cs="Times New Roman"/>
                <w:color w:val="auto"/>
                <w:sz w:val="24"/>
                <w:szCs w:val="20"/>
                <w:lang w:eastAsia="zh-CN"/>
              </w:rPr>
              <w:t>涂装车间设双重火灾自动报警和自动灭火联动装置。</w:t>
            </w:r>
          </w:p>
          <w:p w14:paraId="02B133B6">
            <w:pPr>
              <w:kinsoku/>
              <w:adjustRightInd/>
              <w:snapToGrid/>
              <w:spacing w:line="360" w:lineRule="auto"/>
              <w:ind w:firstLine="480" w:firstLineChars="200"/>
              <w:rPr>
                <w:rFonts w:ascii="Times New Roman" w:hAnsi="Times New Roman" w:cs="Times New Roman"/>
                <w:color w:val="000000" w:themeColor="text1"/>
                <w:sz w:val="24"/>
                <w:szCs w:val="20"/>
                <w:lang w:eastAsia="zh-CN"/>
                <w14:textFill>
                  <w14:solidFill>
                    <w14:schemeClr w14:val="tx1"/>
                  </w14:solidFill>
                </w14:textFill>
              </w:rPr>
            </w:pPr>
            <w:r>
              <w:rPr>
                <w:rFonts w:hint="eastAsia" w:ascii="Times New Roman" w:hAnsi="Times New Roman" w:eastAsia="宋体" w:cs="Times New Roman"/>
                <w:color w:val="auto"/>
                <w:sz w:val="24"/>
                <w:szCs w:val="20"/>
                <w:lang w:eastAsia="zh-CN"/>
              </w:rPr>
              <w:t>f.</w:t>
            </w:r>
            <w:r>
              <w:rPr>
                <w:rFonts w:ascii="Times New Roman" w:hAnsi="Times New Roman" w:cs="Times New Roman"/>
                <w:color w:val="auto"/>
                <w:sz w:val="24"/>
                <w:szCs w:val="20"/>
                <w:lang w:eastAsia="zh-CN"/>
              </w:rPr>
              <w:t>各车间消防灭火设施配备</w:t>
            </w:r>
            <w:r>
              <w:rPr>
                <w:rFonts w:ascii="Times New Roman" w:hAnsi="Times New Roman" w:cs="Times New Roman"/>
                <w:color w:val="000000" w:themeColor="text1"/>
                <w:sz w:val="24"/>
                <w:szCs w:val="20"/>
                <w:lang w:eastAsia="zh-CN"/>
                <w14:textFill>
                  <w14:solidFill>
                    <w14:schemeClr w14:val="tx1"/>
                  </w14:solidFill>
                </w14:textFill>
              </w:rPr>
              <w:t>和布置情况应委托有资质的单位进行设计。</w:t>
            </w:r>
          </w:p>
          <w:p w14:paraId="631981CA">
            <w:pPr>
              <w:kinsoku/>
              <w:adjustRightInd/>
              <w:snapToGrid/>
              <w:spacing w:line="360" w:lineRule="auto"/>
              <w:ind w:firstLine="480" w:firstLineChars="200"/>
              <w:rPr>
                <w:rFonts w:ascii="Times New Roman" w:hAnsi="Times New Roman" w:cs="Times New Roman"/>
                <w:color w:val="000000" w:themeColor="text1"/>
                <w:sz w:val="24"/>
                <w:szCs w:val="20"/>
                <w:lang w:eastAsia="zh-CN"/>
                <w14:textFill>
                  <w14:solidFill>
                    <w14:schemeClr w14:val="tx1"/>
                  </w14:solidFill>
                </w14:textFill>
              </w:rPr>
            </w:pPr>
            <w:r>
              <w:rPr>
                <w:rFonts w:hint="eastAsia" w:ascii="Times New Roman" w:hAnsi="Times New Roman" w:eastAsia="宋体" w:cs="Times New Roman"/>
                <w:color w:val="000000" w:themeColor="text1"/>
                <w:sz w:val="24"/>
                <w:szCs w:val="20"/>
                <w:lang w:eastAsia="zh-CN"/>
                <w14:textFill>
                  <w14:solidFill>
                    <w14:schemeClr w14:val="tx1"/>
                  </w14:solidFill>
                </w14:textFill>
              </w:rPr>
              <w:t>g.</w:t>
            </w:r>
            <w:r>
              <w:rPr>
                <w:rFonts w:ascii="Times New Roman" w:hAnsi="Times New Roman" w:cs="Times New Roman"/>
                <w:color w:val="000000" w:themeColor="text1"/>
                <w:sz w:val="24"/>
                <w:szCs w:val="20"/>
                <w:lang w:eastAsia="zh-CN"/>
                <w14:textFill>
                  <w14:solidFill>
                    <w14:schemeClr w14:val="tx1"/>
                  </w14:solidFill>
                </w14:textFill>
              </w:rPr>
              <w:t>高度关注涉爆粉尘废气的收集处理，安装防爆设施。</w:t>
            </w:r>
          </w:p>
          <w:p w14:paraId="538884DC">
            <w:pPr>
              <w:kinsoku/>
              <w:adjustRightInd/>
              <w:snapToGrid/>
              <w:spacing w:line="360" w:lineRule="auto"/>
              <w:ind w:firstLine="48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0"/>
                <w:lang w:eastAsia="zh-CN"/>
                <w14:textFill>
                  <w14:solidFill>
                    <w14:schemeClr w14:val="tx1"/>
                  </w14:solidFill>
                </w14:textFill>
              </w:rPr>
              <w:t>h</w:t>
            </w:r>
            <w:r>
              <w:rPr>
                <w:rFonts w:hint="eastAsia"/>
                <w:color w:val="000000" w:themeColor="text1"/>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合理设置事故收集和切断措施确保事故水全部收集处理。</w:t>
            </w:r>
          </w:p>
          <w:p w14:paraId="46997179">
            <w:pPr>
              <w:kinsoku/>
              <w:adjustRightInd/>
              <w:snapToGrid/>
              <w:spacing w:line="360" w:lineRule="auto"/>
              <w:ind w:firstLine="480" w:firstLineChars="200"/>
              <w:rPr>
                <w:rFonts w:ascii="Times New Roman" w:hAnsi="Times New Roman" w:cs="Times New Roman"/>
                <w:color w:val="000000" w:themeColor="text1"/>
                <w:sz w:val="24"/>
                <w:szCs w:val="20"/>
                <w:lang w:eastAsia="zh-CN"/>
                <w14:textFill>
                  <w14:solidFill>
                    <w14:schemeClr w14:val="tx1"/>
                  </w14:solidFill>
                </w14:textFill>
              </w:rPr>
            </w:pPr>
            <w:r>
              <w:rPr>
                <w:rFonts w:ascii="Times New Roman" w:hAnsi="Times New Roman" w:cs="Times New Roman"/>
                <w:color w:val="000000" w:themeColor="text1"/>
                <w:sz w:val="24"/>
                <w:szCs w:val="20"/>
                <w:lang w:eastAsia="zh-CN"/>
                <w14:textFill>
                  <w14:solidFill>
                    <w14:schemeClr w14:val="tx1"/>
                  </w14:solidFill>
                </w14:textFill>
              </w:rPr>
              <w:t>除以上管理措施外，针对不同危险品的性质，还应采取相应的管理措施并制定应急处理措施，</w:t>
            </w:r>
            <w:r>
              <w:rPr>
                <w:rFonts w:hint="eastAsia" w:ascii="Times New Roman" w:hAnsi="Times New Roman" w:cs="Times New Roman"/>
                <w:color w:val="000000" w:themeColor="text1"/>
                <w:sz w:val="24"/>
                <w:szCs w:val="20"/>
                <w:lang w:eastAsia="zh-CN"/>
                <w14:textFill>
                  <w14:solidFill>
                    <w14:schemeClr w14:val="tx1"/>
                  </w14:solidFill>
                </w14:textFill>
              </w:rPr>
              <w:t>修订</w:t>
            </w:r>
            <w:r>
              <w:rPr>
                <w:rFonts w:ascii="Times New Roman" w:hAnsi="Times New Roman" w:cs="Times New Roman"/>
                <w:color w:val="000000" w:themeColor="text1"/>
                <w:sz w:val="24"/>
                <w:szCs w:val="20"/>
                <w:lang w:eastAsia="zh-CN"/>
                <w14:textFill>
                  <w14:solidFill>
                    <w14:schemeClr w14:val="tx1"/>
                  </w14:solidFill>
                </w14:textFill>
              </w:rPr>
              <w:t>事故应急预案，应对意外突发事件。</w:t>
            </w:r>
          </w:p>
          <w:p w14:paraId="07A2FA1D">
            <w:pPr>
              <w:kinsoku/>
              <w:adjustRightInd/>
              <w:snapToGrid/>
              <w:spacing w:line="360" w:lineRule="auto"/>
              <w:ind w:firstLine="480" w:firstLineChars="200"/>
              <w:rPr>
                <w:rFonts w:ascii="Times New Roman" w:hAnsi="Times New Roman" w:cs="Times New Roman"/>
                <w:color w:val="000000" w:themeColor="text1"/>
                <w:sz w:val="24"/>
                <w:szCs w:val="20"/>
                <w:lang w:eastAsia="zh-CN"/>
                <w14:textFill>
                  <w14:solidFill>
                    <w14:schemeClr w14:val="tx1"/>
                  </w14:solidFill>
                </w14:textFill>
              </w:rPr>
            </w:pPr>
            <w:r>
              <w:rPr>
                <w:rFonts w:hint="eastAsia" w:ascii="Times New Roman" w:hAnsi="Times New Roman" w:eastAsia="宋体" w:cs="Times New Roman"/>
                <w:color w:val="000000" w:themeColor="text1"/>
                <w:sz w:val="24"/>
                <w:szCs w:val="20"/>
                <w:lang w:eastAsia="zh-CN"/>
                <w14:textFill>
                  <w14:solidFill>
                    <w14:schemeClr w14:val="tx1"/>
                  </w14:solidFill>
                </w14:textFill>
              </w:rPr>
              <w:t>⑤</w:t>
            </w:r>
            <w:r>
              <w:rPr>
                <w:rFonts w:ascii="Times New Roman" w:hAnsi="Times New Roman" w:cs="Times New Roman"/>
                <w:color w:val="000000" w:themeColor="text1"/>
                <w:sz w:val="24"/>
                <w:szCs w:val="20"/>
                <w:lang w:eastAsia="zh-CN"/>
                <w14:textFill>
                  <w14:solidFill>
                    <w14:schemeClr w14:val="tx1"/>
                  </w14:solidFill>
                </w14:textFill>
              </w:rPr>
              <w:t>废气事故排放的防范措施</w:t>
            </w:r>
          </w:p>
          <w:p w14:paraId="1261E522">
            <w:pPr>
              <w:kinsoku/>
              <w:adjustRightInd/>
              <w:snapToGrid/>
              <w:spacing w:line="360" w:lineRule="auto"/>
              <w:ind w:firstLine="480" w:firstLineChars="200"/>
              <w:rPr>
                <w:rFonts w:ascii="Times New Roman" w:hAnsi="Times New Roman" w:cs="Times New Roman"/>
                <w:color w:val="auto"/>
                <w:sz w:val="24"/>
                <w:szCs w:val="20"/>
                <w:lang w:eastAsia="zh-CN"/>
              </w:rPr>
            </w:pPr>
            <w:r>
              <w:rPr>
                <w:rFonts w:ascii="Times New Roman" w:hAnsi="Times New Roman" w:cs="Times New Roman"/>
                <w:color w:val="000000" w:themeColor="text1"/>
                <w:sz w:val="24"/>
                <w:szCs w:val="20"/>
                <w:lang w:eastAsia="zh-CN"/>
                <w14:textFill>
                  <w14:solidFill>
                    <w14:schemeClr w14:val="tx1"/>
                  </w14:solidFill>
                </w14:textFill>
              </w:rPr>
              <w:t>废气末端治理措施必须确保日常运行，如发现人为原因不开启废气治理设施，责任人应受行政和经济</w:t>
            </w:r>
            <w:r>
              <w:rPr>
                <w:rFonts w:hint="eastAsia" w:ascii="Times New Roman" w:hAnsi="Times New Roman" w:cs="Times New Roman"/>
                <w:color w:val="000000" w:themeColor="text1"/>
                <w:sz w:val="24"/>
                <w:szCs w:val="20"/>
                <w:lang w:eastAsia="zh-CN"/>
                <w14:textFill>
                  <w14:solidFill>
                    <w14:schemeClr w14:val="tx1"/>
                  </w14:solidFill>
                </w14:textFill>
              </w:rPr>
              <w:t>处罚</w:t>
            </w:r>
            <w:r>
              <w:rPr>
                <w:rFonts w:ascii="Times New Roman" w:hAnsi="Times New Roman" w:cs="Times New Roman"/>
                <w:color w:val="000000" w:themeColor="text1"/>
                <w:sz w:val="24"/>
                <w:szCs w:val="20"/>
                <w:lang w:eastAsia="zh-CN"/>
                <w14:textFill>
                  <w14:solidFill>
                    <w14:schemeClr w14:val="tx1"/>
                  </w14:solidFill>
                </w14:textFill>
              </w:rPr>
              <w:t>，并承担事故排放责任。若末端治理措施因故不能运行，则生产必须停止。对废气治理设施</w:t>
            </w:r>
            <w:r>
              <w:rPr>
                <w:rFonts w:ascii="Times New Roman" w:hAnsi="Times New Roman" w:cs="Times New Roman"/>
                <w:color w:val="auto"/>
                <w:sz w:val="24"/>
                <w:szCs w:val="20"/>
                <w:lang w:eastAsia="zh-CN"/>
              </w:rPr>
              <w:t>进行定期检修。废气处理设施定期维护，定期对</w:t>
            </w:r>
            <w:r>
              <w:rPr>
                <w:rFonts w:hint="eastAsia" w:ascii="Times New Roman" w:hAnsi="Times New Roman" w:cs="Times New Roman"/>
                <w:color w:val="auto"/>
                <w:sz w:val="24"/>
                <w:szCs w:val="20"/>
                <w:lang w:eastAsia="zh-CN"/>
              </w:rPr>
              <w:t>滤芯</w:t>
            </w:r>
            <w:r>
              <w:rPr>
                <w:rFonts w:ascii="Times New Roman" w:hAnsi="Times New Roman" w:cs="Times New Roman"/>
                <w:color w:val="auto"/>
                <w:sz w:val="24"/>
                <w:szCs w:val="20"/>
                <w:lang w:eastAsia="zh-CN"/>
              </w:rPr>
              <w:t>或活性炭进行清理、收集和暂存。</w:t>
            </w:r>
          </w:p>
          <w:p w14:paraId="6879DCBF">
            <w:pPr>
              <w:kinsoku/>
              <w:adjustRightInd/>
              <w:snapToGrid/>
              <w:spacing w:line="360" w:lineRule="auto"/>
              <w:ind w:firstLine="480" w:firstLineChars="200"/>
              <w:rPr>
                <w:rFonts w:ascii="Times New Roman" w:hAnsi="Times New Roman" w:cs="Times New Roman"/>
                <w:color w:val="000000" w:themeColor="text1"/>
                <w:sz w:val="24"/>
                <w:szCs w:val="20"/>
                <w:lang w:eastAsia="zh-CN"/>
                <w14:textFill>
                  <w14:solidFill>
                    <w14:schemeClr w14:val="tx1"/>
                  </w14:solidFill>
                </w14:textFill>
              </w:rPr>
            </w:pPr>
            <w:r>
              <w:rPr>
                <w:rFonts w:hint="default" w:ascii="Times New Roman" w:hAnsi="Times New Roman" w:cs="Times New Roman"/>
                <w:color w:val="000000" w:themeColor="text1"/>
                <w:sz w:val="24"/>
                <w:szCs w:val="20"/>
                <w:lang w:eastAsia="zh-CN"/>
                <w14:textFill>
                  <w14:solidFill>
                    <w14:schemeClr w14:val="tx1"/>
                  </w14:solidFill>
                </w14:textFill>
              </w:rPr>
              <w:t>⑥</w:t>
            </w:r>
            <w:r>
              <w:rPr>
                <w:rFonts w:hint="eastAsia" w:ascii="Times New Roman" w:hAnsi="Times New Roman" w:cs="Times New Roman"/>
                <w:color w:val="000000" w:themeColor="text1"/>
                <w:sz w:val="24"/>
                <w:szCs w:val="20"/>
                <w:lang w:eastAsia="zh-CN"/>
                <w14:textFill>
                  <w14:solidFill>
                    <w14:schemeClr w14:val="tx1"/>
                  </w14:solidFill>
                </w14:textFill>
              </w:rPr>
              <w:t>液化气收集及使用过程防范措施：泄漏事故的防治是生产和储运过程中最重要的环节，发生泄漏事故可能引起火灾和爆炸等一系列重大事故。经验表明：设备失灵和人为的操作失误是引发泄漏的主要原因。因此认真的管理和操作人员的责任心是减少泄漏事故的关键。对液化石油气钢瓶、管线、暂存间进行定期检查、捡漏、安全检测，以便及时发现问题及时解决，检查记录应存档备查；远离火种、热源，工作场所严禁吸烟，禁止使用易产生火花的机械设备和工具；避免与氧化剂接触；一旦泄露迅速撤离泄漏污染区人员至上风处，隔离，严格限制出入，切断火源，喷雾状水稀释、溶解，将漏气的容器移至空旷处，注意通风；在装置区内的所有设备，电气装置都应满足防爆防火的要求。</w:t>
            </w:r>
          </w:p>
          <w:p w14:paraId="50BBB72D">
            <w:pPr>
              <w:kinsoku/>
              <w:adjustRightInd/>
              <w:snapToGrid/>
              <w:spacing w:line="360" w:lineRule="auto"/>
              <w:ind w:firstLine="480" w:firstLineChars="200"/>
              <w:rPr>
                <w:rFonts w:hint="default" w:ascii="Times New Roman" w:hAnsi="Times New Roman" w:cs="Times New Roman"/>
                <w:color w:val="000000" w:themeColor="text1"/>
                <w:sz w:val="24"/>
                <w:szCs w:val="20"/>
                <w:lang w:eastAsia="zh-CN"/>
                <w14:textFill>
                  <w14:solidFill>
                    <w14:schemeClr w14:val="tx1"/>
                  </w14:solidFill>
                </w14:textFill>
              </w:rPr>
            </w:pPr>
            <w:r>
              <w:rPr>
                <w:rFonts w:hint="default" w:ascii="Times New Roman" w:hAnsi="Times New Roman" w:cs="Times New Roman"/>
                <w:color w:val="000000" w:themeColor="text1"/>
                <w:sz w:val="24"/>
                <w:szCs w:val="20"/>
                <w:lang w:eastAsia="zh-CN"/>
                <w14:textFill>
                  <w14:solidFill>
                    <w14:schemeClr w14:val="tx1"/>
                  </w14:solidFill>
                </w14:textFill>
              </w:rPr>
              <w:t>⑦废水事故风险防范措施：</w:t>
            </w:r>
          </w:p>
          <w:p w14:paraId="68B882D2">
            <w:pPr>
              <w:kinsoku/>
              <w:adjustRightInd/>
              <w:snapToGrid/>
              <w:spacing w:line="360" w:lineRule="auto"/>
              <w:ind w:firstLine="480" w:firstLineChars="200"/>
              <w:rPr>
                <w:rFonts w:hint="default" w:ascii="Times New Roman" w:hAnsi="Times New Roman" w:cs="Times New Roman"/>
                <w:color w:val="000000" w:themeColor="text1"/>
                <w:sz w:val="24"/>
                <w:szCs w:val="20"/>
                <w:lang w:eastAsia="zh-CN"/>
                <w14:textFill>
                  <w14:solidFill>
                    <w14:schemeClr w14:val="tx1"/>
                  </w14:solidFill>
                </w14:textFill>
              </w:rPr>
            </w:pPr>
            <w:r>
              <w:rPr>
                <w:rFonts w:hint="default" w:ascii="Times New Roman" w:hAnsi="Times New Roman" w:cs="Times New Roman"/>
                <w:color w:val="000000" w:themeColor="text1"/>
                <w:sz w:val="24"/>
                <w:szCs w:val="20"/>
                <w:lang w:eastAsia="zh-CN"/>
                <w14:textFill>
                  <w14:solidFill>
                    <w14:schemeClr w14:val="tx1"/>
                  </w14:solidFill>
                </w14:textFill>
              </w:rPr>
              <w:t>项目采取雨污分流；项目生活污水经现有化粪池预处理，生产废水经自建污水处理设备（pH调节+混凝沉淀+芬顿氧化+A/O工艺，处理能力40t/d）预处理，预处理后一同纳管进入宿州市埇桥区曹村污水处理有限公司处理。</w:t>
            </w:r>
          </w:p>
          <w:p w14:paraId="6A6F9D25">
            <w:pPr>
              <w:kinsoku/>
              <w:adjustRightInd/>
              <w:snapToGrid/>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themeColor="text1"/>
                <w:sz w:val="24"/>
                <w:szCs w:val="20"/>
                <w:lang w:eastAsia="zh-CN"/>
                <w14:textFill>
                  <w14:solidFill>
                    <w14:schemeClr w14:val="tx1"/>
                  </w14:solidFill>
                </w14:textFill>
              </w:rPr>
              <w:t>本项目地表水环境风险主要来自泄露的生产废水以及受到污染的消防废水。在事故状态下，由于管理疏忽和错误操作等因素，可能导致泄漏的物料、污染的</w:t>
            </w:r>
            <w:r>
              <w:rPr>
                <w:rFonts w:hint="default" w:ascii="Times New Roman" w:hAnsi="Times New Roman" w:cs="Times New Roman"/>
                <w:sz w:val="24"/>
              </w:rPr>
              <w:t>事故冲洗水和消防尾水通过雨水排水系统从厂区雨水排口排放，进入附近地表水体，污染周边的地表水环境。厂区所有雨水排口均设置截留阀，一旦发生泄漏事故，如果溢出的物料四处流散，进入雨水管网，则立即启动泄漏源与雨水管网之间的切换阀。将事故污水及时截留在厂区内，切断被污染的消防水或雨排入外部水环境的途径。</w:t>
            </w:r>
          </w:p>
          <w:p w14:paraId="4DED6E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当发生事故时，可将事故废水排入应急事故池，加强水环境事故风险防范力度。根据《水体污染防控紧急措施设计导则》，应急事故池总有效容积计算如下：</w:t>
            </w:r>
          </w:p>
          <w:p w14:paraId="5922D54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总</w:t>
            </w:r>
            <w:r>
              <w:rPr>
                <w:rFonts w:hint="default" w:ascii="Times New Roman" w:hAnsi="Times New Roman" w:cs="Times New Roman"/>
                <w:sz w:val="24"/>
              </w:rPr>
              <w:t>=（V</w:t>
            </w:r>
            <w:r>
              <w:rPr>
                <w:rFonts w:hint="default" w:ascii="Times New Roman" w:hAnsi="Times New Roman" w:cs="Times New Roman"/>
                <w:sz w:val="24"/>
                <w:vertAlign w:val="subscript"/>
              </w:rPr>
              <w:t>1</w:t>
            </w:r>
            <w:r>
              <w:rPr>
                <w:rFonts w:hint="default" w:ascii="Times New Roman" w:hAnsi="Times New Roman" w:cs="Times New Roman"/>
                <w:sz w:val="24"/>
              </w:rPr>
              <w:t>+V</w:t>
            </w:r>
            <w:r>
              <w:rPr>
                <w:rFonts w:hint="default" w:ascii="Times New Roman" w:hAnsi="Times New Roman" w:cs="Times New Roman"/>
                <w:sz w:val="24"/>
                <w:vertAlign w:val="subscript"/>
              </w:rPr>
              <w:t>2</w:t>
            </w:r>
            <w:r>
              <w:rPr>
                <w:rFonts w:hint="default" w:ascii="Times New Roman" w:hAnsi="Times New Roman" w:cs="Times New Roman"/>
                <w:sz w:val="24"/>
              </w:rPr>
              <w:t>-V</w:t>
            </w:r>
            <w:r>
              <w:rPr>
                <w:rFonts w:hint="default" w:ascii="Times New Roman" w:hAnsi="Times New Roman" w:cs="Times New Roman"/>
                <w:sz w:val="24"/>
                <w:vertAlign w:val="subscript"/>
              </w:rPr>
              <w:t>3</w:t>
            </w:r>
            <w:r>
              <w:rPr>
                <w:rFonts w:hint="default" w:ascii="Times New Roman" w:hAnsi="Times New Roman" w:cs="Times New Roman"/>
                <w:sz w:val="24"/>
              </w:rPr>
              <w:t>）max+V</w:t>
            </w:r>
            <w:r>
              <w:rPr>
                <w:rFonts w:hint="default" w:ascii="Times New Roman" w:hAnsi="Times New Roman" w:cs="Times New Roman"/>
                <w:sz w:val="24"/>
                <w:vertAlign w:val="subscript"/>
              </w:rPr>
              <w:t>4</w:t>
            </w:r>
            <w:r>
              <w:rPr>
                <w:rFonts w:hint="default" w:ascii="Times New Roman" w:hAnsi="Times New Roman" w:cs="Times New Roman"/>
                <w:sz w:val="24"/>
              </w:rPr>
              <w:t>+V</w:t>
            </w:r>
            <w:r>
              <w:rPr>
                <w:rFonts w:hint="default" w:ascii="Times New Roman" w:hAnsi="Times New Roman" w:cs="Times New Roman"/>
                <w:sz w:val="24"/>
                <w:vertAlign w:val="subscript"/>
              </w:rPr>
              <w:t>5</w:t>
            </w:r>
          </w:p>
          <w:p w14:paraId="5C06EC4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式中：（V</w:t>
            </w:r>
            <w:r>
              <w:rPr>
                <w:rFonts w:hint="default" w:ascii="Times New Roman" w:hAnsi="Times New Roman" w:cs="Times New Roman"/>
                <w:sz w:val="24"/>
                <w:vertAlign w:val="subscript"/>
              </w:rPr>
              <w:t>1</w:t>
            </w:r>
            <w:r>
              <w:rPr>
                <w:rFonts w:hint="default" w:ascii="Times New Roman" w:hAnsi="Times New Roman" w:cs="Times New Roman"/>
                <w:sz w:val="24"/>
              </w:rPr>
              <w:t>+V</w:t>
            </w:r>
            <w:r>
              <w:rPr>
                <w:rFonts w:hint="default" w:ascii="Times New Roman" w:hAnsi="Times New Roman" w:cs="Times New Roman"/>
                <w:sz w:val="24"/>
                <w:vertAlign w:val="subscript"/>
              </w:rPr>
              <w:t>2</w:t>
            </w:r>
            <w:r>
              <w:rPr>
                <w:rFonts w:hint="default" w:ascii="Times New Roman" w:hAnsi="Times New Roman" w:cs="Times New Roman"/>
                <w:sz w:val="24"/>
              </w:rPr>
              <w:t>-V</w:t>
            </w:r>
            <w:r>
              <w:rPr>
                <w:rFonts w:hint="default" w:ascii="Times New Roman" w:hAnsi="Times New Roman" w:cs="Times New Roman"/>
                <w:sz w:val="24"/>
                <w:vertAlign w:val="subscript"/>
              </w:rPr>
              <w:t>3</w:t>
            </w:r>
            <w:r>
              <w:rPr>
                <w:rFonts w:hint="default" w:ascii="Times New Roman" w:hAnsi="Times New Roman" w:cs="Times New Roman"/>
                <w:sz w:val="24"/>
              </w:rPr>
              <w:t>）max是指对收集系统范围内不同罐组或装置分别计算V</w:t>
            </w:r>
            <w:r>
              <w:rPr>
                <w:rFonts w:hint="default" w:ascii="Times New Roman" w:hAnsi="Times New Roman" w:cs="Times New Roman"/>
                <w:sz w:val="24"/>
                <w:vertAlign w:val="subscript"/>
              </w:rPr>
              <w:t>1</w:t>
            </w:r>
            <w:r>
              <w:rPr>
                <w:rFonts w:hint="default" w:ascii="Times New Roman" w:hAnsi="Times New Roman" w:cs="Times New Roman"/>
                <w:sz w:val="24"/>
              </w:rPr>
              <w:t>+V</w:t>
            </w:r>
            <w:r>
              <w:rPr>
                <w:rFonts w:hint="default" w:ascii="Times New Roman" w:hAnsi="Times New Roman" w:cs="Times New Roman"/>
                <w:sz w:val="24"/>
                <w:vertAlign w:val="subscript"/>
              </w:rPr>
              <w:t>2</w:t>
            </w:r>
            <w:r>
              <w:rPr>
                <w:rFonts w:hint="default" w:ascii="Times New Roman" w:hAnsi="Times New Roman" w:cs="Times New Roman"/>
                <w:sz w:val="24"/>
              </w:rPr>
              <w:t>-V</w:t>
            </w:r>
            <w:r>
              <w:rPr>
                <w:rFonts w:hint="default" w:ascii="Times New Roman" w:hAnsi="Times New Roman" w:cs="Times New Roman"/>
                <w:sz w:val="24"/>
                <w:vertAlign w:val="subscript"/>
              </w:rPr>
              <w:t>3</w:t>
            </w:r>
            <w:r>
              <w:rPr>
                <w:rFonts w:hint="default" w:ascii="Times New Roman" w:hAnsi="Times New Roman" w:cs="Times New Roman"/>
                <w:sz w:val="24"/>
              </w:rPr>
              <w:t>，取其中最大值。</w:t>
            </w:r>
          </w:p>
          <w:p w14:paraId="4AED1A8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1</w:t>
            </w:r>
            <w:r>
              <w:rPr>
                <w:rFonts w:hint="default" w:ascii="Times New Roman" w:hAnsi="Times New Roman" w:cs="Times New Roman"/>
                <w:sz w:val="24"/>
              </w:rPr>
              <w:t>——收集系统范围内发生事故的一个罐组或一套装置的物料量，m</w:t>
            </w:r>
            <w:r>
              <w:rPr>
                <w:rFonts w:hint="default" w:ascii="Times New Roman" w:hAnsi="Times New Roman" w:cs="Times New Roman"/>
                <w:sz w:val="24"/>
                <w:vertAlign w:val="superscript"/>
              </w:rPr>
              <w:t>3</w:t>
            </w:r>
            <w:r>
              <w:rPr>
                <w:rFonts w:hint="default" w:ascii="Times New Roman" w:hAnsi="Times New Roman" w:cs="Times New Roman"/>
                <w:sz w:val="24"/>
              </w:rPr>
              <w:t>；V</w:t>
            </w:r>
            <w:r>
              <w:rPr>
                <w:rFonts w:hint="default" w:ascii="Times New Roman" w:hAnsi="Times New Roman" w:cs="Times New Roman"/>
                <w:sz w:val="24"/>
                <w:vertAlign w:val="subscript"/>
              </w:rPr>
              <w:t>1</w:t>
            </w:r>
            <w:r>
              <w:rPr>
                <w:rFonts w:hint="default" w:ascii="Times New Roman" w:hAnsi="Times New Roman" w:cs="Times New Roman"/>
                <w:sz w:val="24"/>
              </w:rPr>
              <w:t>取0。</w:t>
            </w:r>
          </w:p>
          <w:p w14:paraId="44A30FB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2</w:t>
            </w:r>
            <w:r>
              <w:rPr>
                <w:rFonts w:hint="default" w:ascii="Times New Roman" w:hAnsi="Times New Roman" w:cs="Times New Roman"/>
                <w:sz w:val="24"/>
              </w:rPr>
              <w:t>——发生事故的储罐或装置的消防水量，m</w:t>
            </w:r>
            <w:r>
              <w:rPr>
                <w:rFonts w:hint="default" w:ascii="Times New Roman" w:hAnsi="Times New Roman" w:cs="Times New Roman"/>
                <w:sz w:val="24"/>
                <w:vertAlign w:val="superscript"/>
              </w:rPr>
              <w:t>3</w:t>
            </w:r>
            <w:r>
              <w:rPr>
                <w:rFonts w:hint="default" w:ascii="Times New Roman" w:hAnsi="Times New Roman" w:cs="Times New Roman"/>
                <w:sz w:val="24"/>
              </w:rPr>
              <w:t>；按1处着火点计，室内外消防总用水量为30L/s，火灾延续时间</w:t>
            </w:r>
            <w:r>
              <w:rPr>
                <w:rFonts w:hint="eastAsia" w:ascii="Times New Roman" w:hAnsi="Times New Roman" w:eastAsia="宋体" w:cs="Times New Roman"/>
                <w:sz w:val="24"/>
                <w:lang w:val="en-US" w:eastAsia="zh-CN"/>
              </w:rPr>
              <w:t>1</w:t>
            </w:r>
            <w:r>
              <w:rPr>
                <w:rFonts w:hint="default" w:ascii="Times New Roman" w:hAnsi="Times New Roman" w:cs="Times New Roman"/>
                <w:sz w:val="24"/>
              </w:rPr>
              <w:t>h，需消防水量</w:t>
            </w:r>
            <w:r>
              <w:rPr>
                <w:rFonts w:hint="eastAsia" w:ascii="Times New Roman" w:hAnsi="Times New Roman" w:eastAsia="宋体" w:cs="Times New Roman"/>
                <w:sz w:val="24"/>
                <w:lang w:val="en-US" w:eastAsia="zh-CN"/>
              </w:rPr>
              <w:t>108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。故V</w:t>
            </w:r>
            <w:r>
              <w:rPr>
                <w:rFonts w:hint="default" w:ascii="Times New Roman" w:hAnsi="Times New Roman" w:cs="Times New Roman"/>
                <w:sz w:val="24"/>
                <w:vertAlign w:val="subscript"/>
              </w:rPr>
              <w:t>2</w:t>
            </w:r>
            <w:r>
              <w:rPr>
                <w:rFonts w:hint="default" w:ascii="Times New Roman" w:hAnsi="Times New Roman" w:cs="Times New Roman"/>
                <w:sz w:val="24"/>
              </w:rPr>
              <w:t>取</w:t>
            </w:r>
            <w:r>
              <w:rPr>
                <w:rFonts w:hint="eastAsia" w:ascii="Times New Roman" w:hAnsi="Times New Roman" w:eastAsia="宋体" w:cs="Times New Roman"/>
                <w:sz w:val="24"/>
                <w:lang w:val="en-US" w:eastAsia="zh-CN"/>
              </w:rPr>
              <w:t>108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w:t>
            </w:r>
          </w:p>
          <w:p w14:paraId="07D1CAB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3</w:t>
            </w:r>
            <w:r>
              <w:rPr>
                <w:rFonts w:hint="default" w:ascii="Times New Roman" w:hAnsi="Times New Roman" w:cs="Times New Roman"/>
                <w:sz w:val="24"/>
              </w:rPr>
              <w:t>——发生事故时可以转输到其他储存或处理设施的物料量，m</w:t>
            </w:r>
            <w:r>
              <w:rPr>
                <w:rFonts w:hint="default" w:ascii="Times New Roman" w:hAnsi="Times New Roman" w:cs="Times New Roman"/>
                <w:sz w:val="24"/>
                <w:vertAlign w:val="superscript"/>
              </w:rPr>
              <w:t>3</w:t>
            </w:r>
            <w:r>
              <w:rPr>
                <w:rFonts w:hint="default" w:ascii="Times New Roman" w:hAnsi="Times New Roman" w:cs="Times New Roman"/>
                <w:sz w:val="24"/>
              </w:rPr>
              <w:t>；V</w:t>
            </w:r>
            <w:r>
              <w:rPr>
                <w:rFonts w:hint="default" w:ascii="Times New Roman" w:hAnsi="Times New Roman" w:cs="Times New Roman"/>
                <w:sz w:val="24"/>
                <w:vertAlign w:val="subscript"/>
              </w:rPr>
              <w:t>3</w:t>
            </w:r>
            <w:r>
              <w:rPr>
                <w:rFonts w:hint="default" w:ascii="Times New Roman" w:hAnsi="Times New Roman" w:cs="Times New Roman"/>
                <w:sz w:val="24"/>
              </w:rPr>
              <w:t>取0。</w:t>
            </w:r>
          </w:p>
          <w:p w14:paraId="5669C6B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4</w:t>
            </w:r>
            <w:r>
              <w:rPr>
                <w:rFonts w:hint="default" w:ascii="Times New Roman" w:hAnsi="Times New Roman" w:cs="Times New Roman"/>
                <w:sz w:val="24"/>
              </w:rPr>
              <w:t>——发生事故时仍必须进入该收集系统的生产废水量，m</w:t>
            </w:r>
            <w:r>
              <w:rPr>
                <w:rFonts w:hint="default" w:ascii="Times New Roman" w:hAnsi="Times New Roman" w:cs="Times New Roman"/>
                <w:sz w:val="24"/>
                <w:vertAlign w:val="superscript"/>
              </w:rPr>
              <w:t>3</w:t>
            </w:r>
            <w:r>
              <w:rPr>
                <w:rFonts w:hint="default" w:ascii="Times New Roman" w:hAnsi="Times New Roman" w:cs="Times New Roman"/>
                <w:sz w:val="24"/>
              </w:rPr>
              <w:t>；V</w:t>
            </w:r>
            <w:r>
              <w:rPr>
                <w:rFonts w:hint="default" w:ascii="Times New Roman" w:hAnsi="Times New Roman" w:cs="Times New Roman"/>
                <w:sz w:val="24"/>
                <w:vertAlign w:val="subscript"/>
              </w:rPr>
              <w:t>4</w:t>
            </w:r>
            <w:r>
              <w:rPr>
                <w:rFonts w:hint="default" w:ascii="Times New Roman" w:hAnsi="Times New Roman" w:cs="Times New Roman"/>
                <w:sz w:val="24"/>
              </w:rPr>
              <w:t>取0。</w:t>
            </w:r>
          </w:p>
          <w:p w14:paraId="17A9A6C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5</w:t>
            </w:r>
            <w:r>
              <w:rPr>
                <w:rFonts w:hint="default" w:ascii="Times New Roman" w:hAnsi="Times New Roman" w:cs="Times New Roman"/>
                <w:sz w:val="24"/>
              </w:rPr>
              <w:t>——发生事故时可能进入该收集系统的降雨量，m</w:t>
            </w:r>
            <w:r>
              <w:rPr>
                <w:rFonts w:hint="default" w:ascii="Times New Roman" w:hAnsi="Times New Roman" w:cs="Times New Roman"/>
                <w:sz w:val="24"/>
                <w:vertAlign w:val="superscript"/>
              </w:rPr>
              <w:t>3</w:t>
            </w:r>
            <w:r>
              <w:rPr>
                <w:rFonts w:hint="default" w:ascii="Times New Roman" w:hAnsi="Times New Roman" w:cs="Times New Roman"/>
                <w:sz w:val="24"/>
              </w:rPr>
              <w:t>；事故时可能进入收集系统的降雨量V</w:t>
            </w:r>
            <w:r>
              <w:rPr>
                <w:rFonts w:hint="default" w:ascii="Times New Roman" w:hAnsi="Times New Roman" w:cs="Times New Roman"/>
                <w:sz w:val="24"/>
                <w:vertAlign w:val="subscript"/>
              </w:rPr>
              <w:t>5</w:t>
            </w:r>
            <w:r>
              <w:rPr>
                <w:rFonts w:hint="default" w:ascii="Times New Roman" w:hAnsi="Times New Roman" w:cs="Times New Roman"/>
                <w:sz w:val="24"/>
              </w:rPr>
              <w:t>：</w:t>
            </w:r>
          </w:p>
          <w:p w14:paraId="305C2DE2">
            <w:pPr>
              <w:keepNext w:val="0"/>
              <w:keepLines w:val="0"/>
              <w:pageBreakBefore w:val="0"/>
              <w:widowControl w:val="0"/>
              <w:kinsoku/>
              <w:wordWrap/>
              <w:overflowPunct/>
              <w:topLinePunct w:val="0"/>
              <w:autoSpaceDE/>
              <w:autoSpaceDN/>
              <w:bidi w:val="0"/>
              <w:adjustRightInd/>
              <w:spacing w:line="360" w:lineRule="auto"/>
              <w:ind w:firstLine="480" w:firstLineChars="200"/>
              <w:jc w:val="center"/>
              <w:textAlignment w:val="auto"/>
              <w:rPr>
                <w:rFonts w:hint="default" w:ascii="Times New Roman" w:hAnsi="Times New Roman" w:cs="Times New Roman"/>
                <w:sz w:val="24"/>
              </w:rPr>
            </w:pPr>
            <w:r>
              <w:rPr>
                <w:rFonts w:hint="default" w:ascii="Times New Roman" w:hAnsi="Times New Roman" w:cs="Times New Roman"/>
                <w:sz w:val="24"/>
              </w:rPr>
              <w:t>V</w:t>
            </w:r>
            <w:r>
              <w:rPr>
                <w:rFonts w:hint="default" w:ascii="Times New Roman" w:hAnsi="Times New Roman" w:cs="Times New Roman"/>
                <w:sz w:val="24"/>
                <w:vertAlign w:val="subscript"/>
              </w:rPr>
              <w:t>5</w:t>
            </w:r>
            <w:r>
              <w:rPr>
                <w:rFonts w:hint="default" w:ascii="Times New Roman" w:hAnsi="Times New Roman" w:cs="Times New Roman"/>
                <w:sz w:val="24"/>
              </w:rPr>
              <w:t>=10QF；</w:t>
            </w:r>
          </w:p>
          <w:p w14:paraId="0079BDE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Q—降雨强度，mm；按平均日降雨量；Q=Q</w:t>
            </w:r>
            <w:r>
              <w:rPr>
                <w:rFonts w:hint="default" w:ascii="Times New Roman" w:hAnsi="Times New Roman" w:cs="Times New Roman"/>
                <w:sz w:val="24"/>
                <w:vertAlign w:val="subscript"/>
              </w:rPr>
              <w:t>a</w:t>
            </w:r>
            <w:r>
              <w:rPr>
                <w:rFonts w:hint="default" w:ascii="Times New Roman" w:hAnsi="Times New Roman" w:cs="Times New Roman"/>
                <w:sz w:val="24"/>
              </w:rPr>
              <w:t>/n；Q</w:t>
            </w:r>
            <w:r>
              <w:rPr>
                <w:rFonts w:hint="default" w:ascii="Times New Roman" w:hAnsi="Times New Roman" w:cs="Times New Roman"/>
                <w:sz w:val="24"/>
                <w:vertAlign w:val="subscript"/>
              </w:rPr>
              <w:t>a</w:t>
            </w:r>
            <w:r>
              <w:rPr>
                <w:rFonts w:hint="default" w:ascii="Times New Roman" w:hAnsi="Times New Roman" w:cs="Times New Roman"/>
                <w:sz w:val="24"/>
              </w:rPr>
              <w:t>—年平均降雨量，mm；n—年平均降雨日数；F—必须进入事故废水收集系统的雨水汇水面积，ha。</w:t>
            </w:r>
          </w:p>
          <w:p w14:paraId="7CF2223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highlight w:val="yellow"/>
              </w:rPr>
            </w:pPr>
            <w:r>
              <w:rPr>
                <w:rFonts w:hint="default" w:ascii="Times New Roman" w:hAnsi="Times New Roman" w:cs="Times New Roman"/>
                <w:sz w:val="24"/>
              </w:rPr>
              <w:t>项目厂区汇集面积约0.</w:t>
            </w:r>
            <w:r>
              <w:rPr>
                <w:rFonts w:hint="eastAsia" w:ascii="Times New Roman" w:hAnsi="Times New Roman" w:eastAsia="宋体" w:cs="Times New Roman"/>
                <w:sz w:val="24"/>
                <w:lang w:val="en-US" w:eastAsia="zh-CN"/>
              </w:rPr>
              <w:t>2</w:t>
            </w:r>
            <w:r>
              <w:rPr>
                <w:rFonts w:hint="default" w:ascii="Times New Roman" w:hAnsi="Times New Roman" w:cs="Times New Roman"/>
                <w:sz w:val="24"/>
              </w:rPr>
              <w:t>ha，宿州市年平均降雨量约为840mm，年降雨天数按46天计，厂区事故时的降雨量约</w:t>
            </w:r>
            <w:r>
              <w:rPr>
                <w:rFonts w:hint="eastAsia" w:ascii="Times New Roman" w:hAnsi="Times New Roman" w:eastAsia="宋体" w:cs="Times New Roman"/>
                <w:sz w:val="24"/>
                <w:lang w:val="en-US" w:eastAsia="zh-CN"/>
              </w:rPr>
              <w:t>36</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，事故时可能进入收集系统的降雨量V</w:t>
            </w:r>
            <w:r>
              <w:rPr>
                <w:rFonts w:hint="default" w:ascii="Times New Roman" w:hAnsi="Times New Roman" w:cs="Times New Roman"/>
                <w:sz w:val="24"/>
                <w:vertAlign w:val="subscript"/>
              </w:rPr>
              <w:t>5</w:t>
            </w:r>
            <w:r>
              <w:rPr>
                <w:rFonts w:hint="default" w:ascii="Times New Roman" w:hAnsi="Times New Roman" w:cs="Times New Roman"/>
                <w:sz w:val="24"/>
              </w:rPr>
              <w:t>取值为</w:t>
            </w:r>
            <w:r>
              <w:rPr>
                <w:rFonts w:hint="eastAsia" w:ascii="Times New Roman" w:hAnsi="Times New Roman" w:eastAsia="宋体" w:cs="Times New Roman"/>
                <w:sz w:val="24"/>
                <w:lang w:val="en-US" w:eastAsia="zh-CN"/>
              </w:rPr>
              <w:t>36</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w:t>
            </w:r>
          </w:p>
          <w:p w14:paraId="04790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0"/>
                <w:lang w:eastAsia="zh-CN"/>
              </w:rPr>
            </w:pPr>
            <w:r>
              <w:rPr>
                <w:rFonts w:hint="default" w:ascii="Times New Roman" w:hAnsi="Times New Roman" w:cs="Times New Roman"/>
                <w:sz w:val="24"/>
              </w:rPr>
              <w:t>经核算，当项目事发生事故时，全厂所需应急事故池最小容积为：V</w:t>
            </w:r>
            <w:r>
              <w:rPr>
                <w:rFonts w:hint="default" w:ascii="Times New Roman" w:hAnsi="Times New Roman" w:cs="Times New Roman"/>
                <w:sz w:val="24"/>
                <w:vertAlign w:val="subscript"/>
              </w:rPr>
              <w:t>总</w:t>
            </w:r>
            <w:r>
              <w:rPr>
                <w:rFonts w:hint="default" w:ascii="Times New Roman" w:hAnsi="Times New Roman" w:cs="Times New Roman"/>
                <w:sz w:val="24"/>
              </w:rPr>
              <w:t>=（V</w:t>
            </w:r>
            <w:r>
              <w:rPr>
                <w:rFonts w:hint="default" w:ascii="Times New Roman" w:hAnsi="Times New Roman" w:cs="Times New Roman"/>
                <w:sz w:val="24"/>
                <w:vertAlign w:val="subscript"/>
              </w:rPr>
              <w:t>1</w:t>
            </w:r>
            <w:r>
              <w:rPr>
                <w:rFonts w:hint="default" w:ascii="Times New Roman" w:hAnsi="Times New Roman" w:cs="Times New Roman"/>
                <w:sz w:val="24"/>
              </w:rPr>
              <w:t>+V</w:t>
            </w:r>
            <w:r>
              <w:rPr>
                <w:rFonts w:hint="default" w:ascii="Times New Roman" w:hAnsi="Times New Roman" w:cs="Times New Roman"/>
                <w:sz w:val="24"/>
                <w:vertAlign w:val="subscript"/>
              </w:rPr>
              <w:t>2</w:t>
            </w:r>
            <w:r>
              <w:rPr>
                <w:rFonts w:hint="default" w:ascii="Times New Roman" w:hAnsi="Times New Roman" w:cs="Times New Roman"/>
                <w:sz w:val="24"/>
              </w:rPr>
              <w:t>-V</w:t>
            </w:r>
            <w:r>
              <w:rPr>
                <w:rFonts w:hint="default" w:ascii="Times New Roman" w:hAnsi="Times New Roman" w:cs="Times New Roman"/>
                <w:sz w:val="24"/>
                <w:vertAlign w:val="subscript"/>
              </w:rPr>
              <w:t>3</w:t>
            </w:r>
            <w:r>
              <w:rPr>
                <w:rFonts w:hint="default" w:ascii="Times New Roman" w:hAnsi="Times New Roman" w:cs="Times New Roman"/>
                <w:sz w:val="24"/>
              </w:rPr>
              <w:t>）max+V</w:t>
            </w:r>
            <w:r>
              <w:rPr>
                <w:rFonts w:hint="default" w:ascii="Times New Roman" w:hAnsi="Times New Roman" w:cs="Times New Roman"/>
                <w:sz w:val="24"/>
                <w:vertAlign w:val="subscript"/>
              </w:rPr>
              <w:t>4</w:t>
            </w:r>
            <w:r>
              <w:rPr>
                <w:rFonts w:hint="default" w:ascii="Times New Roman" w:hAnsi="Times New Roman" w:cs="Times New Roman"/>
                <w:sz w:val="24"/>
              </w:rPr>
              <w:t>+V</w:t>
            </w:r>
            <w:r>
              <w:rPr>
                <w:rFonts w:hint="default" w:ascii="Times New Roman" w:hAnsi="Times New Roman" w:cs="Times New Roman"/>
                <w:sz w:val="24"/>
                <w:vertAlign w:val="subscript"/>
              </w:rPr>
              <w:t>5</w:t>
            </w:r>
            <w:r>
              <w:rPr>
                <w:rFonts w:hint="default" w:ascii="Times New Roman" w:hAnsi="Times New Roman" w:cs="Times New Roman"/>
                <w:sz w:val="24"/>
              </w:rPr>
              <w:t>=（0+</w:t>
            </w:r>
            <w:r>
              <w:rPr>
                <w:rFonts w:hint="eastAsia" w:ascii="Times New Roman" w:hAnsi="Times New Roman" w:eastAsia="宋体" w:cs="Times New Roman"/>
                <w:sz w:val="24"/>
                <w:lang w:val="en-US" w:eastAsia="zh-CN"/>
              </w:rPr>
              <w:t>108</w:t>
            </w:r>
            <w:r>
              <w:rPr>
                <w:rFonts w:hint="default" w:ascii="Times New Roman" w:hAnsi="Times New Roman" w:cs="Times New Roman"/>
                <w:sz w:val="24"/>
              </w:rPr>
              <w:t>-0）+0+</w:t>
            </w:r>
            <w:r>
              <w:rPr>
                <w:rFonts w:hint="eastAsia" w:ascii="Times New Roman" w:hAnsi="Times New Roman" w:eastAsia="宋体" w:cs="Times New Roman"/>
                <w:sz w:val="24"/>
                <w:lang w:val="en-US" w:eastAsia="zh-CN"/>
              </w:rPr>
              <w:t>36</w:t>
            </w:r>
            <w:r>
              <w:rPr>
                <w:rFonts w:hint="default" w:ascii="Times New Roman" w:hAnsi="Times New Roman" w:cs="Times New Roman"/>
                <w:sz w:val="24"/>
              </w:rPr>
              <w:t>=</w:t>
            </w:r>
            <w:r>
              <w:rPr>
                <w:rFonts w:hint="eastAsia" w:ascii="Times New Roman" w:hAnsi="Times New Roman" w:eastAsia="宋体" w:cs="Times New Roman"/>
                <w:sz w:val="24"/>
                <w:lang w:val="en-US" w:eastAsia="zh-CN"/>
              </w:rPr>
              <w:t>144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w:t>
            </w:r>
            <w:bookmarkStart w:id="25" w:name="OLE_LINK78"/>
            <w:bookmarkStart w:id="26" w:name="OLE_LINK79"/>
            <w:r>
              <w:rPr>
                <w:rFonts w:hint="default" w:ascii="Times New Roman" w:hAnsi="Times New Roman" w:cs="Times New Roman"/>
                <w:sz w:val="24"/>
              </w:rPr>
              <w:t>项目设置</w:t>
            </w:r>
            <w:r>
              <w:rPr>
                <w:rFonts w:hint="default" w:ascii="Times New Roman" w:hAnsi="Times New Roman" w:cs="Times New Roman"/>
                <w:bCs/>
                <w:sz w:val="24"/>
              </w:rPr>
              <w:t>1座容积约为</w:t>
            </w:r>
            <w:r>
              <w:rPr>
                <w:rFonts w:hint="eastAsia" w:ascii="Times New Roman" w:hAnsi="Times New Roman" w:eastAsia="宋体" w:cs="Times New Roman"/>
                <w:bCs/>
                <w:sz w:val="24"/>
                <w:lang w:val="en-US" w:eastAsia="zh-CN"/>
              </w:rPr>
              <w:t>144</w:t>
            </w:r>
            <w:r>
              <w:rPr>
                <w:rFonts w:hint="default" w:ascii="Times New Roman" w:hAnsi="Times New Roman" w:cs="Times New Roman"/>
                <w:bCs/>
                <w:sz w:val="24"/>
              </w:rPr>
              <w:t>m</w:t>
            </w:r>
            <w:r>
              <w:rPr>
                <w:rFonts w:hint="default" w:ascii="Times New Roman" w:hAnsi="Times New Roman" w:cs="Times New Roman"/>
                <w:bCs/>
                <w:sz w:val="24"/>
                <w:vertAlign w:val="superscript"/>
              </w:rPr>
              <w:t>3</w:t>
            </w:r>
            <w:r>
              <w:rPr>
                <w:rFonts w:hint="default" w:ascii="Times New Roman" w:hAnsi="Times New Roman" w:cs="Times New Roman"/>
                <w:bCs/>
                <w:sz w:val="24"/>
              </w:rPr>
              <w:t>应急事故池，</w:t>
            </w:r>
            <w:r>
              <w:rPr>
                <w:rFonts w:hint="default" w:ascii="Times New Roman" w:hAnsi="Times New Roman" w:cs="Times New Roman"/>
                <w:sz w:val="24"/>
              </w:rPr>
              <w:t>应急事故池</w:t>
            </w:r>
            <w:bookmarkEnd w:id="25"/>
            <w:bookmarkEnd w:id="26"/>
            <w:r>
              <w:rPr>
                <w:rFonts w:hint="default" w:ascii="Times New Roman" w:hAnsi="Times New Roman" w:cs="Times New Roman"/>
                <w:sz w:val="24"/>
              </w:rPr>
              <w:t>容积能满足全厂事故水容纳需求。</w:t>
            </w:r>
          </w:p>
          <w:p w14:paraId="509FFE7A">
            <w:pPr>
              <w:pStyle w:val="61"/>
              <w:kinsoku/>
              <w:adjustRightInd/>
              <w:snapToGrid/>
              <w:spacing w:before="0" w:line="360" w:lineRule="auto"/>
              <w:ind w:firstLine="0"/>
              <w:rPr>
                <w:rFonts w:ascii="Times New Roman" w:hAnsi="Times New Roman" w:eastAsia="宋体" w:cs="Times New Roman"/>
                <w:b/>
                <w:bCs/>
                <w:kern w:val="2"/>
                <w:sz w:val="24"/>
                <w:lang w:eastAsia="zh-CN"/>
              </w:rPr>
            </w:pPr>
            <w:r>
              <w:rPr>
                <w:rFonts w:hint="eastAsia" w:ascii="Times New Roman" w:hAnsi="Times New Roman" w:eastAsia="宋体" w:cs="Times New Roman"/>
                <w:b/>
                <w:bCs/>
                <w:kern w:val="2"/>
                <w:sz w:val="24"/>
                <w:lang w:eastAsia="zh-CN"/>
              </w:rPr>
              <w:t>7、电磁辐射</w:t>
            </w:r>
          </w:p>
          <w:p w14:paraId="24F25FD8">
            <w:pPr>
              <w:pStyle w:val="61"/>
              <w:kinsoku/>
              <w:adjustRightInd/>
              <w:snapToGrid/>
              <w:spacing w:before="0" w:line="360" w:lineRule="auto"/>
              <w:ind w:firstLine="440" w:firstLineChars="200"/>
              <w:rPr>
                <w:rFonts w:hint="eastAsia" w:eastAsia="宋体" w:cs="宋体"/>
                <w:b/>
                <w:bCs/>
                <w:kern w:val="2"/>
                <w:sz w:val="24"/>
                <w:szCs w:val="24"/>
                <w:lang w:eastAsia="zh-CN"/>
              </w:rPr>
            </w:pPr>
            <w:r>
              <w:rPr>
                <w:rFonts w:hint="eastAsia" w:eastAsia="宋体" w:cs="宋体"/>
                <w:bCs/>
                <w:color w:val="auto"/>
                <w:spacing w:val="-10"/>
                <w:sz w:val="24"/>
                <w:szCs w:val="24"/>
                <w:lang w:eastAsia="zh-CN"/>
              </w:rPr>
              <w:t>本项目不涉及电磁辐射，故不对该部分内容进行分析。</w:t>
            </w:r>
          </w:p>
          <w:p w14:paraId="0153ACED">
            <w:pPr>
              <w:pStyle w:val="61"/>
              <w:numPr>
                <w:ilvl w:val="0"/>
                <w:numId w:val="7"/>
              </w:numPr>
              <w:kinsoku/>
              <w:adjustRightInd/>
              <w:snapToGrid/>
              <w:spacing w:before="0" w:line="360" w:lineRule="auto"/>
              <w:ind w:firstLine="0"/>
              <w:rPr>
                <w:rFonts w:ascii="Times New Roman" w:hAnsi="Times New Roman" w:eastAsia="宋体" w:cs="Times New Roman"/>
                <w:b/>
                <w:bCs/>
                <w:kern w:val="2"/>
                <w:sz w:val="24"/>
                <w:lang w:eastAsia="zh-CN"/>
              </w:rPr>
            </w:pPr>
            <w:r>
              <w:rPr>
                <w:rFonts w:hint="eastAsia" w:ascii="Times New Roman" w:hAnsi="Times New Roman" w:eastAsia="宋体" w:cs="Times New Roman"/>
                <w:b/>
                <w:bCs/>
                <w:kern w:val="2"/>
                <w:sz w:val="24"/>
                <w:lang w:eastAsia="zh-CN"/>
              </w:rPr>
              <w:t>建设项目环保投资概算</w:t>
            </w:r>
          </w:p>
          <w:p w14:paraId="021DB035">
            <w:pPr>
              <w:kinsoku/>
              <w:adjustRightInd/>
              <w:snapToGrid/>
              <w:spacing w:line="360" w:lineRule="auto"/>
              <w:ind w:firstLine="480" w:firstLineChars="200"/>
              <w:jc w:val="both"/>
              <w:rPr>
                <w:rFonts w:ascii="Times New Roman" w:hAnsi="Times New Roman" w:eastAsia="宋体" w:cs="Times New Roman"/>
                <w:b/>
                <w:bCs/>
                <w:color w:val="auto"/>
                <w:sz w:val="24"/>
                <w:szCs w:val="24"/>
                <w:lang w:eastAsia="zh-CN"/>
              </w:rPr>
            </w:pPr>
            <w:r>
              <w:rPr>
                <w:rFonts w:hint="eastAsia" w:ascii="宋体" w:hAnsi="宋体" w:eastAsia="宋体" w:cs="宋体"/>
                <w:color w:val="auto"/>
                <w:sz w:val="24"/>
                <w:szCs w:val="24"/>
                <w:lang w:eastAsia="zh-CN"/>
              </w:rPr>
              <w:t>本项目环保设施投资概算见下表。</w:t>
            </w:r>
          </w:p>
          <w:p w14:paraId="47FD85E5">
            <w:pPr>
              <w:kinsoku/>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sz w:val="24"/>
                <w:szCs w:val="24"/>
                <w:lang w:eastAsia="zh-CN"/>
              </w:rPr>
              <w:t>表4-</w:t>
            </w:r>
            <w:r>
              <w:rPr>
                <w:rFonts w:hint="eastAsia"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val="en-US" w:eastAsia="zh-CN"/>
              </w:rPr>
              <w:t>8</w:t>
            </w:r>
            <w:r>
              <w:rPr>
                <w:rFonts w:ascii="Times New Roman" w:hAnsi="Times New Roman" w:eastAsia="宋体" w:cs="Times New Roman"/>
                <w:b/>
                <w:bCs/>
                <w:color w:val="auto"/>
                <w:sz w:val="24"/>
                <w:szCs w:val="24"/>
                <w:lang w:eastAsia="zh-CN"/>
              </w:rPr>
              <w:t xml:space="preserve"> 本项目环保设施投资概算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2627"/>
              <w:gridCol w:w="4085"/>
              <w:gridCol w:w="1509"/>
            </w:tblGrid>
            <w:tr w14:paraId="4D48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tcBorders>
                    <w:top w:val="single" w:color="auto" w:sz="4" w:space="0"/>
                    <w:left w:val="single" w:color="auto" w:sz="4" w:space="0"/>
                    <w:bottom w:val="single" w:color="auto" w:sz="4" w:space="0"/>
                    <w:right w:val="single" w:color="auto" w:sz="4" w:space="0"/>
                  </w:tcBorders>
                  <w:vAlign w:val="center"/>
                </w:tcPr>
                <w:p w14:paraId="640680B6">
                  <w:pPr>
                    <w:kinsoku/>
                    <w:jc w:val="center"/>
                    <w:rPr>
                      <w:rFonts w:ascii="Times New Roman" w:hAnsi="Times New Roman" w:eastAsia="宋体" w:cs="Times New Roman"/>
                      <w:b/>
                      <w:bCs/>
                      <w:color w:val="auto"/>
                      <w:kern w:val="24"/>
                    </w:rPr>
                  </w:pPr>
                  <w:r>
                    <w:rPr>
                      <w:rFonts w:ascii="Times New Roman" w:hAnsi="Times New Roman" w:eastAsia="宋体" w:cs="Times New Roman"/>
                      <w:b/>
                      <w:bCs/>
                      <w:color w:val="auto"/>
                      <w:kern w:val="24"/>
                    </w:rPr>
                    <w:t>项目名称</w:t>
                  </w:r>
                </w:p>
              </w:tc>
              <w:tc>
                <w:tcPr>
                  <w:tcW w:w="2627" w:type="dxa"/>
                  <w:tcBorders>
                    <w:top w:val="single" w:color="auto" w:sz="4" w:space="0"/>
                    <w:left w:val="single" w:color="auto" w:sz="4" w:space="0"/>
                    <w:bottom w:val="single" w:color="auto" w:sz="4" w:space="0"/>
                    <w:right w:val="single" w:color="auto" w:sz="4" w:space="0"/>
                  </w:tcBorders>
                  <w:vAlign w:val="center"/>
                </w:tcPr>
                <w:p w14:paraId="6884A187">
                  <w:pPr>
                    <w:kinsoku/>
                    <w:jc w:val="center"/>
                    <w:rPr>
                      <w:rFonts w:ascii="Times New Roman" w:hAnsi="Times New Roman" w:eastAsia="宋体" w:cs="Times New Roman"/>
                      <w:b/>
                      <w:bCs/>
                      <w:color w:val="auto"/>
                      <w:kern w:val="24"/>
                    </w:rPr>
                  </w:pPr>
                  <w:r>
                    <w:rPr>
                      <w:rFonts w:ascii="Times New Roman" w:hAnsi="Times New Roman" w:eastAsia="宋体" w:cs="Times New Roman"/>
                      <w:b/>
                      <w:bCs/>
                      <w:color w:val="auto"/>
                      <w:kern w:val="24"/>
                    </w:rPr>
                    <w:t>治理对象</w:t>
                  </w:r>
                </w:p>
              </w:tc>
              <w:tc>
                <w:tcPr>
                  <w:tcW w:w="4085" w:type="dxa"/>
                  <w:tcBorders>
                    <w:top w:val="single" w:color="auto" w:sz="4" w:space="0"/>
                    <w:left w:val="single" w:color="auto" w:sz="4" w:space="0"/>
                    <w:bottom w:val="single" w:color="auto" w:sz="4" w:space="0"/>
                    <w:right w:val="single" w:color="auto" w:sz="4" w:space="0"/>
                  </w:tcBorders>
                  <w:vAlign w:val="center"/>
                </w:tcPr>
                <w:p w14:paraId="4335A8F6">
                  <w:pPr>
                    <w:kinsoku/>
                    <w:jc w:val="center"/>
                    <w:rPr>
                      <w:rFonts w:ascii="Times New Roman" w:hAnsi="Times New Roman" w:eastAsia="宋体" w:cs="Times New Roman"/>
                      <w:b/>
                      <w:bCs/>
                      <w:color w:val="auto"/>
                      <w:kern w:val="24"/>
                    </w:rPr>
                  </w:pPr>
                  <w:r>
                    <w:rPr>
                      <w:rFonts w:ascii="Times New Roman" w:hAnsi="Times New Roman" w:eastAsia="宋体" w:cs="Times New Roman"/>
                      <w:b/>
                      <w:bCs/>
                      <w:color w:val="auto"/>
                      <w:kern w:val="24"/>
                    </w:rPr>
                    <w:t>建设内容</w:t>
                  </w:r>
                </w:p>
              </w:tc>
              <w:tc>
                <w:tcPr>
                  <w:tcW w:w="1509" w:type="dxa"/>
                  <w:tcBorders>
                    <w:top w:val="single" w:color="auto" w:sz="4" w:space="0"/>
                    <w:left w:val="single" w:color="auto" w:sz="4" w:space="0"/>
                    <w:bottom w:val="single" w:color="auto" w:sz="4" w:space="0"/>
                    <w:right w:val="single" w:color="auto" w:sz="4" w:space="0"/>
                  </w:tcBorders>
                  <w:vAlign w:val="center"/>
                </w:tcPr>
                <w:p w14:paraId="7C9FB4F0">
                  <w:pPr>
                    <w:kinsoku/>
                    <w:jc w:val="center"/>
                    <w:rPr>
                      <w:rFonts w:ascii="Times New Roman" w:hAnsi="Times New Roman" w:eastAsia="宋体" w:cs="Times New Roman"/>
                      <w:b/>
                      <w:bCs/>
                      <w:color w:val="auto"/>
                      <w:kern w:val="24"/>
                    </w:rPr>
                  </w:pPr>
                  <w:r>
                    <w:rPr>
                      <w:rFonts w:ascii="Times New Roman" w:hAnsi="Times New Roman" w:eastAsia="宋体" w:cs="Times New Roman"/>
                      <w:b/>
                      <w:bCs/>
                      <w:color w:val="auto"/>
                      <w:kern w:val="24"/>
                    </w:rPr>
                    <w:t>投资</w:t>
                  </w:r>
                </w:p>
                <w:p w14:paraId="15ED57A5">
                  <w:pPr>
                    <w:kinsoku/>
                    <w:jc w:val="center"/>
                    <w:rPr>
                      <w:rFonts w:ascii="Times New Roman" w:hAnsi="Times New Roman" w:eastAsia="宋体" w:cs="Times New Roman"/>
                      <w:b/>
                      <w:bCs/>
                      <w:color w:val="auto"/>
                      <w:kern w:val="24"/>
                    </w:rPr>
                  </w:pPr>
                  <w:r>
                    <w:rPr>
                      <w:rFonts w:ascii="Times New Roman" w:hAnsi="Times New Roman" w:eastAsia="宋体" w:cs="Times New Roman"/>
                      <w:b/>
                      <w:bCs/>
                      <w:color w:val="auto"/>
                      <w:kern w:val="24"/>
                    </w:rPr>
                    <w:t>（万元）</w:t>
                  </w:r>
                </w:p>
              </w:tc>
            </w:tr>
            <w:tr w14:paraId="138E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restart"/>
                  <w:tcBorders>
                    <w:top w:val="single" w:color="auto" w:sz="4" w:space="0"/>
                    <w:left w:val="single" w:color="auto" w:sz="4" w:space="0"/>
                    <w:right w:val="single" w:color="auto" w:sz="4" w:space="0"/>
                  </w:tcBorders>
                  <w:vAlign w:val="center"/>
                </w:tcPr>
                <w:p w14:paraId="638853BA">
                  <w:pPr>
                    <w:kinsoku/>
                    <w:jc w:val="center"/>
                    <w:rPr>
                      <w:rFonts w:ascii="Times New Roman" w:hAnsi="Times New Roman" w:eastAsia="宋体" w:cs="Times New Roman"/>
                      <w:color w:val="auto"/>
                      <w:kern w:val="24"/>
                    </w:rPr>
                  </w:pPr>
                  <w:r>
                    <w:rPr>
                      <w:rFonts w:ascii="Times New Roman" w:hAnsi="Times New Roman" w:eastAsia="宋体" w:cs="Times New Roman"/>
                      <w:color w:val="auto"/>
                      <w:kern w:val="24"/>
                    </w:rPr>
                    <w:t>废水治理</w:t>
                  </w:r>
                </w:p>
              </w:tc>
              <w:tc>
                <w:tcPr>
                  <w:tcW w:w="2627" w:type="dxa"/>
                  <w:tcBorders>
                    <w:top w:val="single" w:color="auto" w:sz="4" w:space="0"/>
                    <w:left w:val="single" w:color="auto" w:sz="4" w:space="0"/>
                    <w:bottom w:val="single" w:color="auto" w:sz="4" w:space="0"/>
                    <w:right w:val="single" w:color="auto" w:sz="4" w:space="0"/>
                  </w:tcBorders>
                  <w:vAlign w:val="center"/>
                </w:tcPr>
                <w:p w14:paraId="0000E44F">
                  <w:pPr>
                    <w:kinsoku/>
                    <w:jc w:val="center"/>
                    <w:rPr>
                      <w:rFonts w:ascii="Times New Roman" w:hAnsi="Times New Roman" w:eastAsia="宋体" w:cs="Times New Roman"/>
                      <w:color w:val="auto"/>
                      <w:kern w:val="24"/>
                    </w:rPr>
                  </w:pPr>
                  <w:r>
                    <w:rPr>
                      <w:rFonts w:ascii="Times New Roman" w:hAnsi="Times New Roman" w:eastAsia="宋体" w:cs="Times New Roman"/>
                      <w:color w:val="auto"/>
                    </w:rPr>
                    <w:t>生活污水</w:t>
                  </w:r>
                </w:p>
              </w:tc>
              <w:tc>
                <w:tcPr>
                  <w:tcW w:w="4085" w:type="dxa"/>
                  <w:tcBorders>
                    <w:top w:val="single" w:color="auto" w:sz="4" w:space="0"/>
                    <w:left w:val="single" w:color="auto" w:sz="4" w:space="0"/>
                    <w:bottom w:val="single" w:color="auto" w:sz="4" w:space="0"/>
                    <w:right w:val="single" w:color="auto" w:sz="4" w:space="0"/>
                  </w:tcBorders>
                  <w:vAlign w:val="center"/>
                </w:tcPr>
                <w:p w14:paraId="3D436718">
                  <w:pPr>
                    <w:kinsoku/>
                    <w:jc w:val="center"/>
                    <w:rPr>
                      <w:rFonts w:ascii="Times New Roman" w:hAnsi="Times New Roman" w:eastAsia="宋体" w:cs="Times New Roman"/>
                      <w:color w:val="auto"/>
                      <w:kern w:val="24"/>
                    </w:rPr>
                  </w:pPr>
                  <w:r>
                    <w:rPr>
                      <w:rFonts w:hint="eastAsia" w:ascii="Times New Roman" w:hAnsi="Times New Roman" w:eastAsia="宋体" w:cs="Times New Roman"/>
                      <w:color w:val="auto"/>
                      <w:lang w:eastAsia="zh-CN"/>
                    </w:rPr>
                    <w:t>依托现有化粪池</w:t>
                  </w:r>
                  <w:r>
                    <w:rPr>
                      <w:rFonts w:ascii="Times New Roman" w:hAnsi="Times New Roman" w:eastAsia="宋体" w:cs="Times New Roman"/>
                      <w:color w:val="auto"/>
                    </w:rPr>
                    <w:t>处理</w:t>
                  </w:r>
                </w:p>
              </w:tc>
              <w:tc>
                <w:tcPr>
                  <w:tcW w:w="1509" w:type="dxa"/>
                  <w:tcBorders>
                    <w:top w:val="single" w:color="auto" w:sz="4" w:space="0"/>
                    <w:left w:val="single" w:color="auto" w:sz="4" w:space="0"/>
                    <w:bottom w:val="single" w:color="auto" w:sz="4" w:space="0"/>
                    <w:right w:val="single" w:color="auto" w:sz="4" w:space="0"/>
                  </w:tcBorders>
                  <w:vAlign w:val="center"/>
                </w:tcPr>
                <w:p w14:paraId="5DD6C6A1">
                  <w:pPr>
                    <w:pStyle w:val="68"/>
                    <w:kinsoku/>
                    <w:spacing w:before="0" w:after="0" w:line="240" w:lineRule="auto"/>
                    <w:rPr>
                      <w:rFonts w:ascii="Times New Roman" w:hAnsi="Times New Roman" w:eastAsia="宋体" w:cs="Times New Roman"/>
                      <w:color w:val="auto"/>
                      <w:kern w:val="24"/>
                      <w:szCs w:val="21"/>
                      <w:lang w:eastAsia="zh-CN"/>
                    </w:rPr>
                  </w:pPr>
                  <w:r>
                    <w:rPr>
                      <w:rFonts w:hint="eastAsia" w:ascii="Times New Roman" w:hAnsi="Times New Roman" w:eastAsia="宋体" w:cs="Times New Roman"/>
                      <w:color w:val="auto"/>
                      <w:kern w:val="24"/>
                      <w:szCs w:val="21"/>
                      <w:lang w:val="en-US" w:eastAsia="zh-CN"/>
                    </w:rPr>
                    <w:t>0</w:t>
                  </w:r>
                </w:p>
              </w:tc>
            </w:tr>
            <w:tr w14:paraId="394B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continue"/>
                  <w:tcBorders>
                    <w:left w:val="single" w:color="auto" w:sz="4" w:space="0"/>
                    <w:bottom w:val="single" w:color="auto" w:sz="4" w:space="0"/>
                    <w:right w:val="single" w:color="auto" w:sz="4" w:space="0"/>
                  </w:tcBorders>
                  <w:vAlign w:val="center"/>
                </w:tcPr>
                <w:p w14:paraId="3396A6D7">
                  <w:pPr>
                    <w:kinsoku/>
                    <w:jc w:val="center"/>
                    <w:rPr>
                      <w:rFonts w:ascii="Times New Roman" w:hAnsi="Times New Roman" w:eastAsia="宋体" w:cs="Times New Roman"/>
                      <w:color w:val="auto"/>
                      <w:kern w:val="24"/>
                    </w:rPr>
                  </w:pPr>
                </w:p>
              </w:tc>
              <w:tc>
                <w:tcPr>
                  <w:tcW w:w="2627" w:type="dxa"/>
                  <w:tcBorders>
                    <w:top w:val="single" w:color="auto" w:sz="4" w:space="0"/>
                    <w:left w:val="single" w:color="auto" w:sz="4" w:space="0"/>
                    <w:bottom w:val="single" w:color="auto" w:sz="4" w:space="0"/>
                    <w:right w:val="single" w:color="auto" w:sz="4" w:space="0"/>
                  </w:tcBorders>
                  <w:vAlign w:val="center"/>
                </w:tcPr>
                <w:p w14:paraId="2238B114">
                  <w:pPr>
                    <w:kinsoku/>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生产废水</w:t>
                  </w:r>
                </w:p>
              </w:tc>
              <w:tc>
                <w:tcPr>
                  <w:tcW w:w="4085" w:type="dxa"/>
                  <w:tcBorders>
                    <w:top w:val="single" w:color="auto" w:sz="4" w:space="0"/>
                    <w:left w:val="single" w:color="auto" w:sz="4" w:space="0"/>
                    <w:bottom w:val="single" w:color="auto" w:sz="4" w:space="0"/>
                    <w:right w:val="single" w:color="auto" w:sz="4" w:space="0"/>
                  </w:tcBorders>
                  <w:vAlign w:val="center"/>
                </w:tcPr>
                <w:p w14:paraId="18CB1115">
                  <w:pPr>
                    <w:kinsoku/>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将原有项目污水处理站搬迁至本项目；日常运维</w:t>
                  </w:r>
                </w:p>
              </w:tc>
              <w:tc>
                <w:tcPr>
                  <w:tcW w:w="1509" w:type="dxa"/>
                  <w:tcBorders>
                    <w:top w:val="single" w:color="auto" w:sz="4" w:space="0"/>
                    <w:left w:val="single" w:color="auto" w:sz="4" w:space="0"/>
                    <w:bottom w:val="single" w:color="auto" w:sz="4" w:space="0"/>
                    <w:right w:val="single" w:color="auto" w:sz="4" w:space="0"/>
                  </w:tcBorders>
                  <w:vAlign w:val="center"/>
                </w:tcPr>
                <w:p w14:paraId="752B2420">
                  <w:pPr>
                    <w:pStyle w:val="68"/>
                    <w:kinsoku/>
                    <w:spacing w:before="0" w:after="0" w:line="240" w:lineRule="auto"/>
                    <w:rPr>
                      <w:rFonts w:hint="default" w:ascii="Times New Roman" w:hAnsi="Times New Roman" w:eastAsia="宋体" w:cs="Times New Roman"/>
                      <w:color w:val="auto"/>
                      <w:kern w:val="24"/>
                      <w:szCs w:val="21"/>
                      <w:lang w:val="en-US" w:eastAsia="zh-CN"/>
                    </w:rPr>
                  </w:pPr>
                  <w:r>
                    <w:rPr>
                      <w:rFonts w:hint="eastAsia" w:ascii="Times New Roman" w:hAnsi="Times New Roman" w:eastAsia="宋体" w:cs="Times New Roman"/>
                      <w:color w:val="auto"/>
                      <w:kern w:val="24"/>
                      <w:szCs w:val="21"/>
                      <w:lang w:val="en-US" w:eastAsia="zh-CN"/>
                    </w:rPr>
                    <w:t>20</w:t>
                  </w:r>
                </w:p>
              </w:tc>
            </w:tr>
            <w:tr w14:paraId="405D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restart"/>
                  <w:tcBorders>
                    <w:top w:val="single" w:color="auto" w:sz="4" w:space="0"/>
                    <w:left w:val="single" w:color="auto" w:sz="4" w:space="0"/>
                    <w:right w:val="single" w:color="auto" w:sz="4" w:space="0"/>
                  </w:tcBorders>
                  <w:vAlign w:val="center"/>
                </w:tcPr>
                <w:p w14:paraId="6FB26ACF">
                  <w:pPr>
                    <w:kinsoku/>
                    <w:jc w:val="center"/>
                    <w:rPr>
                      <w:rFonts w:ascii="Times New Roman" w:hAnsi="Times New Roman" w:eastAsia="宋体" w:cs="Times New Roman"/>
                      <w:color w:val="auto"/>
                      <w:kern w:val="24"/>
                    </w:rPr>
                  </w:pPr>
                  <w:r>
                    <w:rPr>
                      <w:rFonts w:ascii="Times New Roman" w:hAnsi="Times New Roman" w:eastAsia="宋体" w:cs="Times New Roman"/>
                      <w:color w:val="auto"/>
                      <w:kern w:val="24"/>
                    </w:rPr>
                    <w:t>废气治理</w:t>
                  </w:r>
                </w:p>
              </w:tc>
              <w:tc>
                <w:tcPr>
                  <w:tcW w:w="2627" w:type="dxa"/>
                  <w:tcBorders>
                    <w:top w:val="single" w:color="auto" w:sz="4" w:space="0"/>
                    <w:left w:val="single" w:color="auto" w:sz="4" w:space="0"/>
                    <w:bottom w:val="single" w:color="auto" w:sz="4" w:space="0"/>
                    <w:right w:val="single" w:color="auto" w:sz="4" w:space="0"/>
                  </w:tcBorders>
                  <w:vAlign w:val="center"/>
                </w:tcPr>
                <w:p w14:paraId="2AB8853B">
                  <w:pPr>
                    <w:kinsoku/>
                    <w:jc w:val="center"/>
                    <w:rPr>
                      <w:rFonts w:ascii="Times New Roman" w:hAnsi="Times New Roman" w:eastAsia="宋体" w:cs="Times New Roman"/>
                      <w:color w:val="auto"/>
                      <w:kern w:val="24"/>
                    </w:rPr>
                  </w:pPr>
                  <w:r>
                    <w:rPr>
                      <w:rFonts w:hint="eastAsia" w:ascii="Times New Roman" w:hAnsi="Times New Roman" w:eastAsia="宋体" w:cs="Times New Roman"/>
                      <w:color w:val="auto"/>
                      <w:lang w:eastAsia="zh-CN"/>
                    </w:rPr>
                    <w:t>切割下料、焊接</w:t>
                  </w:r>
                  <w:r>
                    <w:rPr>
                      <w:rFonts w:ascii="Times New Roman" w:hAnsi="Times New Roman" w:eastAsia="宋体" w:cs="Times New Roman"/>
                      <w:color w:val="auto"/>
                      <w:lang w:eastAsia="zh-CN"/>
                    </w:rPr>
                    <w:t>废气</w:t>
                  </w:r>
                </w:p>
              </w:tc>
              <w:tc>
                <w:tcPr>
                  <w:tcW w:w="4085" w:type="dxa"/>
                  <w:tcBorders>
                    <w:top w:val="single" w:color="auto" w:sz="4" w:space="0"/>
                    <w:left w:val="single" w:color="auto" w:sz="4" w:space="0"/>
                    <w:right w:val="single" w:color="auto" w:sz="4" w:space="0"/>
                  </w:tcBorders>
                  <w:vAlign w:val="center"/>
                </w:tcPr>
                <w:p w14:paraId="03DBEFFE">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集气罩</w:t>
                  </w:r>
                  <w:r>
                    <w:rPr>
                      <w:rFonts w:hint="eastAsia" w:ascii="Times New Roman" w:hAnsi="Times New Roman" w:eastAsia="宋体" w:cs="Times New Roman"/>
                      <w:color w:val="000000" w:themeColor="text1"/>
                      <w:lang w:val="en-US" w:eastAsia="zh-CN"/>
                      <w14:textFill>
                        <w14:solidFill>
                          <w14:schemeClr w14:val="tx1"/>
                        </w14:solidFill>
                      </w14:textFill>
                    </w:rPr>
                    <w:t>收集+</w:t>
                  </w:r>
                  <w:r>
                    <w:rPr>
                      <w:rFonts w:ascii="Times New Roman" w:hAnsi="Times New Roman" w:eastAsia="宋体" w:cs="Times New Roman"/>
                      <w:color w:val="000000" w:themeColor="text1"/>
                      <w:lang w:eastAsia="zh-CN"/>
                      <w14:textFill>
                        <w14:solidFill>
                          <w14:schemeClr w14:val="tx1"/>
                        </w14:solidFill>
                      </w14:textFill>
                    </w:rPr>
                    <w:t>袋式除尘器</w:t>
                  </w:r>
                  <w:r>
                    <w:rPr>
                      <w:rFonts w:hint="eastAsia" w:ascii="Times New Roman" w:hAnsi="Times New Roman"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m高排气筒排放（DA001）</w:t>
                  </w:r>
                </w:p>
              </w:tc>
              <w:tc>
                <w:tcPr>
                  <w:tcW w:w="1509" w:type="dxa"/>
                  <w:vMerge w:val="restart"/>
                  <w:tcBorders>
                    <w:top w:val="single" w:color="auto" w:sz="4" w:space="0"/>
                    <w:left w:val="single" w:color="auto" w:sz="4" w:space="0"/>
                    <w:right w:val="single" w:color="auto" w:sz="4" w:space="0"/>
                  </w:tcBorders>
                  <w:vAlign w:val="center"/>
                </w:tcPr>
                <w:p w14:paraId="5E212F51">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auto"/>
                      <w:kern w:val="24"/>
                      <w:lang w:val="en-US" w:eastAsia="zh-CN"/>
                    </w:rPr>
                    <w:t>90</w:t>
                  </w:r>
                </w:p>
              </w:tc>
            </w:tr>
            <w:tr w14:paraId="5DC4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continue"/>
                  <w:tcBorders>
                    <w:left w:val="single" w:color="auto" w:sz="4" w:space="0"/>
                    <w:right w:val="single" w:color="auto" w:sz="4" w:space="0"/>
                  </w:tcBorders>
                  <w:vAlign w:val="center"/>
                </w:tcPr>
                <w:p w14:paraId="4E35857E">
                  <w:pPr>
                    <w:kinsoku/>
                    <w:jc w:val="center"/>
                    <w:rPr>
                      <w:rFonts w:ascii="Times New Roman" w:hAnsi="Times New Roman" w:eastAsia="宋体" w:cs="Times New Roman"/>
                      <w:color w:val="auto"/>
                      <w:kern w:val="24"/>
                    </w:rPr>
                  </w:pPr>
                </w:p>
              </w:tc>
              <w:tc>
                <w:tcPr>
                  <w:tcW w:w="2627" w:type="dxa"/>
                  <w:tcBorders>
                    <w:top w:val="single" w:color="auto" w:sz="4" w:space="0"/>
                    <w:left w:val="single" w:color="auto" w:sz="4" w:space="0"/>
                    <w:bottom w:val="single" w:color="auto" w:sz="4" w:space="0"/>
                    <w:right w:val="single" w:color="auto" w:sz="4" w:space="0"/>
                  </w:tcBorders>
                  <w:vAlign w:val="center"/>
                </w:tcPr>
                <w:p w14:paraId="764F0DC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抛丸</w:t>
                  </w:r>
                  <w:r>
                    <w:rPr>
                      <w:rFonts w:ascii="Times New Roman" w:hAnsi="Times New Roman" w:eastAsia="宋体" w:cs="Times New Roman"/>
                      <w:color w:val="000000" w:themeColor="text1"/>
                      <w:lang w:eastAsia="zh-CN"/>
                      <w14:textFill>
                        <w14:solidFill>
                          <w14:schemeClr w14:val="tx1"/>
                        </w14:solidFill>
                      </w14:textFill>
                    </w:rPr>
                    <w:t>废气</w:t>
                  </w:r>
                </w:p>
              </w:tc>
              <w:tc>
                <w:tcPr>
                  <w:tcW w:w="4085" w:type="dxa"/>
                  <w:tcBorders>
                    <w:left w:val="single" w:color="auto" w:sz="4" w:space="0"/>
                    <w:bottom w:val="single" w:color="auto" w:sz="4" w:space="0"/>
                    <w:right w:val="single" w:color="auto" w:sz="4" w:space="0"/>
                  </w:tcBorders>
                  <w:vAlign w:val="center"/>
                </w:tcPr>
                <w:p w14:paraId="51D1B2A3">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抛丸机内部</w:t>
                  </w:r>
                  <w:r>
                    <w:rPr>
                      <w:rFonts w:hint="eastAsia" w:ascii="Times New Roman" w:hAnsi="Times New Roman" w:eastAsia="宋体" w:cs="Times New Roman"/>
                      <w:color w:val="000000" w:themeColor="text1"/>
                      <w:lang w:val="en-US" w:eastAsia="zh-CN"/>
                      <w14:textFill>
                        <w14:solidFill>
                          <w14:schemeClr w14:val="tx1"/>
                        </w14:solidFill>
                      </w14:textFill>
                    </w:rPr>
                    <w:t>收集+</w:t>
                  </w:r>
                  <w:r>
                    <w:rPr>
                      <w:rFonts w:ascii="Times New Roman" w:hAnsi="Times New Roman" w:eastAsia="宋体" w:cs="Times New Roman"/>
                      <w:color w:val="000000" w:themeColor="text1"/>
                      <w:lang w:eastAsia="zh-CN"/>
                      <w14:textFill>
                        <w14:solidFill>
                          <w14:schemeClr w14:val="tx1"/>
                        </w14:solidFill>
                      </w14:textFill>
                    </w:rPr>
                    <w:t>袋式除尘器</w:t>
                  </w:r>
                  <w:r>
                    <w:rPr>
                      <w:rFonts w:hint="eastAsia" w:ascii="Times New Roman" w:hAnsi="Times New Roman"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1</w:t>
                  </w:r>
                  <w:r>
                    <w:rPr>
                      <w:rFonts w:ascii="Times New Roman" w:hAnsi="Times New Roman" w:eastAsia="宋体" w:cs="Times New Roman"/>
                      <w:color w:val="000000" w:themeColor="text1"/>
                      <w:kern w:val="24"/>
                      <w:lang w:eastAsia="zh-CN"/>
                      <w14:textFill>
                        <w14:solidFill>
                          <w14:schemeClr w14:val="tx1"/>
                        </w14:solidFill>
                      </w14:textFill>
                    </w:rPr>
                    <w:t>）</w:t>
                  </w:r>
                </w:p>
              </w:tc>
              <w:tc>
                <w:tcPr>
                  <w:tcW w:w="1509" w:type="dxa"/>
                  <w:vMerge w:val="continue"/>
                  <w:tcBorders>
                    <w:left w:val="single" w:color="auto" w:sz="4" w:space="0"/>
                    <w:right w:val="single" w:color="auto" w:sz="4" w:space="0"/>
                  </w:tcBorders>
                  <w:vAlign w:val="center"/>
                </w:tcPr>
                <w:p w14:paraId="5ECBB9AE">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5E07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continue"/>
                  <w:tcBorders>
                    <w:left w:val="single" w:color="auto" w:sz="4" w:space="0"/>
                    <w:right w:val="single" w:color="auto" w:sz="4" w:space="0"/>
                  </w:tcBorders>
                  <w:vAlign w:val="center"/>
                </w:tcPr>
                <w:p w14:paraId="11AD0F90">
                  <w:pPr>
                    <w:kinsoku/>
                    <w:jc w:val="center"/>
                    <w:rPr>
                      <w:rFonts w:ascii="Times New Roman" w:hAnsi="Times New Roman" w:eastAsia="宋体" w:cs="Times New Roman"/>
                      <w:color w:val="auto"/>
                      <w:kern w:val="24"/>
                    </w:rPr>
                  </w:pPr>
                </w:p>
              </w:tc>
              <w:tc>
                <w:tcPr>
                  <w:tcW w:w="2627" w:type="dxa"/>
                  <w:tcBorders>
                    <w:top w:val="single" w:color="auto" w:sz="4" w:space="0"/>
                    <w:left w:val="single" w:color="auto" w:sz="4" w:space="0"/>
                    <w:bottom w:val="single" w:color="auto" w:sz="4" w:space="0"/>
                    <w:right w:val="single" w:color="auto" w:sz="4" w:space="0"/>
                  </w:tcBorders>
                  <w:vAlign w:val="center"/>
                </w:tcPr>
                <w:p w14:paraId="68755E55">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喷塑废气</w:t>
                  </w:r>
                </w:p>
              </w:tc>
              <w:tc>
                <w:tcPr>
                  <w:tcW w:w="4085" w:type="dxa"/>
                  <w:tcBorders>
                    <w:left w:val="single" w:color="auto" w:sz="4" w:space="0"/>
                    <w:right w:val="single" w:color="auto" w:sz="4" w:space="0"/>
                  </w:tcBorders>
                  <w:vAlign w:val="center"/>
                </w:tcPr>
                <w:p w14:paraId="2D69AA7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4"/>
                      <w:lang w:eastAsia="zh-CN"/>
                      <w14:textFill>
                        <w14:solidFill>
                          <w14:schemeClr w14:val="tx1"/>
                        </w14:solidFill>
                      </w14:textFill>
                    </w:rPr>
                    <w:t>喷塑</w:t>
                  </w:r>
                  <w:r>
                    <w:rPr>
                      <w:rFonts w:hint="eastAsia" w:ascii="Times New Roman" w:hAnsi="Times New Roman" w:eastAsia="宋体" w:cs="Times New Roman"/>
                      <w:color w:val="000000" w:themeColor="text1"/>
                      <w:kern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4"/>
                      <w:lang w:eastAsia="zh-CN"/>
                      <w14:textFill>
                        <w14:solidFill>
                          <w14:schemeClr w14:val="tx1"/>
                        </w14:solidFill>
                      </w14:textFill>
                    </w:rPr>
                    <w:t>密闭收集</w:t>
                  </w:r>
                  <w:r>
                    <w:rPr>
                      <w:rFonts w:hint="eastAsia" w:ascii="Times New Roman" w:hAnsi="Times New Roman" w:eastAsia="宋体" w:cs="Times New Roman"/>
                      <w:color w:val="000000" w:themeColor="text1"/>
                      <w:kern w:val="24"/>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滤芯</w:t>
                  </w:r>
                  <w:r>
                    <w:rPr>
                      <w:rFonts w:ascii="Times New Roman" w:hAnsi="Times New Roman" w:eastAsia="宋体" w:cs="Times New Roman"/>
                      <w:color w:val="000000" w:themeColor="text1"/>
                      <w:lang w:eastAsia="zh-CN"/>
                      <w14:textFill>
                        <w14:solidFill>
                          <w14:schemeClr w14:val="tx1"/>
                        </w14:solidFill>
                      </w14:textFill>
                    </w:rPr>
                    <w:t>除尘器</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2</w:t>
                  </w:r>
                  <w:r>
                    <w:rPr>
                      <w:rFonts w:ascii="Times New Roman" w:hAnsi="Times New Roman" w:eastAsia="宋体" w:cs="Times New Roman"/>
                      <w:color w:val="000000" w:themeColor="text1"/>
                      <w:kern w:val="24"/>
                      <w:lang w:eastAsia="zh-CN"/>
                      <w14:textFill>
                        <w14:solidFill>
                          <w14:schemeClr w14:val="tx1"/>
                        </w14:solidFill>
                      </w14:textFill>
                    </w:rPr>
                    <w:t>）</w:t>
                  </w:r>
                </w:p>
              </w:tc>
              <w:tc>
                <w:tcPr>
                  <w:tcW w:w="1509" w:type="dxa"/>
                  <w:vMerge w:val="continue"/>
                  <w:tcBorders>
                    <w:left w:val="single" w:color="auto" w:sz="4" w:space="0"/>
                    <w:right w:val="single" w:color="auto" w:sz="4" w:space="0"/>
                  </w:tcBorders>
                  <w:vAlign w:val="center"/>
                </w:tcPr>
                <w:p w14:paraId="3F9CE0DB">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14:paraId="7777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continue"/>
                  <w:tcBorders>
                    <w:left w:val="single" w:color="auto" w:sz="4" w:space="0"/>
                    <w:right w:val="single" w:color="auto" w:sz="4" w:space="0"/>
                  </w:tcBorders>
                  <w:vAlign w:val="center"/>
                </w:tcPr>
                <w:p w14:paraId="729796D5">
                  <w:pPr>
                    <w:kinsoku/>
                    <w:jc w:val="center"/>
                    <w:rPr>
                      <w:rFonts w:ascii="Times New Roman" w:hAnsi="Times New Roman" w:eastAsia="宋体" w:cs="Times New Roman"/>
                      <w:color w:val="auto"/>
                      <w:kern w:val="24"/>
                    </w:rPr>
                  </w:pPr>
                </w:p>
              </w:tc>
              <w:tc>
                <w:tcPr>
                  <w:tcW w:w="2627" w:type="dxa"/>
                  <w:tcBorders>
                    <w:top w:val="single" w:color="auto" w:sz="4" w:space="0"/>
                    <w:left w:val="single" w:color="auto" w:sz="4" w:space="0"/>
                    <w:bottom w:val="single" w:color="auto" w:sz="4" w:space="0"/>
                    <w:right w:val="single" w:color="auto" w:sz="4" w:space="0"/>
                  </w:tcBorders>
                  <w:vAlign w:val="center"/>
                </w:tcPr>
                <w:p w14:paraId="6DD10709">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喷塑固化、</w:t>
                  </w:r>
                  <w:r>
                    <w:rPr>
                      <w:rFonts w:hint="eastAsia" w:ascii="Times New Roman" w:hAnsi="Times New Roman" w:eastAsia="宋体" w:cs="Times New Roman"/>
                      <w:color w:val="000000" w:themeColor="text1"/>
                      <w:lang w:eastAsia="zh-CN"/>
                      <w14:textFill>
                        <w14:solidFill>
                          <w14:schemeClr w14:val="tx1"/>
                        </w14:solidFill>
                      </w14:textFill>
                    </w:rPr>
                    <w:t>电泳及烘干</w:t>
                  </w:r>
                </w:p>
              </w:tc>
              <w:tc>
                <w:tcPr>
                  <w:tcW w:w="4085" w:type="dxa"/>
                  <w:tcBorders>
                    <w:left w:val="single" w:color="auto" w:sz="4" w:space="0"/>
                    <w:bottom w:val="single" w:color="auto" w:sz="4" w:space="0"/>
                    <w:right w:val="single" w:color="auto" w:sz="4" w:space="0"/>
                  </w:tcBorders>
                  <w:vAlign w:val="center"/>
                </w:tcPr>
                <w:p w14:paraId="5C23B29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+二级活性炭+</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3</w:t>
                  </w:r>
                  <w:r>
                    <w:rPr>
                      <w:rFonts w:ascii="Times New Roman" w:hAnsi="Times New Roman" w:eastAsia="宋体" w:cs="Times New Roman"/>
                      <w:color w:val="000000" w:themeColor="text1"/>
                      <w:kern w:val="24"/>
                      <w:lang w:eastAsia="zh-CN"/>
                      <w14:textFill>
                        <w14:solidFill>
                          <w14:schemeClr w14:val="tx1"/>
                        </w14:solidFill>
                      </w14:textFill>
                    </w:rPr>
                    <w:t>）</w:t>
                  </w:r>
                </w:p>
              </w:tc>
              <w:tc>
                <w:tcPr>
                  <w:tcW w:w="1509" w:type="dxa"/>
                  <w:vMerge w:val="continue"/>
                  <w:tcBorders>
                    <w:left w:val="single" w:color="auto" w:sz="4" w:space="0"/>
                    <w:right w:val="single" w:color="auto" w:sz="4" w:space="0"/>
                  </w:tcBorders>
                  <w:vAlign w:val="center"/>
                </w:tcPr>
                <w:p w14:paraId="3C7BAD02">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14:paraId="75F2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continue"/>
                  <w:tcBorders>
                    <w:left w:val="single" w:color="auto" w:sz="4" w:space="0"/>
                    <w:right w:val="single" w:color="auto" w:sz="4" w:space="0"/>
                  </w:tcBorders>
                  <w:vAlign w:val="center"/>
                </w:tcPr>
                <w:p w14:paraId="068A70BF">
                  <w:pPr>
                    <w:kinsoku/>
                    <w:jc w:val="center"/>
                    <w:rPr>
                      <w:rFonts w:ascii="Times New Roman" w:hAnsi="Times New Roman" w:eastAsia="宋体" w:cs="Times New Roman"/>
                      <w:color w:val="auto"/>
                      <w:kern w:val="24"/>
                    </w:rPr>
                  </w:pPr>
                </w:p>
              </w:tc>
              <w:tc>
                <w:tcPr>
                  <w:tcW w:w="2627" w:type="dxa"/>
                  <w:tcBorders>
                    <w:top w:val="single" w:color="auto" w:sz="4" w:space="0"/>
                    <w:left w:val="single" w:color="auto" w:sz="4" w:space="0"/>
                    <w:bottom w:val="single" w:color="auto" w:sz="4" w:space="0"/>
                    <w:right w:val="single" w:color="auto" w:sz="4" w:space="0"/>
                  </w:tcBorders>
                  <w:vAlign w:val="center"/>
                </w:tcPr>
                <w:p w14:paraId="482391E2">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酸洗废气</w:t>
                  </w:r>
                </w:p>
              </w:tc>
              <w:tc>
                <w:tcPr>
                  <w:tcW w:w="4085" w:type="dxa"/>
                  <w:tcBorders>
                    <w:left w:val="single" w:color="auto" w:sz="4" w:space="0"/>
                    <w:bottom w:val="single" w:color="auto" w:sz="4" w:space="0"/>
                    <w:right w:val="single" w:color="auto" w:sz="4" w:space="0"/>
                  </w:tcBorders>
                  <w:vAlign w:val="center"/>
                </w:tcPr>
                <w:p w14:paraId="7BDA136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+碱液喷淋塔</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4</w:t>
                  </w:r>
                  <w:r>
                    <w:rPr>
                      <w:rFonts w:ascii="Times New Roman" w:hAnsi="Times New Roman" w:eastAsia="宋体" w:cs="Times New Roman"/>
                      <w:color w:val="000000" w:themeColor="text1"/>
                      <w:kern w:val="24"/>
                      <w:lang w:eastAsia="zh-CN"/>
                      <w14:textFill>
                        <w14:solidFill>
                          <w14:schemeClr w14:val="tx1"/>
                        </w14:solidFill>
                      </w14:textFill>
                    </w:rPr>
                    <w:t>）</w:t>
                  </w:r>
                </w:p>
              </w:tc>
              <w:tc>
                <w:tcPr>
                  <w:tcW w:w="1509" w:type="dxa"/>
                  <w:vMerge w:val="continue"/>
                  <w:tcBorders>
                    <w:left w:val="single" w:color="auto" w:sz="4" w:space="0"/>
                    <w:right w:val="single" w:color="auto" w:sz="4" w:space="0"/>
                  </w:tcBorders>
                  <w:vAlign w:val="center"/>
                </w:tcPr>
                <w:p w14:paraId="2BFCB7B1">
                  <w:pPr>
                    <w:kinsoku/>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14:paraId="7737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vMerge w:val="continue"/>
                  <w:tcBorders>
                    <w:left w:val="single" w:color="auto" w:sz="4" w:space="0"/>
                    <w:right w:val="single" w:color="auto" w:sz="4" w:space="0"/>
                  </w:tcBorders>
                  <w:vAlign w:val="center"/>
                </w:tcPr>
                <w:p w14:paraId="65FC338E">
                  <w:pPr>
                    <w:kinsoku/>
                    <w:jc w:val="center"/>
                    <w:rPr>
                      <w:rFonts w:ascii="Times New Roman" w:hAnsi="Times New Roman" w:eastAsia="宋体" w:cs="Times New Roman"/>
                      <w:color w:val="auto"/>
                      <w:kern w:val="24"/>
                    </w:rPr>
                  </w:pPr>
                </w:p>
              </w:tc>
              <w:tc>
                <w:tcPr>
                  <w:tcW w:w="2627" w:type="dxa"/>
                  <w:tcBorders>
                    <w:top w:val="single" w:color="auto" w:sz="4" w:space="0"/>
                    <w:left w:val="single" w:color="auto" w:sz="4" w:space="0"/>
                    <w:bottom w:val="single" w:color="auto" w:sz="4" w:space="0"/>
                    <w:right w:val="single" w:color="auto" w:sz="4" w:space="0"/>
                  </w:tcBorders>
                  <w:vAlign w:val="center"/>
                </w:tcPr>
                <w:p w14:paraId="6E867D00">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危废间废气</w:t>
                  </w:r>
                </w:p>
              </w:tc>
              <w:tc>
                <w:tcPr>
                  <w:tcW w:w="4085" w:type="dxa"/>
                  <w:tcBorders>
                    <w:top w:val="single" w:color="auto" w:sz="4" w:space="0"/>
                    <w:left w:val="single" w:color="auto" w:sz="4" w:space="0"/>
                    <w:bottom w:val="single" w:color="auto" w:sz="4" w:space="0"/>
                    <w:right w:val="single" w:color="auto" w:sz="4" w:space="0"/>
                  </w:tcBorders>
                  <w:vAlign w:val="center"/>
                </w:tcPr>
                <w:p w14:paraId="3876589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密闭负压收集+</w:t>
                  </w:r>
                  <w:r>
                    <w:rPr>
                      <w:rFonts w:hint="eastAsia" w:ascii="Times New Roman" w:hAnsi="Times New Roman" w:eastAsia="宋体" w:cs="Times New Roman"/>
                      <w:color w:val="000000" w:themeColor="text1"/>
                      <w:lang w:eastAsia="zh-CN"/>
                      <w14:textFill>
                        <w14:solidFill>
                          <w14:schemeClr w14:val="tx1"/>
                        </w14:solidFill>
                      </w14:textFill>
                    </w:rPr>
                    <w:t>二级活性炭吸附+</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3</w:t>
                  </w:r>
                  <w:r>
                    <w:rPr>
                      <w:rFonts w:ascii="Times New Roman" w:hAnsi="Times New Roman" w:eastAsia="宋体" w:cs="Times New Roman"/>
                      <w:color w:val="000000" w:themeColor="text1"/>
                      <w:kern w:val="24"/>
                      <w:lang w:eastAsia="zh-CN"/>
                      <w14:textFill>
                        <w14:solidFill>
                          <w14:schemeClr w14:val="tx1"/>
                        </w14:solidFill>
                      </w14:textFill>
                    </w:rPr>
                    <w:t>）</w:t>
                  </w:r>
                </w:p>
              </w:tc>
              <w:tc>
                <w:tcPr>
                  <w:tcW w:w="1509" w:type="dxa"/>
                  <w:vMerge w:val="continue"/>
                  <w:tcBorders>
                    <w:left w:val="single" w:color="auto" w:sz="4" w:space="0"/>
                    <w:bottom w:val="single" w:color="auto" w:sz="4" w:space="0"/>
                    <w:right w:val="single" w:color="auto" w:sz="4" w:space="0"/>
                  </w:tcBorders>
                  <w:vAlign w:val="center"/>
                </w:tcPr>
                <w:p w14:paraId="2F309E59">
                  <w:pPr>
                    <w:kinsoku/>
                    <w:jc w:val="center"/>
                    <w:rPr>
                      <w:rFonts w:ascii="Times New Roman" w:hAnsi="Times New Roman" w:eastAsia="宋体" w:cs="Times New Roman"/>
                      <w:color w:val="000000" w:themeColor="text1"/>
                      <w:lang w:eastAsia="zh-CN"/>
                      <w14:textFill>
                        <w14:solidFill>
                          <w14:schemeClr w14:val="tx1"/>
                        </w14:solidFill>
                      </w14:textFill>
                    </w:rPr>
                  </w:pPr>
                </w:p>
              </w:tc>
            </w:tr>
            <w:tr w14:paraId="5AE6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tcBorders>
                    <w:top w:val="single" w:color="auto" w:sz="4" w:space="0"/>
                    <w:left w:val="single" w:color="auto" w:sz="4" w:space="0"/>
                    <w:bottom w:val="single" w:color="auto" w:sz="4" w:space="0"/>
                    <w:right w:val="single" w:color="auto" w:sz="4" w:space="0"/>
                  </w:tcBorders>
                  <w:vAlign w:val="center"/>
                </w:tcPr>
                <w:p w14:paraId="2AA2C67E">
                  <w:pPr>
                    <w:kinsoku/>
                    <w:jc w:val="center"/>
                    <w:rPr>
                      <w:rFonts w:ascii="Times New Roman" w:hAnsi="Times New Roman" w:eastAsia="宋体" w:cs="Times New Roman"/>
                      <w:color w:val="auto"/>
                      <w:kern w:val="24"/>
                    </w:rPr>
                  </w:pPr>
                  <w:r>
                    <w:rPr>
                      <w:rFonts w:ascii="Times New Roman" w:hAnsi="Times New Roman" w:eastAsia="宋体" w:cs="Times New Roman"/>
                      <w:color w:val="auto"/>
                      <w:kern w:val="24"/>
                    </w:rPr>
                    <w:t>噪声治理</w:t>
                  </w:r>
                </w:p>
              </w:tc>
              <w:tc>
                <w:tcPr>
                  <w:tcW w:w="2627" w:type="dxa"/>
                  <w:tcBorders>
                    <w:top w:val="single" w:color="auto" w:sz="4" w:space="0"/>
                    <w:left w:val="single" w:color="auto" w:sz="4" w:space="0"/>
                    <w:bottom w:val="single" w:color="auto" w:sz="4" w:space="0"/>
                    <w:right w:val="single" w:color="auto" w:sz="4" w:space="0"/>
                  </w:tcBorders>
                  <w:vAlign w:val="center"/>
                </w:tcPr>
                <w:p w14:paraId="41A5AA83">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设备运转噪声</w:t>
                  </w:r>
                </w:p>
              </w:tc>
              <w:tc>
                <w:tcPr>
                  <w:tcW w:w="4085" w:type="dxa"/>
                  <w:tcBorders>
                    <w:top w:val="single" w:color="auto" w:sz="4" w:space="0"/>
                    <w:left w:val="single" w:color="auto" w:sz="4" w:space="0"/>
                    <w:bottom w:val="single" w:color="auto" w:sz="4" w:space="0"/>
                    <w:right w:val="single" w:color="auto" w:sz="4" w:space="0"/>
                  </w:tcBorders>
                  <w:vAlign w:val="center"/>
                </w:tcPr>
                <w:p w14:paraId="0B8B3C29">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合理布局、减振、隔声</w:t>
                  </w:r>
                </w:p>
              </w:tc>
              <w:tc>
                <w:tcPr>
                  <w:tcW w:w="1509" w:type="dxa"/>
                  <w:tcBorders>
                    <w:top w:val="single" w:color="auto" w:sz="4" w:space="0"/>
                    <w:left w:val="single" w:color="auto" w:sz="4" w:space="0"/>
                    <w:bottom w:val="single" w:color="auto" w:sz="4" w:space="0"/>
                    <w:right w:val="single" w:color="auto" w:sz="4" w:space="0"/>
                  </w:tcBorders>
                  <w:vAlign w:val="center"/>
                </w:tcPr>
                <w:p w14:paraId="778F98D4">
                  <w:pPr>
                    <w:kinsoku/>
                    <w:jc w:val="center"/>
                    <w:rPr>
                      <w:rFonts w:ascii="Times New Roman" w:hAnsi="Times New Roman" w:eastAsia="宋体" w:cs="Times New Roman"/>
                      <w:color w:val="auto"/>
                      <w:kern w:val="24"/>
                      <w:lang w:eastAsia="zh-CN"/>
                    </w:rPr>
                  </w:pPr>
                  <w:r>
                    <w:rPr>
                      <w:rFonts w:hint="eastAsia" w:ascii="Times New Roman" w:hAnsi="Times New Roman" w:eastAsia="宋体" w:cs="Times New Roman"/>
                      <w:color w:val="auto"/>
                      <w:kern w:val="24"/>
                      <w:lang w:eastAsia="zh-CN"/>
                    </w:rPr>
                    <w:t>5</w:t>
                  </w:r>
                </w:p>
              </w:tc>
            </w:tr>
            <w:tr w14:paraId="1D46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tcBorders>
                    <w:top w:val="single" w:color="auto" w:sz="4" w:space="0"/>
                    <w:left w:val="single" w:color="auto" w:sz="4" w:space="0"/>
                    <w:bottom w:val="single" w:color="auto" w:sz="4" w:space="0"/>
                    <w:right w:val="single" w:color="auto" w:sz="4" w:space="0"/>
                  </w:tcBorders>
                  <w:vAlign w:val="center"/>
                </w:tcPr>
                <w:p w14:paraId="697C0B4D">
                  <w:pPr>
                    <w:kinsoku/>
                    <w:jc w:val="center"/>
                    <w:rPr>
                      <w:rFonts w:ascii="Times New Roman" w:hAnsi="Times New Roman" w:eastAsia="宋体" w:cs="Times New Roman"/>
                      <w:color w:val="auto"/>
                      <w:kern w:val="24"/>
                    </w:rPr>
                  </w:pPr>
                  <w:r>
                    <w:rPr>
                      <w:rFonts w:ascii="Times New Roman" w:hAnsi="Times New Roman" w:eastAsia="宋体" w:cs="Times New Roman"/>
                      <w:color w:val="auto"/>
                      <w:kern w:val="24"/>
                    </w:rPr>
                    <w:t>固废治理</w:t>
                  </w:r>
                </w:p>
              </w:tc>
              <w:tc>
                <w:tcPr>
                  <w:tcW w:w="2627" w:type="dxa"/>
                  <w:tcBorders>
                    <w:top w:val="single" w:color="auto" w:sz="4" w:space="0"/>
                    <w:left w:val="single" w:color="auto" w:sz="4" w:space="0"/>
                    <w:bottom w:val="single" w:color="auto" w:sz="4" w:space="0"/>
                    <w:right w:val="single" w:color="auto" w:sz="4" w:space="0"/>
                  </w:tcBorders>
                  <w:vAlign w:val="center"/>
                </w:tcPr>
                <w:p w14:paraId="56CA6A3A">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生活垃圾、危险废物、一般固体废物</w:t>
                  </w:r>
                </w:p>
              </w:tc>
              <w:tc>
                <w:tcPr>
                  <w:tcW w:w="4085" w:type="dxa"/>
                  <w:tcBorders>
                    <w:top w:val="single" w:color="auto" w:sz="4" w:space="0"/>
                    <w:left w:val="single" w:color="auto" w:sz="4" w:space="0"/>
                    <w:bottom w:val="single" w:color="auto" w:sz="4" w:space="0"/>
                    <w:right w:val="single" w:color="auto" w:sz="4" w:space="0"/>
                  </w:tcBorders>
                  <w:vAlign w:val="center"/>
                </w:tcPr>
                <w:p w14:paraId="2E5A2A6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设置</w:t>
                  </w:r>
                  <w:r>
                    <w:rPr>
                      <w:rFonts w:ascii="Times New Roman" w:hAnsi="Times New Roman" w:eastAsia="宋体" w:cs="Times New Roman"/>
                      <w:color w:val="000000" w:themeColor="text1"/>
                      <w:lang w:eastAsia="zh-CN"/>
                      <w14:textFill>
                        <w14:solidFill>
                          <w14:schemeClr w14:val="tx1"/>
                        </w14:solidFill>
                      </w14:textFill>
                    </w:rPr>
                    <w:t>垃圾桶，一般固废暂存</w:t>
                  </w:r>
                  <w:r>
                    <w:rPr>
                      <w:rFonts w:hint="eastAsia" w:ascii="Times New Roman" w:hAnsi="Times New Roman" w:eastAsia="宋体" w:cs="Times New Roman"/>
                      <w:color w:val="000000" w:themeColor="text1"/>
                      <w:lang w:eastAsia="zh-CN"/>
                      <w14:textFill>
                        <w14:solidFill>
                          <w14:schemeClr w14:val="tx1"/>
                        </w14:solidFill>
                      </w14:textFill>
                    </w:rPr>
                    <w:t>间</w:t>
                  </w:r>
                  <w:r>
                    <w:rPr>
                      <w:rFonts w:ascii="Times New Roman" w:hAnsi="Times New Roman" w:eastAsia="宋体" w:cs="Times New Roman"/>
                      <w:color w:val="000000" w:themeColor="text1"/>
                      <w:lang w:eastAsia="zh-CN"/>
                      <w14:textFill>
                        <w14:solidFill>
                          <w14:schemeClr w14:val="tx1"/>
                        </w14:solidFill>
                      </w14:textFill>
                    </w:rPr>
                    <w:t>，危险废物暂存间</w:t>
                  </w:r>
                </w:p>
              </w:tc>
              <w:tc>
                <w:tcPr>
                  <w:tcW w:w="1509" w:type="dxa"/>
                  <w:tcBorders>
                    <w:top w:val="single" w:color="auto" w:sz="4" w:space="0"/>
                    <w:left w:val="single" w:color="auto" w:sz="4" w:space="0"/>
                    <w:bottom w:val="single" w:color="auto" w:sz="4" w:space="0"/>
                    <w:right w:val="single" w:color="auto" w:sz="4" w:space="0"/>
                  </w:tcBorders>
                  <w:vAlign w:val="center"/>
                </w:tcPr>
                <w:p w14:paraId="541AA55C">
                  <w:pPr>
                    <w:kinsoku/>
                    <w:jc w:val="center"/>
                    <w:rPr>
                      <w:rFonts w:ascii="Times New Roman" w:hAnsi="Times New Roman" w:eastAsia="宋体" w:cs="Times New Roman"/>
                      <w:color w:val="auto"/>
                      <w:kern w:val="24"/>
                      <w:lang w:eastAsia="zh-CN"/>
                    </w:rPr>
                  </w:pPr>
                  <w:r>
                    <w:rPr>
                      <w:rFonts w:hint="eastAsia" w:ascii="Times New Roman" w:hAnsi="Times New Roman" w:eastAsia="宋体" w:cs="Times New Roman"/>
                      <w:color w:val="auto"/>
                      <w:kern w:val="24"/>
                      <w:lang w:eastAsia="zh-CN"/>
                    </w:rPr>
                    <w:t>20</w:t>
                  </w:r>
                </w:p>
              </w:tc>
            </w:tr>
            <w:tr w14:paraId="3CEF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tcBorders>
                    <w:top w:val="single" w:color="auto" w:sz="4" w:space="0"/>
                    <w:left w:val="single" w:color="auto" w:sz="4" w:space="0"/>
                    <w:bottom w:val="single" w:color="auto" w:sz="4" w:space="0"/>
                    <w:right w:val="single" w:color="auto" w:sz="4" w:space="0"/>
                  </w:tcBorders>
                  <w:vAlign w:val="center"/>
                </w:tcPr>
                <w:p w14:paraId="3B83F40B">
                  <w:pPr>
                    <w:kinsoku/>
                    <w:jc w:val="center"/>
                    <w:rPr>
                      <w:rFonts w:ascii="Times New Roman" w:hAnsi="Times New Roman" w:eastAsia="宋体" w:cs="Times New Roman"/>
                      <w:color w:val="auto"/>
                      <w:kern w:val="24"/>
                    </w:rPr>
                  </w:pPr>
                  <w:r>
                    <w:rPr>
                      <w:rFonts w:ascii="Times New Roman" w:hAnsi="Times New Roman" w:eastAsia="宋体" w:cs="Times New Roman"/>
                      <w:color w:val="auto"/>
                      <w:kern w:val="24"/>
                    </w:rPr>
                    <w:t>地下水及土壤</w:t>
                  </w:r>
                </w:p>
              </w:tc>
              <w:tc>
                <w:tcPr>
                  <w:tcW w:w="2627" w:type="dxa"/>
                  <w:tcBorders>
                    <w:top w:val="single" w:color="auto" w:sz="4" w:space="0"/>
                    <w:left w:val="single" w:color="auto" w:sz="4" w:space="0"/>
                    <w:bottom w:val="single" w:color="auto" w:sz="4" w:space="0"/>
                    <w:right w:val="single" w:color="auto" w:sz="4" w:space="0"/>
                  </w:tcBorders>
                  <w:vAlign w:val="center"/>
                </w:tcPr>
                <w:p w14:paraId="50360F4E">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地下水及土壤</w:t>
                  </w:r>
                </w:p>
              </w:tc>
              <w:tc>
                <w:tcPr>
                  <w:tcW w:w="4085" w:type="dxa"/>
                  <w:tcBorders>
                    <w:top w:val="single" w:color="auto" w:sz="4" w:space="0"/>
                    <w:left w:val="single" w:color="auto" w:sz="4" w:space="0"/>
                    <w:bottom w:val="single" w:color="auto" w:sz="4" w:space="0"/>
                    <w:right w:val="single" w:color="auto" w:sz="4" w:space="0"/>
                  </w:tcBorders>
                  <w:vAlign w:val="center"/>
                </w:tcPr>
                <w:p w14:paraId="44F5FDD9">
                  <w:pPr>
                    <w:kinsoku/>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厂区分区防渗：危险废物暂存间</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酸洗池、磷化池、表调池、电泳池</w:t>
                  </w:r>
                  <w:r>
                    <w:rPr>
                      <w:rFonts w:ascii="Times New Roman" w:hAnsi="Times New Roman" w:eastAsia="宋体" w:cs="Times New Roman"/>
                      <w:color w:val="000000" w:themeColor="text1"/>
                      <w:lang w:eastAsia="zh-CN"/>
                      <w14:textFill>
                        <w14:solidFill>
                          <w14:schemeClr w14:val="tx1"/>
                        </w14:solidFill>
                      </w14:textFill>
                    </w:rPr>
                    <w:t>等重点防渗</w:t>
                  </w:r>
                </w:p>
              </w:tc>
              <w:tc>
                <w:tcPr>
                  <w:tcW w:w="1509" w:type="dxa"/>
                  <w:tcBorders>
                    <w:top w:val="single" w:color="auto" w:sz="4" w:space="0"/>
                    <w:left w:val="single" w:color="auto" w:sz="4" w:space="0"/>
                    <w:bottom w:val="single" w:color="auto" w:sz="4" w:space="0"/>
                    <w:right w:val="single" w:color="auto" w:sz="4" w:space="0"/>
                  </w:tcBorders>
                  <w:vAlign w:val="center"/>
                </w:tcPr>
                <w:p w14:paraId="2C1857DB">
                  <w:pPr>
                    <w:kinsoku/>
                    <w:jc w:val="center"/>
                    <w:rPr>
                      <w:rFonts w:hint="default" w:ascii="Times New Roman" w:hAnsi="Times New Roman" w:eastAsia="宋体" w:cs="Times New Roman"/>
                      <w:color w:val="auto"/>
                      <w:kern w:val="24"/>
                      <w:lang w:val="en-US" w:eastAsia="zh-CN"/>
                    </w:rPr>
                  </w:pPr>
                  <w:r>
                    <w:rPr>
                      <w:rFonts w:hint="eastAsia" w:ascii="Times New Roman" w:hAnsi="Times New Roman" w:eastAsia="宋体" w:cs="Times New Roman"/>
                      <w:color w:val="auto"/>
                      <w:kern w:val="24"/>
                      <w:lang w:val="en-US" w:eastAsia="zh-CN"/>
                    </w:rPr>
                    <w:t>15</w:t>
                  </w:r>
                </w:p>
              </w:tc>
            </w:tr>
            <w:tr w14:paraId="5A4B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40" w:type="dxa"/>
                  <w:tcBorders>
                    <w:top w:val="single" w:color="auto" w:sz="4" w:space="0"/>
                    <w:left w:val="single" w:color="auto" w:sz="4" w:space="0"/>
                    <w:bottom w:val="single" w:color="auto" w:sz="4" w:space="0"/>
                    <w:right w:val="single" w:color="auto" w:sz="4" w:space="0"/>
                  </w:tcBorders>
                  <w:vAlign w:val="center"/>
                </w:tcPr>
                <w:p w14:paraId="428C274E">
                  <w:pPr>
                    <w:kinsoku/>
                    <w:jc w:val="center"/>
                    <w:rPr>
                      <w:rFonts w:ascii="Times New Roman" w:hAnsi="Times New Roman" w:eastAsia="宋体" w:cs="Times New Roman"/>
                      <w:color w:val="auto"/>
                      <w:kern w:val="24"/>
                    </w:rPr>
                  </w:pPr>
                  <w:r>
                    <w:rPr>
                      <w:rFonts w:ascii="Times New Roman" w:hAnsi="Times New Roman" w:eastAsia="宋体" w:cs="Times New Roman"/>
                      <w:color w:val="auto"/>
                      <w:kern w:val="24"/>
                    </w:rPr>
                    <w:t>环境风险</w:t>
                  </w:r>
                </w:p>
              </w:tc>
              <w:tc>
                <w:tcPr>
                  <w:tcW w:w="2627" w:type="dxa"/>
                  <w:tcBorders>
                    <w:top w:val="single" w:color="auto" w:sz="4" w:space="0"/>
                    <w:left w:val="single" w:color="auto" w:sz="4" w:space="0"/>
                    <w:bottom w:val="single" w:color="auto" w:sz="4" w:space="0"/>
                    <w:right w:val="single" w:color="auto" w:sz="4" w:space="0"/>
                  </w:tcBorders>
                  <w:vAlign w:val="center"/>
                </w:tcPr>
                <w:p w14:paraId="15CCADC3">
                  <w:pPr>
                    <w:kinsoku/>
                    <w:jc w:val="center"/>
                    <w:rPr>
                      <w:rFonts w:ascii="Times New Roman" w:hAnsi="Times New Roman" w:eastAsia="宋体" w:cs="Times New Roman"/>
                      <w:color w:val="auto"/>
                    </w:rPr>
                  </w:pPr>
                  <w:r>
                    <w:rPr>
                      <w:rFonts w:ascii="Times New Roman" w:hAnsi="Times New Roman" w:eastAsia="宋体" w:cs="Times New Roman"/>
                      <w:color w:val="auto"/>
                    </w:rPr>
                    <w:t>环境风险</w:t>
                  </w:r>
                </w:p>
              </w:tc>
              <w:tc>
                <w:tcPr>
                  <w:tcW w:w="4085" w:type="dxa"/>
                  <w:tcBorders>
                    <w:top w:val="single" w:color="auto" w:sz="4" w:space="0"/>
                    <w:left w:val="single" w:color="auto" w:sz="4" w:space="0"/>
                    <w:bottom w:val="single" w:color="auto" w:sz="4" w:space="0"/>
                    <w:right w:val="single" w:color="auto" w:sz="4" w:space="0"/>
                  </w:tcBorders>
                  <w:vAlign w:val="center"/>
                </w:tcPr>
                <w:p w14:paraId="6832BDD2">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编制</w:t>
                  </w:r>
                  <w:r>
                    <w:rPr>
                      <w:rFonts w:ascii="Times New Roman" w:hAnsi="Times New Roman" w:eastAsia="宋体" w:cs="Times New Roman"/>
                      <w:color w:val="000000" w:themeColor="text1"/>
                      <w:lang w:eastAsia="zh-CN"/>
                      <w14:textFill>
                        <w14:solidFill>
                          <w14:schemeClr w14:val="tx1"/>
                        </w14:solidFill>
                      </w14:textFill>
                    </w:rPr>
                    <w:t>应急预案，</w:t>
                  </w:r>
                  <w:r>
                    <w:rPr>
                      <w:rFonts w:hint="eastAsia" w:ascii="Times New Roman" w:hAnsi="Times New Roman" w:eastAsia="宋体" w:cs="Times New Roman"/>
                      <w:color w:val="000000" w:themeColor="text1"/>
                      <w:lang w:eastAsia="zh-CN"/>
                      <w14:textFill>
                        <w14:solidFill>
                          <w14:schemeClr w14:val="tx1"/>
                        </w14:solidFill>
                      </w14:textFill>
                    </w:rPr>
                    <w:t>并</w:t>
                  </w:r>
                  <w:r>
                    <w:rPr>
                      <w:rFonts w:ascii="Times New Roman" w:hAnsi="Times New Roman" w:eastAsia="宋体" w:cs="Times New Roman"/>
                      <w:color w:val="000000" w:themeColor="text1"/>
                      <w:lang w:eastAsia="zh-CN"/>
                      <w14:textFill>
                        <w14:solidFill>
                          <w14:schemeClr w14:val="tx1"/>
                        </w14:solidFill>
                      </w14:textFill>
                    </w:rPr>
                    <w:t>设置</w:t>
                  </w:r>
                  <w:r>
                    <w:rPr>
                      <w:rFonts w:hint="eastAsia" w:ascii="Times New Roman" w:hAnsi="Times New Roman" w:eastAsia="宋体" w:cs="Times New Roman"/>
                      <w:color w:val="000000" w:themeColor="text1"/>
                      <w:lang w:eastAsia="zh-CN"/>
                      <w14:textFill>
                        <w14:solidFill>
                          <w14:schemeClr w14:val="tx1"/>
                        </w14:solidFill>
                      </w14:textFill>
                    </w:rPr>
                    <w:t>危废间等</w:t>
                  </w:r>
                </w:p>
              </w:tc>
              <w:tc>
                <w:tcPr>
                  <w:tcW w:w="1509" w:type="dxa"/>
                  <w:tcBorders>
                    <w:top w:val="single" w:color="auto" w:sz="4" w:space="0"/>
                    <w:left w:val="single" w:color="auto" w:sz="4" w:space="0"/>
                    <w:bottom w:val="single" w:color="auto" w:sz="4" w:space="0"/>
                    <w:right w:val="single" w:color="auto" w:sz="4" w:space="0"/>
                  </w:tcBorders>
                  <w:vAlign w:val="center"/>
                </w:tcPr>
                <w:p w14:paraId="7DA91307">
                  <w:pPr>
                    <w:kinsoku/>
                    <w:jc w:val="center"/>
                    <w:rPr>
                      <w:rFonts w:hint="default" w:ascii="Times New Roman" w:hAnsi="Times New Roman" w:eastAsia="宋体" w:cs="Times New Roman"/>
                      <w:color w:val="auto"/>
                      <w:kern w:val="24"/>
                      <w:lang w:val="en-US" w:eastAsia="zh-CN"/>
                    </w:rPr>
                  </w:pPr>
                  <w:r>
                    <w:rPr>
                      <w:rFonts w:hint="eastAsia" w:ascii="Times New Roman" w:hAnsi="Times New Roman" w:eastAsia="宋体" w:cs="Times New Roman"/>
                      <w:color w:val="auto"/>
                      <w:kern w:val="24"/>
                      <w:lang w:val="en-US" w:eastAsia="zh-CN"/>
                    </w:rPr>
                    <w:t>10</w:t>
                  </w:r>
                </w:p>
              </w:tc>
            </w:tr>
            <w:tr w14:paraId="71A6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52" w:type="dxa"/>
                  <w:gridSpan w:val="3"/>
                  <w:tcBorders>
                    <w:top w:val="single" w:color="auto" w:sz="4" w:space="0"/>
                    <w:left w:val="single" w:color="auto" w:sz="4" w:space="0"/>
                    <w:bottom w:val="single" w:color="auto" w:sz="4" w:space="0"/>
                    <w:right w:val="single" w:color="auto" w:sz="4" w:space="0"/>
                  </w:tcBorders>
                  <w:vAlign w:val="center"/>
                </w:tcPr>
                <w:p w14:paraId="2D4609FB">
                  <w:pPr>
                    <w:kinsoku/>
                    <w:jc w:val="center"/>
                    <w:rPr>
                      <w:rFonts w:ascii="Times New Roman" w:hAnsi="Times New Roman" w:eastAsia="宋体" w:cs="Times New Roman"/>
                      <w:color w:val="auto"/>
                    </w:rPr>
                  </w:pPr>
                  <w:r>
                    <w:rPr>
                      <w:rFonts w:ascii="Times New Roman" w:hAnsi="Times New Roman" w:eastAsia="宋体" w:cs="Times New Roman"/>
                      <w:color w:val="auto"/>
                      <w:kern w:val="24"/>
                    </w:rPr>
                    <w:t>总计</w:t>
                  </w:r>
                </w:p>
              </w:tc>
              <w:tc>
                <w:tcPr>
                  <w:tcW w:w="1509" w:type="dxa"/>
                  <w:tcBorders>
                    <w:top w:val="single" w:color="auto" w:sz="4" w:space="0"/>
                    <w:left w:val="single" w:color="auto" w:sz="4" w:space="0"/>
                    <w:bottom w:val="single" w:color="auto" w:sz="4" w:space="0"/>
                    <w:right w:val="single" w:color="auto" w:sz="4" w:space="0"/>
                  </w:tcBorders>
                  <w:vAlign w:val="center"/>
                </w:tcPr>
                <w:p w14:paraId="72F9BBCC">
                  <w:pPr>
                    <w:kinsoku/>
                    <w:jc w:val="center"/>
                    <w:rPr>
                      <w:rFonts w:hint="default" w:ascii="Times New Roman" w:hAnsi="Times New Roman" w:eastAsia="宋体" w:cs="Times New Roman"/>
                      <w:color w:val="auto"/>
                      <w:kern w:val="24"/>
                      <w:lang w:val="en-US" w:eastAsia="zh-CN"/>
                    </w:rPr>
                  </w:pPr>
                  <w:r>
                    <w:rPr>
                      <w:rFonts w:hint="eastAsia" w:ascii="Times New Roman" w:hAnsi="Times New Roman" w:eastAsia="宋体" w:cs="Times New Roman"/>
                      <w:color w:val="auto"/>
                      <w:kern w:val="24"/>
                      <w:lang w:val="en-US" w:eastAsia="zh-CN"/>
                    </w:rPr>
                    <w:t>160</w:t>
                  </w:r>
                </w:p>
              </w:tc>
            </w:tr>
          </w:tbl>
          <w:p w14:paraId="17605DFE">
            <w:pPr>
              <w:pStyle w:val="61"/>
              <w:kinsoku/>
              <w:spacing w:before="0" w:line="360" w:lineRule="auto"/>
              <w:ind w:firstLine="480" w:firstLineChars="200"/>
              <w:rPr>
                <w:rFonts w:ascii="Times New Roman" w:hAnsi="Times New Roman" w:cs="Times New Roman"/>
                <w:color w:val="auto"/>
                <w:sz w:val="24"/>
                <w:szCs w:val="20"/>
                <w:lang w:eastAsia="zh-CN"/>
              </w:rPr>
            </w:pPr>
          </w:p>
        </w:tc>
      </w:tr>
    </w:tbl>
    <w:p w14:paraId="6703FD40">
      <w:pPr>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14:paraId="1F175FF0">
      <w:pPr>
        <w:pStyle w:val="20"/>
        <w:spacing w:before="0" w:beforeAutospacing="0"/>
        <w:jc w:val="center"/>
        <w:outlineLvl w:val="0"/>
        <w:rPr>
          <w:rFonts w:ascii="Times New Roman" w:hAnsi="Times New Roman"/>
          <w:color w:val="auto"/>
          <w:sz w:val="30"/>
          <w:szCs w:val="30"/>
          <w:lang w:eastAsia="zh-CN"/>
        </w:rPr>
      </w:pPr>
      <w:r>
        <w:rPr>
          <w:rFonts w:ascii="Times New Roman" w:hAnsi="Times New Roman"/>
          <w:color w:val="auto"/>
          <w:sz w:val="30"/>
          <w:szCs w:val="30"/>
          <w:lang w:eastAsia="zh-CN"/>
        </w:rPr>
        <w:t>五、</w:t>
      </w:r>
      <w:bookmarkStart w:id="27" w:name="_Hlk54167917"/>
      <w:r>
        <w:rPr>
          <w:rFonts w:ascii="Times New Roman" w:hAnsi="Times New Roman"/>
          <w:color w:val="auto"/>
          <w:sz w:val="30"/>
          <w:szCs w:val="30"/>
          <w:lang w:eastAsia="zh-CN"/>
        </w:rPr>
        <w:t>环境保护措施监督检查清单</w:t>
      </w:r>
      <w:bookmarkEnd w:id="2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85"/>
        <w:gridCol w:w="1613"/>
        <w:gridCol w:w="2277"/>
        <w:gridCol w:w="4061"/>
      </w:tblGrid>
      <w:tr w14:paraId="5093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5EC82BF0">
            <w:pPr>
              <w:pStyle w:val="8"/>
              <w:kinsoku/>
              <w:adjustRightInd/>
              <w:snapToGrid/>
              <w:spacing w:before="0" w:after="0" w:line="240" w:lineRule="auto"/>
              <w:ind w:right="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内容要素</w:t>
            </w:r>
          </w:p>
        </w:tc>
        <w:tc>
          <w:tcPr>
            <w:tcW w:w="1521" w:type="dxa"/>
            <w:vAlign w:val="center"/>
          </w:tcPr>
          <w:p w14:paraId="404A8768">
            <w:pPr>
              <w:pStyle w:val="8"/>
              <w:kinsoku/>
              <w:adjustRightInd/>
              <w:snapToGrid/>
              <w:spacing w:before="0" w:after="0" w:line="240" w:lineRule="auto"/>
              <w:ind w:right="0"/>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排放口（编号、名称）/污染源</w:t>
            </w:r>
          </w:p>
        </w:tc>
        <w:tc>
          <w:tcPr>
            <w:tcW w:w="1448" w:type="dxa"/>
            <w:vAlign w:val="center"/>
          </w:tcPr>
          <w:p w14:paraId="063965DE">
            <w:pPr>
              <w:pStyle w:val="8"/>
              <w:kinsoku/>
              <w:adjustRightInd/>
              <w:snapToGrid/>
              <w:spacing w:before="0" w:after="0" w:line="240" w:lineRule="auto"/>
              <w:ind w:right="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污染物项目</w:t>
            </w:r>
          </w:p>
        </w:tc>
        <w:tc>
          <w:tcPr>
            <w:tcW w:w="2341" w:type="dxa"/>
            <w:vAlign w:val="center"/>
          </w:tcPr>
          <w:p w14:paraId="6305BB41">
            <w:pPr>
              <w:pStyle w:val="8"/>
              <w:kinsoku/>
              <w:adjustRightInd/>
              <w:snapToGrid/>
              <w:spacing w:before="0" w:after="0" w:line="240" w:lineRule="auto"/>
              <w:ind w:right="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环境保护措施</w:t>
            </w:r>
          </w:p>
        </w:tc>
        <w:tc>
          <w:tcPr>
            <w:tcW w:w="4226" w:type="dxa"/>
            <w:vAlign w:val="center"/>
          </w:tcPr>
          <w:p w14:paraId="6DEDA2FF">
            <w:pPr>
              <w:pStyle w:val="8"/>
              <w:kinsoku/>
              <w:adjustRightInd/>
              <w:snapToGrid/>
              <w:spacing w:before="0" w:after="0" w:line="240" w:lineRule="auto"/>
              <w:ind w:right="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执行标准</w:t>
            </w:r>
          </w:p>
        </w:tc>
      </w:tr>
      <w:tr w14:paraId="018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34EE5A5F">
            <w:pPr>
              <w:kinsoku/>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大气污染</w:t>
            </w:r>
          </w:p>
          <w:p w14:paraId="370DB8FE">
            <w:pPr>
              <w:kinsoku/>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物</w:t>
            </w:r>
          </w:p>
        </w:tc>
        <w:tc>
          <w:tcPr>
            <w:tcW w:w="1521" w:type="dxa"/>
            <w:tcBorders>
              <w:bottom w:val="single" w:color="000000" w:sz="2" w:space="0"/>
            </w:tcBorders>
            <w:vAlign w:val="center"/>
          </w:tcPr>
          <w:p w14:paraId="247EB0E2">
            <w:pPr>
              <w:pStyle w:val="41"/>
              <w:kinsoku/>
              <w:adjustRightInd/>
              <w:snapToGrid/>
              <w:rPr>
                <w:rFonts w:ascii="Times New Roman" w:hAnsi="Times New Roman" w:eastAsia="宋体"/>
                <w:bCs/>
                <w:color w:val="auto"/>
                <w:kern w:val="24"/>
                <w:lang w:eastAsia="zh-CN"/>
              </w:rPr>
            </w:pPr>
            <w:r>
              <w:rPr>
                <w:rFonts w:ascii="Times New Roman" w:hAnsi="Times New Roman" w:eastAsia="宋体"/>
                <w:bCs/>
                <w:color w:val="auto"/>
                <w:kern w:val="24"/>
                <w:lang w:eastAsia="zh-CN"/>
              </w:rPr>
              <w:t>DA001</w:t>
            </w:r>
            <w:r>
              <w:rPr>
                <w:rFonts w:hint="eastAsia" w:ascii="Times New Roman" w:hAnsi="Times New Roman" w:eastAsia="宋体"/>
                <w:bCs/>
                <w:color w:val="auto"/>
                <w:kern w:val="24"/>
                <w:lang w:val="en-US" w:eastAsia="zh-CN"/>
              </w:rPr>
              <w:t>/</w:t>
            </w:r>
            <w:r>
              <w:rPr>
                <w:rFonts w:hint="eastAsia" w:ascii="Times New Roman" w:hAnsi="Times New Roman" w:eastAsia="宋体" w:cs="Times New Roman"/>
                <w:color w:val="auto"/>
                <w:lang w:eastAsia="zh-CN"/>
              </w:rPr>
              <w:t>切割下料、焊接</w:t>
            </w:r>
            <w:r>
              <w:rPr>
                <w:rFonts w:ascii="Times New Roman" w:hAnsi="Times New Roman" w:eastAsia="宋体" w:cs="Times New Roman"/>
                <w:color w:val="auto"/>
                <w:lang w:eastAsia="zh-CN"/>
              </w:rPr>
              <w:t>废气</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000000" w:themeColor="text1"/>
                <w:lang w:eastAsia="zh-CN"/>
                <w14:textFill>
                  <w14:solidFill>
                    <w14:schemeClr w14:val="tx1"/>
                  </w14:solidFill>
                </w14:textFill>
              </w:rPr>
              <w:t>抛丸</w:t>
            </w:r>
            <w:r>
              <w:rPr>
                <w:rFonts w:ascii="Times New Roman" w:hAnsi="Times New Roman" w:eastAsia="宋体" w:cs="Times New Roman"/>
                <w:color w:val="000000" w:themeColor="text1"/>
                <w:lang w:eastAsia="zh-CN"/>
                <w14:textFill>
                  <w14:solidFill>
                    <w14:schemeClr w14:val="tx1"/>
                  </w14:solidFill>
                </w14:textFill>
              </w:rPr>
              <w:t>废气</w:t>
            </w:r>
          </w:p>
        </w:tc>
        <w:tc>
          <w:tcPr>
            <w:tcW w:w="1448" w:type="dxa"/>
            <w:tcBorders>
              <w:bottom w:val="single" w:color="000000" w:sz="2" w:space="0"/>
            </w:tcBorders>
            <w:vAlign w:val="center"/>
          </w:tcPr>
          <w:p w14:paraId="2B5481F4">
            <w:pPr>
              <w:kinsoku/>
              <w:adjustRightInd/>
              <w:snapToGrid/>
              <w:jc w:val="center"/>
              <w:rPr>
                <w:rFonts w:ascii="Times New Roman" w:hAnsi="Times New Roman" w:eastAsia="宋体" w:cs="Times New Roman"/>
                <w:bCs/>
                <w:color w:val="auto"/>
                <w:kern w:val="24"/>
              </w:rPr>
            </w:pPr>
            <w:r>
              <w:rPr>
                <w:rFonts w:ascii="Times New Roman" w:hAnsi="Times New Roman" w:eastAsia="宋体" w:cs="Times New Roman"/>
                <w:bCs/>
                <w:color w:val="auto"/>
                <w:kern w:val="24"/>
              </w:rPr>
              <w:t>颗粒物</w:t>
            </w:r>
          </w:p>
        </w:tc>
        <w:tc>
          <w:tcPr>
            <w:tcW w:w="2341" w:type="dxa"/>
            <w:tcBorders>
              <w:bottom w:val="single" w:color="000000" w:sz="2" w:space="0"/>
            </w:tcBorders>
            <w:vAlign w:val="center"/>
          </w:tcPr>
          <w:p w14:paraId="640A3BCA">
            <w:pPr>
              <w:kinsoku/>
              <w:adjustRightInd/>
              <w:snapToGrid/>
              <w:jc w:val="center"/>
              <w:outlineLvl w:val="0"/>
              <w:rPr>
                <w:rFonts w:ascii="Times New Roman" w:hAnsi="Times New Roman" w:eastAsia="宋体" w:cs="Times New Roman"/>
                <w:bCs/>
                <w:color w:val="auto"/>
                <w:lang w:eastAsia="zh-CN"/>
              </w:rPr>
            </w:pPr>
            <w:r>
              <w:rPr>
                <w:rFonts w:hint="eastAsia" w:ascii="Times New Roman" w:hAnsi="Times New Roman" w:eastAsia="宋体" w:cs="Times New Roman"/>
                <w:bCs/>
                <w:lang w:val="en-US" w:eastAsia="zh-CN"/>
              </w:rPr>
              <w:t>切割废气切割机内部下吸收集、焊接废气</w:t>
            </w:r>
            <w:r>
              <w:rPr>
                <w:rFonts w:hint="eastAsia" w:ascii="Times New Roman" w:hAnsi="Times New Roman" w:eastAsia="宋体" w:cs="Times New Roman"/>
                <w:bCs/>
                <w:lang w:eastAsia="zh-CN"/>
              </w:rPr>
              <w:t>集气罩</w:t>
            </w:r>
            <w:r>
              <w:rPr>
                <w:rFonts w:hint="eastAsia" w:ascii="Times New Roman" w:hAnsi="Times New Roman" w:eastAsia="宋体" w:cs="Times New Roman"/>
                <w:bCs/>
                <w:lang w:val="en-US" w:eastAsia="zh-CN"/>
              </w:rPr>
              <w:t>收集、</w:t>
            </w:r>
            <w:r>
              <w:rPr>
                <w:rFonts w:hint="eastAsia" w:ascii="Times New Roman" w:hAnsi="Times New Roman" w:eastAsia="宋体" w:cs="Times New Roman"/>
                <w:color w:val="000000" w:themeColor="text1"/>
                <w:lang w:eastAsia="zh-CN"/>
                <w14:textFill>
                  <w14:solidFill>
                    <w14:schemeClr w14:val="tx1"/>
                  </w14:solidFill>
                </w14:textFill>
              </w:rPr>
              <w:t>抛丸机内部</w:t>
            </w:r>
            <w:r>
              <w:rPr>
                <w:rFonts w:hint="eastAsia" w:ascii="Times New Roman" w:hAnsi="Times New Roman" w:eastAsia="宋体" w:cs="Times New Roman"/>
                <w:color w:val="000000" w:themeColor="text1"/>
                <w:lang w:val="en-US" w:eastAsia="zh-CN"/>
                <w14:textFill>
                  <w14:solidFill>
                    <w14:schemeClr w14:val="tx1"/>
                  </w14:solidFill>
                </w14:textFill>
              </w:rPr>
              <w:t>收集废气</w:t>
            </w:r>
            <w:r>
              <w:rPr>
                <w:rFonts w:hint="eastAsia" w:ascii="Times New Roman" w:hAnsi="Times New Roman" w:eastAsia="宋体" w:cs="Times New Roman"/>
                <w:bCs/>
                <w:lang w:eastAsia="zh-CN"/>
              </w:rPr>
              <w:t>+</w:t>
            </w:r>
            <w:r>
              <w:rPr>
                <w:rFonts w:ascii="Times New Roman" w:hAnsi="Times New Roman" w:eastAsia="宋体" w:cs="Times New Roman"/>
                <w:bCs/>
                <w:lang w:eastAsia="zh-CN"/>
              </w:rPr>
              <w:t>布袋除尘器+</w:t>
            </w:r>
            <w:r>
              <w:rPr>
                <w:rFonts w:hint="eastAsia" w:ascii="Times New Roman" w:hAnsi="Times New Roman" w:eastAsia="宋体" w:cs="Times New Roman"/>
                <w:bCs/>
                <w:lang w:eastAsia="zh-CN"/>
              </w:rPr>
              <w:t>1</w:t>
            </w:r>
            <w:r>
              <w:rPr>
                <w:rFonts w:hint="eastAsia" w:ascii="Times New Roman" w:hAnsi="Times New Roman" w:eastAsia="宋体" w:cs="Times New Roman"/>
                <w:bCs/>
                <w:lang w:val="en-US" w:eastAsia="zh-CN"/>
              </w:rPr>
              <w:t>5</w:t>
            </w:r>
            <w:r>
              <w:rPr>
                <w:rFonts w:hint="eastAsia" w:ascii="Times New Roman" w:hAnsi="Times New Roman" w:eastAsia="宋体" w:cs="Times New Roman"/>
                <w:bCs/>
                <w:lang w:eastAsia="zh-CN"/>
              </w:rPr>
              <w:t>m</w:t>
            </w:r>
            <w:r>
              <w:rPr>
                <w:rFonts w:ascii="Times New Roman" w:hAnsi="Times New Roman" w:eastAsia="宋体" w:cs="Times New Roman"/>
                <w:bCs/>
                <w:lang w:eastAsia="zh-CN"/>
              </w:rPr>
              <w:t>高排气筒</w:t>
            </w:r>
            <w:r>
              <w:rPr>
                <w:rFonts w:hint="eastAsia" w:ascii="Times New Roman" w:hAnsi="Times New Roman" w:eastAsia="宋体" w:cs="Times New Roman"/>
                <w:bCs/>
                <w:lang w:eastAsia="zh-CN"/>
              </w:rPr>
              <w:t>（DA001）</w:t>
            </w:r>
          </w:p>
        </w:tc>
        <w:tc>
          <w:tcPr>
            <w:tcW w:w="4226" w:type="dxa"/>
            <w:vMerge w:val="restart"/>
            <w:vAlign w:val="center"/>
          </w:tcPr>
          <w:p w14:paraId="77A49F87">
            <w:pPr>
              <w:kinsoku/>
              <w:adjustRightInd/>
              <w:snapToGrid/>
              <w:jc w:val="center"/>
              <w:outlineLvl w:val="0"/>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val="zh-CN" w:eastAsia="zh-CN"/>
              </w:rPr>
              <w:t>切割、焊接、抛丸、喷塑产生的颗粒物与酸洗产的硫酸雾执行《大气污染物综合排放标准》（GB16297-1996）表2中相关要求；电泳、电泳烘干、喷塑固化产生的非甲烷总烃参照安徽省地方标准《固定源挥发性有机物综合排放标准第6部分：其他行业》（DB344812.6-2024）中表1其他涉表面涂装工序的工业排放限值；项目的固化及电泳烘干液化石油气燃烧废气（SO</w:t>
            </w:r>
            <w:r>
              <w:rPr>
                <w:rFonts w:hint="eastAsia" w:ascii="Times New Roman" w:hAnsi="Times New Roman" w:eastAsia="宋体" w:cs="Times New Roman"/>
                <w:bCs/>
                <w:color w:val="auto"/>
                <w:vertAlign w:val="subscript"/>
                <w:lang w:val="zh-CN" w:eastAsia="zh-CN"/>
              </w:rPr>
              <w:t>2</w:t>
            </w:r>
            <w:r>
              <w:rPr>
                <w:rFonts w:hint="eastAsia" w:ascii="Times New Roman" w:hAnsi="Times New Roman" w:eastAsia="宋体" w:cs="Times New Roman"/>
                <w:bCs/>
                <w:color w:val="auto"/>
                <w:lang w:val="zh-CN" w:eastAsia="zh-CN"/>
              </w:rPr>
              <w:t>、NO</w:t>
            </w:r>
            <w:r>
              <w:rPr>
                <w:rFonts w:hint="eastAsia" w:ascii="Times New Roman" w:hAnsi="Times New Roman" w:eastAsia="宋体" w:cs="Times New Roman"/>
                <w:bCs/>
                <w:color w:val="auto"/>
                <w:vertAlign w:val="subscript"/>
                <w:lang w:val="zh-CN" w:eastAsia="zh-CN"/>
              </w:rPr>
              <w:t>X</w:t>
            </w:r>
            <w:r>
              <w:rPr>
                <w:rFonts w:hint="eastAsia" w:ascii="Times New Roman" w:hAnsi="Times New Roman" w:eastAsia="宋体" w:cs="Times New Roman"/>
                <w:bCs/>
                <w:color w:val="auto"/>
                <w:lang w:val="zh-CN" w:eastAsia="zh-CN"/>
              </w:rPr>
              <w:t>）排放执行《工业炉窑大气污染物排放标准》（GB9078-1996）中其他炉窑排放限值以及《工业炉窑大气污染综合治理方案》（环大气〔2019〕56号）中要求；项目厂区内非甲烷总烃参照执行《固定源挥发性有机物综合排放标准：第6部分：其他行业》（DB34/ 4812.6-2024）中相关要求；项目厂界无组织废气参照执行《大气污染物综合排放标准》（GB16297-1996）表2中相关要求；H</w:t>
            </w:r>
            <w:r>
              <w:rPr>
                <w:rFonts w:hint="eastAsia" w:ascii="Times New Roman" w:hAnsi="Times New Roman" w:eastAsia="宋体" w:cs="Times New Roman"/>
                <w:bCs/>
                <w:color w:val="auto"/>
                <w:vertAlign w:val="subscript"/>
                <w:lang w:val="zh-CN" w:eastAsia="zh-CN"/>
              </w:rPr>
              <w:t>2</w:t>
            </w:r>
            <w:r>
              <w:rPr>
                <w:rFonts w:hint="eastAsia" w:ascii="Times New Roman" w:hAnsi="Times New Roman" w:eastAsia="宋体" w:cs="Times New Roman"/>
                <w:bCs/>
                <w:color w:val="auto"/>
                <w:lang w:val="zh-CN" w:eastAsia="zh-CN"/>
              </w:rPr>
              <w:t>S、NH</w:t>
            </w:r>
            <w:r>
              <w:rPr>
                <w:rFonts w:hint="eastAsia" w:ascii="Times New Roman" w:hAnsi="Times New Roman" w:eastAsia="宋体" w:cs="Times New Roman"/>
                <w:bCs/>
                <w:color w:val="auto"/>
                <w:vertAlign w:val="subscript"/>
                <w:lang w:val="zh-CN" w:eastAsia="zh-CN"/>
              </w:rPr>
              <w:t>3</w:t>
            </w:r>
            <w:r>
              <w:rPr>
                <w:rFonts w:hint="eastAsia" w:ascii="Times New Roman" w:hAnsi="Times New Roman" w:eastAsia="宋体" w:cs="Times New Roman"/>
                <w:bCs/>
                <w:color w:val="auto"/>
                <w:lang w:val="zh-CN" w:eastAsia="zh-CN"/>
              </w:rPr>
              <w:t>、臭气浓度执行《恶臭污染物排放标准》（GB14554-93）表1中二级新扩改建无组织排放标准限值</w:t>
            </w:r>
          </w:p>
        </w:tc>
      </w:tr>
      <w:tr w14:paraId="6535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2E4C9706">
            <w:pPr>
              <w:kinsoku/>
              <w:adjustRightInd/>
              <w:snapToGrid/>
              <w:jc w:val="center"/>
              <w:rPr>
                <w:rFonts w:ascii="Times New Roman" w:hAnsi="Times New Roman" w:eastAsia="宋体" w:cs="Times New Roman"/>
                <w:bCs/>
                <w:color w:val="auto"/>
                <w:lang w:eastAsia="zh-CN"/>
              </w:rPr>
            </w:pPr>
          </w:p>
        </w:tc>
        <w:tc>
          <w:tcPr>
            <w:tcW w:w="1521" w:type="dxa"/>
            <w:tcBorders>
              <w:top w:val="single" w:color="000000" w:sz="2" w:space="0"/>
              <w:bottom w:val="single" w:color="000000" w:sz="2" w:space="0"/>
            </w:tcBorders>
            <w:vAlign w:val="center"/>
          </w:tcPr>
          <w:p w14:paraId="0DC67C7C">
            <w:pPr>
              <w:pStyle w:val="41"/>
              <w:kinsoku/>
              <w:adjustRightInd/>
              <w:snapToGrid/>
              <w:rPr>
                <w:rFonts w:ascii="Times New Roman" w:hAnsi="Times New Roman" w:eastAsia="宋体"/>
                <w:bCs/>
                <w:color w:val="auto"/>
                <w:kern w:val="24"/>
                <w:lang w:eastAsia="zh-CN"/>
              </w:rPr>
            </w:pPr>
            <w:r>
              <w:rPr>
                <w:rFonts w:ascii="Times New Roman" w:hAnsi="Times New Roman" w:eastAsia="宋体"/>
                <w:bCs/>
                <w:color w:val="auto"/>
                <w:kern w:val="24"/>
                <w:lang w:eastAsia="zh-CN"/>
              </w:rPr>
              <w:t>DA00</w:t>
            </w:r>
            <w:r>
              <w:rPr>
                <w:rFonts w:hint="eastAsia" w:ascii="Times New Roman" w:hAnsi="Times New Roman" w:eastAsia="宋体"/>
                <w:bCs/>
                <w:color w:val="auto"/>
                <w:kern w:val="24"/>
                <w:lang w:val="en-US" w:eastAsia="zh-CN"/>
              </w:rPr>
              <w:t>2</w:t>
            </w:r>
            <w:r>
              <w:rPr>
                <w:rFonts w:ascii="Times New Roman" w:hAnsi="Times New Roman" w:eastAsia="宋体"/>
                <w:bCs/>
                <w:color w:val="auto"/>
                <w:kern w:val="24"/>
                <w:lang w:eastAsia="zh-CN"/>
              </w:rPr>
              <w:t>/</w:t>
            </w:r>
            <w:r>
              <w:rPr>
                <w:rFonts w:hint="eastAsia" w:ascii="Times New Roman" w:hAnsi="Times New Roman" w:eastAsia="宋体" w:cs="Times New Roman"/>
                <w:color w:val="000000" w:themeColor="text1"/>
                <w:lang w:eastAsia="zh-CN"/>
                <w14:textFill>
                  <w14:solidFill>
                    <w14:schemeClr w14:val="tx1"/>
                  </w14:solidFill>
                </w14:textFill>
              </w:rPr>
              <w:t>喷塑废气</w:t>
            </w:r>
          </w:p>
        </w:tc>
        <w:tc>
          <w:tcPr>
            <w:tcW w:w="1448" w:type="dxa"/>
            <w:tcBorders>
              <w:top w:val="single" w:color="000000" w:sz="2" w:space="0"/>
              <w:bottom w:val="single" w:color="000000" w:sz="2" w:space="0"/>
            </w:tcBorders>
            <w:vAlign w:val="center"/>
          </w:tcPr>
          <w:p w14:paraId="1CE9AB8D">
            <w:pPr>
              <w:kinsoku/>
              <w:adjustRightInd/>
              <w:snapToGrid/>
              <w:jc w:val="center"/>
              <w:rPr>
                <w:rFonts w:hint="eastAsia" w:ascii="Times New Roman" w:hAnsi="Times New Roman" w:eastAsia="宋体" w:cs="Times New Roman"/>
                <w:bCs/>
                <w:color w:val="auto"/>
                <w:kern w:val="24"/>
                <w:lang w:eastAsia="zh-CN"/>
              </w:rPr>
            </w:pPr>
            <w:r>
              <w:rPr>
                <w:rFonts w:ascii="Times New Roman" w:hAnsi="Times New Roman" w:eastAsia="宋体" w:cs="Times New Roman"/>
                <w:bCs/>
                <w:color w:val="auto"/>
                <w:kern w:val="24"/>
              </w:rPr>
              <w:t>颗粒物</w:t>
            </w:r>
          </w:p>
        </w:tc>
        <w:tc>
          <w:tcPr>
            <w:tcW w:w="2341" w:type="dxa"/>
            <w:tcBorders>
              <w:top w:val="single" w:color="000000" w:sz="2" w:space="0"/>
              <w:bottom w:val="single" w:color="000000" w:sz="2" w:space="0"/>
            </w:tcBorders>
            <w:vAlign w:val="center"/>
          </w:tcPr>
          <w:p w14:paraId="496ACA4F">
            <w:pPr>
              <w:kinsoku/>
              <w:adjustRightInd/>
              <w:snapToGrid/>
              <w:jc w:val="center"/>
              <w:outlineLvl w:val="0"/>
              <w:rPr>
                <w:rFonts w:hint="eastAsia" w:ascii="Times New Roman" w:hAnsi="Times New Roman" w:eastAsia="宋体" w:cs="Times New Roman"/>
                <w:bCs/>
                <w:lang w:eastAsia="zh-CN"/>
              </w:rPr>
            </w:pPr>
            <w:r>
              <w:rPr>
                <w:rFonts w:hint="eastAsia" w:ascii="Times New Roman" w:hAnsi="Times New Roman" w:eastAsia="宋体" w:cs="Times New Roman"/>
                <w:color w:val="000000" w:themeColor="text1"/>
                <w:lang w:eastAsia="zh-CN"/>
                <w14:textFill>
                  <w14:solidFill>
                    <w14:schemeClr w14:val="tx1"/>
                  </w14:solidFill>
                </w14:textFill>
              </w:rPr>
              <w:t>喷塑</w:t>
            </w:r>
            <w:r>
              <w:rPr>
                <w:rFonts w:hint="eastAsia" w:ascii="Times New Roman" w:hAnsi="Times New Roman" w:eastAsia="宋体" w:cs="Times New Roman"/>
                <w:color w:val="000000" w:themeColor="text1"/>
                <w:lang w:val="en-US" w:eastAsia="zh-CN"/>
                <w14:textFill>
                  <w14:solidFill>
                    <w14:schemeClr w14:val="tx1"/>
                  </w14:solidFill>
                </w14:textFill>
              </w:rPr>
              <w:t>废气</w:t>
            </w:r>
            <w:r>
              <w:rPr>
                <w:rFonts w:hint="eastAsia" w:ascii="Times New Roman" w:hAnsi="Times New Roman" w:eastAsia="宋体" w:cs="Times New Roman"/>
                <w:color w:val="000000" w:themeColor="text1"/>
                <w:lang w:eastAsia="zh-CN"/>
                <w14:textFill>
                  <w14:solidFill>
                    <w14:schemeClr w14:val="tx1"/>
                  </w14:solidFill>
                </w14:textFill>
              </w:rPr>
              <w:t>密闭收集</w:t>
            </w:r>
            <w:r>
              <w:rPr>
                <w:rFonts w:hint="eastAsia" w:ascii="Times New Roman" w:hAnsi="Times New Roman" w:eastAsia="宋体" w:cs="Times New Roman"/>
                <w:color w:val="000000" w:themeColor="text1"/>
                <w:lang w:val="en-US" w:eastAsia="zh-CN"/>
                <w14:textFill>
                  <w14:solidFill>
                    <w14:schemeClr w14:val="tx1"/>
                  </w14:solidFill>
                </w14:textFill>
              </w:rPr>
              <w:t>+滤芯除尘器</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2</w:t>
            </w:r>
            <w:r>
              <w:rPr>
                <w:rFonts w:ascii="Times New Roman" w:hAnsi="Times New Roman" w:eastAsia="宋体" w:cs="Times New Roman"/>
                <w:color w:val="000000" w:themeColor="text1"/>
                <w:kern w:val="24"/>
                <w:lang w:eastAsia="zh-CN"/>
                <w14:textFill>
                  <w14:solidFill>
                    <w14:schemeClr w14:val="tx1"/>
                  </w14:solidFill>
                </w14:textFill>
              </w:rPr>
              <w:t>）</w:t>
            </w:r>
          </w:p>
        </w:tc>
        <w:tc>
          <w:tcPr>
            <w:tcW w:w="4226" w:type="dxa"/>
            <w:vMerge w:val="continue"/>
            <w:vAlign w:val="center"/>
          </w:tcPr>
          <w:p w14:paraId="72BC9931">
            <w:pPr>
              <w:kinsoku/>
              <w:adjustRightInd/>
              <w:snapToGrid/>
              <w:jc w:val="center"/>
              <w:outlineLvl w:val="0"/>
              <w:rPr>
                <w:rFonts w:ascii="Times New Roman" w:hAnsi="Times New Roman" w:eastAsia="宋体" w:cs="Times New Roman"/>
                <w:bCs/>
                <w:color w:val="auto"/>
                <w:lang w:eastAsia="zh-CN"/>
              </w:rPr>
            </w:pPr>
          </w:p>
        </w:tc>
      </w:tr>
      <w:tr w14:paraId="0359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63406649">
            <w:pPr>
              <w:kinsoku/>
              <w:adjustRightInd/>
              <w:snapToGrid/>
              <w:jc w:val="center"/>
              <w:rPr>
                <w:rFonts w:ascii="Times New Roman" w:hAnsi="Times New Roman" w:eastAsia="宋体" w:cs="Times New Roman"/>
                <w:bCs/>
                <w:color w:val="auto"/>
                <w:lang w:eastAsia="zh-CN"/>
              </w:rPr>
            </w:pPr>
          </w:p>
        </w:tc>
        <w:tc>
          <w:tcPr>
            <w:tcW w:w="1521" w:type="dxa"/>
            <w:tcBorders>
              <w:top w:val="single" w:color="000000" w:sz="2" w:space="0"/>
              <w:bottom w:val="single" w:color="000000" w:sz="2" w:space="0"/>
            </w:tcBorders>
            <w:vAlign w:val="center"/>
          </w:tcPr>
          <w:p w14:paraId="1BD9DB12">
            <w:pPr>
              <w:pStyle w:val="41"/>
              <w:kinsoku/>
              <w:adjustRightInd/>
              <w:snapToGrid/>
              <w:rPr>
                <w:rFonts w:ascii="Times New Roman" w:hAnsi="Times New Roman" w:eastAsia="宋体"/>
                <w:bCs/>
                <w:color w:val="auto"/>
                <w:kern w:val="24"/>
                <w:lang w:eastAsia="zh-CN"/>
              </w:rPr>
            </w:pPr>
            <w:r>
              <w:rPr>
                <w:rFonts w:ascii="Times New Roman" w:hAnsi="Times New Roman" w:eastAsia="宋体"/>
                <w:bCs/>
                <w:color w:val="auto"/>
                <w:kern w:val="24"/>
                <w:lang w:eastAsia="zh-CN"/>
              </w:rPr>
              <w:t>DA00</w:t>
            </w:r>
            <w:r>
              <w:rPr>
                <w:rFonts w:hint="eastAsia" w:ascii="Times New Roman" w:hAnsi="Times New Roman" w:eastAsia="宋体"/>
                <w:bCs/>
                <w:color w:val="auto"/>
                <w:kern w:val="24"/>
                <w:lang w:val="en-US" w:eastAsia="zh-CN"/>
              </w:rPr>
              <w:t>3</w:t>
            </w:r>
            <w:r>
              <w:rPr>
                <w:rFonts w:ascii="Times New Roman" w:hAnsi="Times New Roman" w:eastAsia="宋体"/>
                <w:bCs/>
                <w:color w:val="auto"/>
                <w:kern w:val="24"/>
                <w:lang w:eastAsia="zh-CN"/>
              </w:rPr>
              <w:t>/</w:t>
            </w:r>
            <w:r>
              <w:rPr>
                <w:rFonts w:hint="eastAsia" w:ascii="Times New Roman" w:hAnsi="Times New Roman" w:eastAsia="宋体" w:cs="Times New Roman"/>
                <w:color w:val="000000" w:themeColor="text1"/>
                <w:lang w:eastAsia="zh-CN"/>
                <w14:textFill>
                  <w14:solidFill>
                    <w14:schemeClr w14:val="tx1"/>
                  </w14:solidFill>
                </w14:textFill>
              </w:rPr>
              <w:t>固化废气、电泳及烘干废气、危废间废气</w:t>
            </w:r>
          </w:p>
        </w:tc>
        <w:tc>
          <w:tcPr>
            <w:tcW w:w="1448" w:type="dxa"/>
            <w:tcBorders>
              <w:top w:val="single" w:color="000000" w:sz="2" w:space="0"/>
              <w:bottom w:val="single" w:color="000000" w:sz="2" w:space="0"/>
            </w:tcBorders>
            <w:vAlign w:val="center"/>
          </w:tcPr>
          <w:p w14:paraId="4437FB68">
            <w:pPr>
              <w:kinsoku/>
              <w:adjustRightInd/>
              <w:snapToGrid/>
              <w:jc w:val="center"/>
              <w:rPr>
                <w:rFonts w:hint="eastAsia" w:ascii="Times New Roman" w:hAnsi="Times New Roman" w:eastAsia="宋体" w:cs="Times New Roman"/>
                <w:bCs/>
                <w:color w:val="auto"/>
                <w:kern w:val="24"/>
                <w:lang w:eastAsia="zh-CN"/>
              </w:rPr>
            </w:pPr>
            <w:r>
              <w:rPr>
                <w:rFonts w:hint="eastAsia" w:ascii="Times New Roman" w:hAnsi="Times New Roman" w:eastAsia="宋体" w:cs="Times New Roman"/>
                <w:bCs/>
                <w:color w:val="auto"/>
                <w:kern w:val="24"/>
                <w:lang w:eastAsia="zh-CN"/>
              </w:rPr>
              <w:t>非甲烷总烃</w:t>
            </w:r>
          </w:p>
        </w:tc>
        <w:tc>
          <w:tcPr>
            <w:tcW w:w="2341" w:type="dxa"/>
            <w:tcBorders>
              <w:top w:val="single" w:color="000000" w:sz="2" w:space="0"/>
              <w:bottom w:val="single" w:color="000000" w:sz="2" w:space="0"/>
            </w:tcBorders>
            <w:vAlign w:val="center"/>
          </w:tcPr>
          <w:p w14:paraId="1877D3E8">
            <w:pPr>
              <w:kinsoku/>
              <w:adjustRightInd/>
              <w:snapToGrid/>
              <w:jc w:val="center"/>
              <w:outlineLvl w:val="0"/>
              <w:rPr>
                <w:rFonts w:hint="eastAsia" w:ascii="Times New Roman" w:hAnsi="Times New Roman" w:eastAsia="宋体" w:cs="Times New Roman"/>
                <w:bCs/>
                <w:lang w:eastAsia="zh-CN"/>
              </w:rPr>
            </w:pPr>
            <w:r>
              <w:rPr>
                <w:rFonts w:hint="eastAsia" w:ascii="Times New Roman" w:hAnsi="Times New Roman" w:eastAsia="宋体" w:cs="Times New Roman"/>
                <w:color w:val="000000" w:themeColor="text1"/>
                <w:lang w:val="en-US" w:eastAsia="zh-CN"/>
                <w14:textFill>
                  <w14:solidFill>
                    <w14:schemeClr w14:val="tx1"/>
                  </w14:solidFill>
                </w14:textFill>
              </w:rPr>
              <w:t>固化废气集气罩收集/</w:t>
            </w:r>
            <w:r>
              <w:rPr>
                <w:rFonts w:hint="eastAsia" w:ascii="Times New Roman" w:hAnsi="Times New Roman" w:eastAsia="宋体" w:cs="Times New Roman"/>
                <w:color w:val="000000" w:themeColor="text1"/>
                <w:lang w:eastAsia="zh-CN"/>
                <w14:textFill>
                  <w14:solidFill>
                    <w14:schemeClr w14:val="tx1"/>
                  </w14:solidFill>
                </w14:textFill>
              </w:rPr>
              <w:t>电泳及烘干废气集气罩收集</w:t>
            </w:r>
            <w:r>
              <w:rPr>
                <w:rFonts w:hint="eastAsia" w:ascii="Times New Roman" w:hAnsi="Times New Roman" w:eastAsia="宋体" w:cs="Times New Roman"/>
                <w:color w:val="000000" w:themeColor="text1"/>
                <w:lang w:val="en-US" w:eastAsia="zh-CN"/>
                <w14:textFill>
                  <w14:solidFill>
                    <w14:schemeClr w14:val="tx1"/>
                  </w14:solidFill>
                </w14:textFill>
              </w:rPr>
              <w:t>/危废间废气密闭收集+二级活性炭+</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3</w:t>
            </w:r>
            <w:r>
              <w:rPr>
                <w:rFonts w:ascii="Times New Roman" w:hAnsi="Times New Roman" w:eastAsia="宋体" w:cs="Times New Roman"/>
                <w:color w:val="000000" w:themeColor="text1"/>
                <w:kern w:val="24"/>
                <w:lang w:eastAsia="zh-CN"/>
                <w14:textFill>
                  <w14:solidFill>
                    <w14:schemeClr w14:val="tx1"/>
                  </w14:solidFill>
                </w14:textFill>
              </w:rPr>
              <w:t>）</w:t>
            </w:r>
          </w:p>
        </w:tc>
        <w:tc>
          <w:tcPr>
            <w:tcW w:w="4226" w:type="dxa"/>
            <w:vMerge w:val="continue"/>
            <w:vAlign w:val="center"/>
          </w:tcPr>
          <w:p w14:paraId="3C4E5901">
            <w:pPr>
              <w:kinsoku/>
              <w:adjustRightInd/>
              <w:snapToGrid/>
              <w:jc w:val="center"/>
              <w:outlineLvl w:val="0"/>
              <w:rPr>
                <w:rFonts w:ascii="Times New Roman" w:hAnsi="Times New Roman" w:eastAsia="宋体" w:cs="Times New Roman"/>
                <w:bCs/>
                <w:color w:val="auto"/>
                <w:lang w:eastAsia="zh-CN"/>
              </w:rPr>
            </w:pPr>
          </w:p>
        </w:tc>
      </w:tr>
      <w:tr w14:paraId="3642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4664086A">
            <w:pPr>
              <w:kinsoku/>
              <w:adjustRightInd/>
              <w:snapToGrid/>
              <w:jc w:val="center"/>
              <w:rPr>
                <w:rFonts w:ascii="Times New Roman" w:hAnsi="Times New Roman" w:eastAsia="宋体" w:cs="Times New Roman"/>
                <w:bCs/>
                <w:color w:val="auto"/>
                <w:lang w:eastAsia="zh-CN"/>
              </w:rPr>
            </w:pPr>
          </w:p>
        </w:tc>
        <w:tc>
          <w:tcPr>
            <w:tcW w:w="1521" w:type="dxa"/>
            <w:tcBorders>
              <w:top w:val="single" w:color="000000" w:sz="2" w:space="0"/>
              <w:bottom w:val="single" w:color="000000" w:sz="2" w:space="0"/>
            </w:tcBorders>
            <w:vAlign w:val="center"/>
          </w:tcPr>
          <w:p w14:paraId="5A5408D7">
            <w:pPr>
              <w:pStyle w:val="41"/>
              <w:kinsoku/>
              <w:adjustRightInd/>
              <w:snapToGrid/>
              <w:rPr>
                <w:rFonts w:ascii="Times New Roman" w:hAnsi="Times New Roman" w:eastAsia="宋体"/>
                <w:bCs/>
                <w:color w:val="auto"/>
                <w:kern w:val="24"/>
                <w:lang w:eastAsia="zh-CN"/>
              </w:rPr>
            </w:pPr>
            <w:r>
              <w:rPr>
                <w:rFonts w:ascii="Times New Roman" w:hAnsi="Times New Roman" w:eastAsia="宋体"/>
                <w:bCs/>
                <w:color w:val="auto"/>
                <w:kern w:val="24"/>
                <w:lang w:eastAsia="zh-CN"/>
              </w:rPr>
              <w:t>DA00</w:t>
            </w:r>
            <w:r>
              <w:rPr>
                <w:rFonts w:hint="eastAsia" w:ascii="Times New Roman" w:hAnsi="Times New Roman" w:eastAsia="宋体"/>
                <w:bCs/>
                <w:color w:val="auto"/>
                <w:kern w:val="24"/>
                <w:lang w:val="en-US" w:eastAsia="zh-CN"/>
              </w:rPr>
              <w:t>4</w:t>
            </w:r>
            <w:r>
              <w:rPr>
                <w:rFonts w:ascii="Times New Roman" w:hAnsi="Times New Roman" w:eastAsia="宋体"/>
                <w:bCs/>
                <w:color w:val="auto"/>
                <w:kern w:val="24"/>
                <w:lang w:eastAsia="zh-CN"/>
              </w:rPr>
              <w:t>/</w:t>
            </w:r>
            <w:r>
              <w:rPr>
                <w:rFonts w:hint="eastAsia" w:ascii="Times New Roman" w:hAnsi="Times New Roman" w:eastAsia="宋体" w:cs="Times New Roman"/>
                <w:color w:val="000000" w:themeColor="text1"/>
                <w:lang w:eastAsia="zh-CN"/>
                <w14:textFill>
                  <w14:solidFill>
                    <w14:schemeClr w14:val="tx1"/>
                  </w14:solidFill>
                </w14:textFill>
              </w:rPr>
              <w:t>酸洗废气</w:t>
            </w:r>
          </w:p>
        </w:tc>
        <w:tc>
          <w:tcPr>
            <w:tcW w:w="1448" w:type="dxa"/>
            <w:tcBorders>
              <w:top w:val="single" w:color="000000" w:sz="2" w:space="0"/>
              <w:bottom w:val="single" w:color="000000" w:sz="2" w:space="0"/>
            </w:tcBorders>
            <w:vAlign w:val="center"/>
          </w:tcPr>
          <w:p w14:paraId="4DB4AA25">
            <w:pPr>
              <w:kinsoku/>
              <w:adjustRightInd/>
              <w:snapToGrid/>
              <w:jc w:val="center"/>
              <w:rPr>
                <w:rFonts w:hint="eastAsia" w:ascii="Times New Roman" w:hAnsi="Times New Roman" w:eastAsia="宋体" w:cs="Times New Roman"/>
                <w:bCs/>
                <w:color w:val="auto"/>
                <w:kern w:val="24"/>
                <w:lang w:eastAsia="zh-CN"/>
              </w:rPr>
            </w:pPr>
            <w:r>
              <w:rPr>
                <w:rFonts w:hint="eastAsia" w:ascii="Times New Roman" w:hAnsi="Times New Roman" w:eastAsia="宋体" w:cs="Times New Roman"/>
                <w:bCs/>
                <w:color w:val="auto"/>
                <w:kern w:val="24"/>
                <w:lang w:eastAsia="zh-CN"/>
              </w:rPr>
              <w:t>硫酸雾</w:t>
            </w:r>
          </w:p>
        </w:tc>
        <w:tc>
          <w:tcPr>
            <w:tcW w:w="2341" w:type="dxa"/>
            <w:tcBorders>
              <w:top w:val="single" w:color="000000" w:sz="2" w:space="0"/>
              <w:bottom w:val="single" w:color="000000" w:sz="2" w:space="0"/>
            </w:tcBorders>
            <w:vAlign w:val="center"/>
          </w:tcPr>
          <w:p w14:paraId="7ED5B6DA">
            <w:pPr>
              <w:kinsoku/>
              <w:adjustRightInd/>
              <w:snapToGrid/>
              <w:jc w:val="center"/>
              <w:outlineLvl w:val="0"/>
              <w:rPr>
                <w:rFonts w:hint="eastAsia" w:ascii="Times New Roman" w:hAnsi="Times New Roman" w:eastAsia="宋体" w:cs="Times New Roman"/>
                <w:bCs/>
                <w:lang w:eastAsia="zh-CN"/>
              </w:rPr>
            </w:pPr>
            <w:r>
              <w:rPr>
                <w:rFonts w:hint="eastAsia" w:ascii="Times New Roman" w:hAnsi="Times New Roman" w:eastAsia="宋体" w:cs="Times New Roman"/>
                <w:color w:val="000000" w:themeColor="text1"/>
                <w:lang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+碱液喷淋塔</w:t>
            </w:r>
            <w:r>
              <w:rPr>
                <w:rFonts w:ascii="Times New Roman" w:hAnsi="Times New Roman" w:eastAsia="宋体" w:cs="Times New Roman"/>
                <w:color w:val="000000" w:themeColor="text1"/>
                <w:kern w:val="24"/>
                <w:lang w:eastAsia="zh-CN"/>
                <w14:textFill>
                  <w14:solidFill>
                    <w14:schemeClr w14:val="tx1"/>
                  </w14:solidFill>
                </w14:textFill>
              </w:rPr>
              <w:t>1</w:t>
            </w:r>
            <w:r>
              <w:rPr>
                <w:rFonts w:hint="eastAsia" w:ascii="Times New Roman" w:hAnsi="Times New Roman" w:eastAsia="宋体" w:cs="Times New Roman"/>
                <w:color w:val="000000" w:themeColor="text1"/>
                <w:kern w:val="24"/>
                <w:lang w:val="en-US" w:eastAsia="zh-CN"/>
                <w14:textFill>
                  <w14:solidFill>
                    <w14:schemeClr w14:val="tx1"/>
                  </w14:solidFill>
                </w14:textFill>
              </w:rPr>
              <w:t>5</w:t>
            </w:r>
            <w:r>
              <w:rPr>
                <w:rFonts w:ascii="Times New Roman" w:hAnsi="Times New Roman" w:eastAsia="宋体" w:cs="Times New Roman"/>
                <w:color w:val="000000" w:themeColor="text1"/>
                <w:kern w:val="24"/>
                <w:lang w:eastAsia="zh-CN"/>
                <w14:textFill>
                  <w14:solidFill>
                    <w14:schemeClr w14:val="tx1"/>
                  </w14:solidFill>
                </w14:textFill>
              </w:rPr>
              <w:t>m高排气筒排放（DA00</w:t>
            </w:r>
            <w:r>
              <w:rPr>
                <w:rFonts w:hint="eastAsia" w:ascii="Times New Roman" w:hAnsi="Times New Roman" w:eastAsia="宋体" w:cs="Times New Roman"/>
                <w:color w:val="000000" w:themeColor="text1"/>
                <w:kern w:val="24"/>
                <w:lang w:val="en-US" w:eastAsia="zh-CN"/>
                <w14:textFill>
                  <w14:solidFill>
                    <w14:schemeClr w14:val="tx1"/>
                  </w14:solidFill>
                </w14:textFill>
              </w:rPr>
              <w:t>4</w:t>
            </w:r>
            <w:r>
              <w:rPr>
                <w:rFonts w:ascii="Times New Roman" w:hAnsi="Times New Roman" w:eastAsia="宋体" w:cs="Times New Roman"/>
                <w:color w:val="000000" w:themeColor="text1"/>
                <w:kern w:val="24"/>
                <w:lang w:eastAsia="zh-CN"/>
                <w14:textFill>
                  <w14:solidFill>
                    <w14:schemeClr w14:val="tx1"/>
                  </w14:solidFill>
                </w14:textFill>
              </w:rPr>
              <w:t>）</w:t>
            </w:r>
          </w:p>
        </w:tc>
        <w:tc>
          <w:tcPr>
            <w:tcW w:w="4226" w:type="dxa"/>
            <w:vMerge w:val="continue"/>
            <w:vAlign w:val="center"/>
          </w:tcPr>
          <w:p w14:paraId="03F53196">
            <w:pPr>
              <w:kinsoku/>
              <w:adjustRightInd/>
              <w:snapToGrid/>
              <w:jc w:val="center"/>
              <w:outlineLvl w:val="0"/>
              <w:rPr>
                <w:rFonts w:ascii="Times New Roman" w:hAnsi="Times New Roman" w:eastAsia="宋体" w:cs="Times New Roman"/>
                <w:bCs/>
                <w:color w:val="auto"/>
                <w:lang w:eastAsia="zh-CN"/>
              </w:rPr>
            </w:pPr>
          </w:p>
        </w:tc>
      </w:tr>
      <w:tr w14:paraId="5C8E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2377D944">
            <w:pPr>
              <w:kinsoku/>
              <w:adjustRightInd/>
              <w:snapToGrid/>
              <w:jc w:val="center"/>
              <w:rPr>
                <w:rFonts w:ascii="Times New Roman" w:hAnsi="Times New Roman" w:eastAsia="宋体" w:cs="Times New Roman"/>
                <w:bCs/>
                <w:color w:val="auto"/>
                <w:lang w:eastAsia="zh-CN"/>
              </w:rPr>
            </w:pPr>
          </w:p>
        </w:tc>
        <w:tc>
          <w:tcPr>
            <w:tcW w:w="1521" w:type="dxa"/>
            <w:tcBorders>
              <w:top w:val="single" w:color="000000" w:sz="2" w:space="0"/>
              <w:bottom w:val="single" w:color="000000" w:sz="2" w:space="0"/>
            </w:tcBorders>
            <w:vAlign w:val="center"/>
          </w:tcPr>
          <w:p w14:paraId="3A6751B8">
            <w:pPr>
              <w:kinsoku/>
              <w:adjustRightInd/>
              <w:snapToGrid/>
              <w:jc w:val="center"/>
              <w:rPr>
                <w:rFonts w:ascii="Times New Roman" w:hAnsi="Times New Roman" w:eastAsia="宋体" w:cs="Times New Roman"/>
                <w:bCs/>
                <w:color w:val="auto"/>
                <w:lang w:eastAsia="zh-CN"/>
              </w:rPr>
            </w:pPr>
            <w:r>
              <w:rPr>
                <w:rFonts w:hint="eastAsia" w:ascii="Times New Roman" w:hAnsi="Times New Roman" w:eastAsia="宋体" w:cs="Times New Roman"/>
                <w:color w:val="auto"/>
                <w:lang w:eastAsia="zh-CN"/>
              </w:rPr>
              <w:t>切割下料、焊接、</w:t>
            </w:r>
            <w:r>
              <w:rPr>
                <w:rFonts w:hint="eastAsia" w:ascii="Times New Roman" w:hAnsi="Times New Roman" w:eastAsia="宋体" w:cs="Times New Roman"/>
                <w:color w:val="000000" w:themeColor="text1"/>
                <w:lang w:eastAsia="zh-CN"/>
                <w14:textFill>
                  <w14:solidFill>
                    <w14:schemeClr w14:val="tx1"/>
                  </w14:solidFill>
                </w14:textFill>
              </w:rPr>
              <w:t>抛丸、喷塑、固化、电泳及烘干、酸洗、</w:t>
            </w:r>
            <w:r>
              <w:rPr>
                <w:rFonts w:hint="eastAsia" w:ascii="Times New Roman" w:hAnsi="Times New Roman" w:eastAsia="宋体" w:cs="Times New Roman"/>
                <w:color w:val="000000" w:themeColor="text1"/>
                <w:lang w:val="en-US" w:eastAsia="zh-CN"/>
                <w14:textFill>
                  <w14:solidFill>
                    <w14:schemeClr w14:val="tx1"/>
                  </w14:solidFill>
                </w14:textFill>
              </w:rPr>
              <w:t>污水处理站</w:t>
            </w:r>
            <w:r>
              <w:rPr>
                <w:rFonts w:hint="eastAsia" w:ascii="Times New Roman" w:hAnsi="Times New Roman" w:eastAsia="宋体" w:cs="Times New Roman"/>
                <w:color w:val="000000" w:themeColor="text1"/>
                <w:lang w:eastAsia="zh-CN"/>
                <w14:textFill>
                  <w14:solidFill>
                    <w14:schemeClr w14:val="tx1"/>
                  </w14:solidFill>
                </w14:textFill>
              </w:rPr>
              <w:t>废气</w:t>
            </w:r>
          </w:p>
        </w:tc>
        <w:tc>
          <w:tcPr>
            <w:tcW w:w="1448" w:type="dxa"/>
            <w:tcBorders>
              <w:top w:val="single" w:color="000000" w:sz="2" w:space="0"/>
              <w:bottom w:val="single" w:color="000000" w:sz="2" w:space="0"/>
            </w:tcBorders>
            <w:vAlign w:val="center"/>
          </w:tcPr>
          <w:p w14:paraId="28B6C9BA">
            <w:pPr>
              <w:kinsoku/>
              <w:adjustRightInd/>
              <w:snapToGrid/>
              <w:jc w:val="center"/>
              <w:rPr>
                <w:rFonts w:hint="default" w:ascii="Times New Roman" w:hAnsi="Times New Roman" w:eastAsia="宋体" w:cs="Times New Roman"/>
                <w:bCs/>
                <w:color w:val="auto"/>
                <w:lang w:val="en-US" w:eastAsia="zh-CN"/>
              </w:rPr>
            </w:pPr>
            <w:r>
              <w:rPr>
                <w:rFonts w:ascii="Times New Roman" w:hAnsi="Times New Roman" w:eastAsia="宋体" w:cs="Times New Roman"/>
                <w:bCs/>
                <w:color w:val="auto"/>
                <w:lang w:eastAsia="zh-CN"/>
              </w:rPr>
              <w:t>颗粒物</w:t>
            </w:r>
            <w:r>
              <w:rPr>
                <w:rFonts w:hint="eastAsia" w:ascii="Times New Roman" w:hAnsi="Times New Roman" w:eastAsia="宋体" w:cs="Times New Roman"/>
                <w:bCs/>
                <w:color w:val="auto"/>
                <w:lang w:eastAsia="zh-CN"/>
              </w:rPr>
              <w:t>、</w:t>
            </w:r>
            <w:r>
              <w:rPr>
                <w:rFonts w:hint="eastAsia" w:ascii="Times New Roman" w:hAnsi="Times New Roman" w:eastAsia="宋体" w:cs="Times New Roman"/>
                <w:bCs/>
                <w:color w:val="auto"/>
                <w:kern w:val="24"/>
                <w:lang w:eastAsia="zh-CN"/>
              </w:rPr>
              <w:t>非甲烷总烃、硫酸雾、</w:t>
            </w:r>
            <w:r>
              <w:rPr>
                <w:rFonts w:hint="eastAsia" w:ascii="Times New Roman" w:hAnsi="Times New Roman" w:eastAsia="宋体" w:cs="Times New Roman"/>
                <w:bCs/>
                <w:color w:val="auto"/>
                <w:lang w:val="zh-CN" w:eastAsia="zh-CN"/>
              </w:rPr>
              <w:t>H</w:t>
            </w:r>
            <w:r>
              <w:rPr>
                <w:rFonts w:hint="eastAsia" w:ascii="Times New Roman" w:hAnsi="Times New Roman" w:eastAsia="宋体" w:cs="Times New Roman"/>
                <w:bCs/>
                <w:color w:val="auto"/>
                <w:vertAlign w:val="subscript"/>
                <w:lang w:val="zh-CN" w:eastAsia="zh-CN"/>
              </w:rPr>
              <w:t>2</w:t>
            </w:r>
            <w:r>
              <w:rPr>
                <w:rFonts w:hint="eastAsia" w:ascii="Times New Roman" w:hAnsi="Times New Roman" w:eastAsia="宋体" w:cs="Times New Roman"/>
                <w:bCs/>
                <w:color w:val="auto"/>
                <w:lang w:val="zh-CN" w:eastAsia="zh-CN"/>
              </w:rPr>
              <w:t>S、NH</w:t>
            </w:r>
            <w:r>
              <w:rPr>
                <w:rFonts w:hint="eastAsia" w:ascii="Times New Roman" w:hAnsi="Times New Roman" w:eastAsia="宋体" w:cs="Times New Roman"/>
                <w:bCs/>
                <w:color w:val="auto"/>
                <w:vertAlign w:val="subscript"/>
                <w:lang w:val="zh-CN" w:eastAsia="zh-CN"/>
              </w:rPr>
              <w:t>3</w:t>
            </w:r>
            <w:r>
              <w:rPr>
                <w:rFonts w:hint="eastAsia" w:ascii="Times New Roman" w:hAnsi="Times New Roman" w:eastAsia="宋体" w:cs="Times New Roman"/>
                <w:bCs/>
                <w:color w:val="auto"/>
                <w:vertAlign w:val="baseline"/>
                <w:lang w:val="zh-CN" w:eastAsia="zh-CN"/>
              </w:rPr>
              <w:t>、</w:t>
            </w:r>
            <w:r>
              <w:rPr>
                <w:rFonts w:hint="eastAsia" w:ascii="Times New Roman" w:hAnsi="Times New Roman" w:eastAsia="宋体" w:cs="Times New Roman"/>
                <w:bCs/>
                <w:color w:val="auto"/>
                <w:kern w:val="24"/>
                <w:lang w:val="en-US" w:eastAsia="zh-CN"/>
              </w:rPr>
              <w:t>恶臭浓度</w:t>
            </w:r>
          </w:p>
        </w:tc>
        <w:tc>
          <w:tcPr>
            <w:tcW w:w="2341" w:type="dxa"/>
            <w:tcBorders>
              <w:top w:val="single" w:color="000000" w:sz="2" w:space="0"/>
              <w:bottom w:val="single" w:color="000000" w:sz="2" w:space="0"/>
            </w:tcBorders>
            <w:vAlign w:val="center"/>
          </w:tcPr>
          <w:p w14:paraId="07659BCC">
            <w:pPr>
              <w:pStyle w:val="41"/>
              <w:kinsoku/>
              <w:adjustRightInd/>
              <w:snapToGrid/>
              <w:rPr>
                <w:rFonts w:ascii="Times New Roman" w:hAnsi="Times New Roman" w:eastAsia="宋体"/>
                <w:bCs/>
                <w:color w:val="auto"/>
              </w:rPr>
            </w:pPr>
            <w:r>
              <w:rPr>
                <w:rFonts w:ascii="Times New Roman" w:hAnsi="Times New Roman" w:eastAsia="宋体"/>
                <w:bCs/>
                <w:color w:val="auto"/>
              </w:rPr>
              <w:t>无组织形式排放</w:t>
            </w:r>
          </w:p>
        </w:tc>
        <w:tc>
          <w:tcPr>
            <w:tcW w:w="4226" w:type="dxa"/>
            <w:vMerge w:val="continue"/>
            <w:vAlign w:val="center"/>
          </w:tcPr>
          <w:p w14:paraId="60168F90">
            <w:pPr>
              <w:kinsoku/>
              <w:adjustRightInd/>
              <w:snapToGrid/>
              <w:jc w:val="center"/>
              <w:outlineLvl w:val="0"/>
              <w:rPr>
                <w:rFonts w:ascii="Times New Roman" w:hAnsi="Times New Roman" w:eastAsia="宋体" w:cs="Times New Roman"/>
                <w:bCs/>
                <w:color w:val="auto"/>
              </w:rPr>
            </w:pPr>
          </w:p>
        </w:tc>
      </w:tr>
      <w:tr w14:paraId="5F8A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60BE3DF9">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水污染物</w:t>
            </w:r>
          </w:p>
        </w:tc>
        <w:tc>
          <w:tcPr>
            <w:tcW w:w="1521" w:type="dxa"/>
            <w:vAlign w:val="center"/>
          </w:tcPr>
          <w:p w14:paraId="7D5C54F1">
            <w:pPr>
              <w:kinsoku/>
              <w:adjustRightInd/>
              <w:snapToGrid/>
              <w:jc w:val="center"/>
              <w:outlineLvl w:val="0"/>
              <w:rPr>
                <w:rFonts w:ascii="Times New Roman" w:hAnsi="Times New Roman" w:eastAsia="宋体" w:cs="Times New Roman"/>
                <w:bCs/>
                <w:color w:val="auto"/>
                <w:lang w:eastAsia="zh-CN"/>
              </w:rPr>
            </w:pPr>
            <w:r>
              <w:rPr>
                <w:rFonts w:ascii="Times New Roman" w:hAnsi="Times New Roman" w:eastAsia="宋体" w:cs="Times New Roman"/>
                <w:bCs/>
                <w:color w:val="auto"/>
              </w:rPr>
              <w:t>DW001/</w:t>
            </w:r>
            <w:r>
              <w:rPr>
                <w:rFonts w:ascii="Times New Roman" w:hAnsi="Times New Roman" w:eastAsia="宋体" w:cs="Times New Roman"/>
                <w:bCs/>
                <w:color w:val="auto"/>
                <w:lang w:eastAsia="zh-CN"/>
              </w:rPr>
              <w:t>生活污水</w:t>
            </w:r>
            <w:r>
              <w:rPr>
                <w:rFonts w:hint="eastAsia" w:ascii="Times New Roman" w:hAnsi="Times New Roman" w:eastAsia="宋体" w:cs="Times New Roman"/>
                <w:bCs/>
                <w:color w:val="auto"/>
                <w:lang w:eastAsia="zh-CN"/>
              </w:rPr>
              <w:t>、生产废气</w:t>
            </w:r>
          </w:p>
        </w:tc>
        <w:tc>
          <w:tcPr>
            <w:tcW w:w="1448" w:type="dxa"/>
            <w:vAlign w:val="center"/>
          </w:tcPr>
          <w:p w14:paraId="5A33996F">
            <w:pPr>
              <w:kinsoku/>
              <w:adjustRightInd/>
              <w:snapToGrid/>
              <w:jc w:val="center"/>
              <w:outlineLvl w:val="0"/>
              <w:rPr>
                <w:rFonts w:hint="eastAsia" w:ascii="Times New Roman" w:hAnsi="Times New Roman" w:eastAsia="宋体" w:cs="Times New Roman"/>
                <w:bCs/>
                <w:color w:val="auto"/>
                <w:lang w:eastAsia="zh-CN"/>
              </w:rPr>
            </w:pPr>
            <w:r>
              <w:rPr>
                <w:rFonts w:ascii="Times New Roman" w:hAnsi="Times New Roman" w:eastAsia="宋体" w:cs="Times New Roman"/>
                <w:color w:val="auto"/>
              </w:rPr>
              <w:t>pH、COD、BOD</w:t>
            </w:r>
            <w:r>
              <w:rPr>
                <w:rFonts w:ascii="Times New Roman" w:hAnsi="Times New Roman" w:eastAsia="宋体" w:cs="Times New Roman"/>
                <w:color w:val="auto"/>
                <w:vertAlign w:val="subscript"/>
              </w:rPr>
              <w:t>5</w:t>
            </w:r>
            <w:r>
              <w:rPr>
                <w:rFonts w:ascii="Times New Roman" w:hAnsi="Times New Roman" w:eastAsia="宋体" w:cs="Times New Roman"/>
                <w:color w:val="auto"/>
              </w:rPr>
              <w:t>、SS、NH</w:t>
            </w:r>
            <w:r>
              <w:rPr>
                <w:rFonts w:ascii="Times New Roman" w:hAnsi="Times New Roman" w:eastAsia="宋体" w:cs="Times New Roman"/>
                <w:color w:val="auto"/>
                <w:vertAlign w:val="subscript"/>
              </w:rPr>
              <w:t>3</w:t>
            </w:r>
            <w:r>
              <w:rPr>
                <w:rFonts w:ascii="Times New Roman" w:hAnsi="Times New Roman" w:eastAsia="宋体" w:cs="Times New Roman"/>
                <w:color w:val="auto"/>
              </w:rPr>
              <w:t>-N</w:t>
            </w:r>
            <w:r>
              <w:rPr>
                <w:rFonts w:hint="eastAsia" w:ascii="Times New Roman" w:hAnsi="Times New Roman" w:eastAsia="宋体" w:cs="Times New Roman"/>
                <w:color w:val="auto"/>
                <w:lang w:eastAsia="zh-CN"/>
              </w:rPr>
              <w:t>、石油类</w:t>
            </w:r>
          </w:p>
        </w:tc>
        <w:tc>
          <w:tcPr>
            <w:tcW w:w="2341" w:type="dxa"/>
            <w:vAlign w:val="center"/>
          </w:tcPr>
          <w:p w14:paraId="08922925">
            <w:pPr>
              <w:kinsoku/>
              <w:adjustRightInd/>
              <w:snapToGrid/>
              <w:jc w:val="center"/>
              <w:outlineLvl w:val="0"/>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生产废水经自建污水处理站处理后与</w:t>
            </w:r>
            <w:r>
              <w:rPr>
                <w:rFonts w:ascii="Times New Roman" w:hAnsi="Times New Roman" w:eastAsia="宋体" w:cs="Times New Roman"/>
                <w:bCs/>
                <w:color w:val="auto"/>
                <w:lang w:eastAsia="zh-CN"/>
              </w:rPr>
              <w:t>生活污水经化粪池处理后，排入园区污水管网</w:t>
            </w:r>
          </w:p>
        </w:tc>
        <w:tc>
          <w:tcPr>
            <w:tcW w:w="4226" w:type="dxa"/>
            <w:vAlign w:val="center"/>
          </w:tcPr>
          <w:p w14:paraId="6A41208B">
            <w:pPr>
              <w:kinsoku/>
              <w:adjustRightInd/>
              <w:snapToGrid/>
              <w:jc w:val="center"/>
              <w:outlineLvl w:val="0"/>
              <w:rPr>
                <w:rFonts w:ascii="Times New Roman" w:hAnsi="Times New Roman" w:eastAsia="宋体" w:cs="Times New Roman"/>
                <w:bCs/>
                <w:color w:val="auto"/>
                <w:lang w:eastAsia="zh-CN" w:bidi="ar"/>
              </w:rPr>
            </w:pPr>
            <w:r>
              <w:rPr>
                <w:rFonts w:ascii="Times New Roman" w:hAnsi="Times New Roman" w:eastAsia="宋体" w:cs="Times New Roman"/>
                <w:bCs/>
                <w:color w:val="auto"/>
                <w:lang w:eastAsia="zh-CN"/>
              </w:rPr>
              <w:t>满足《污水综合排放标准》（GB8978-1996）三级标准并满足</w:t>
            </w:r>
            <w:r>
              <w:rPr>
                <w:rFonts w:hint="eastAsia" w:ascii="Times New Roman" w:hAnsi="Times New Roman" w:eastAsia="宋体" w:cs="Times New Roman"/>
                <w:lang w:eastAsia="zh-CN" w:bidi="ar"/>
              </w:rPr>
              <w:t>宿州市埇桥区曹村污水处理有限公司接管标准</w:t>
            </w:r>
          </w:p>
        </w:tc>
      </w:tr>
      <w:tr w14:paraId="121C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5B72A24E">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声环境</w:t>
            </w:r>
          </w:p>
        </w:tc>
        <w:tc>
          <w:tcPr>
            <w:tcW w:w="1521" w:type="dxa"/>
            <w:vAlign w:val="center"/>
          </w:tcPr>
          <w:p w14:paraId="57C96E10">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生产设备</w:t>
            </w:r>
          </w:p>
        </w:tc>
        <w:tc>
          <w:tcPr>
            <w:tcW w:w="1448" w:type="dxa"/>
            <w:vAlign w:val="center"/>
          </w:tcPr>
          <w:p w14:paraId="659052F2">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设备噪声</w:t>
            </w:r>
          </w:p>
        </w:tc>
        <w:tc>
          <w:tcPr>
            <w:tcW w:w="2341" w:type="dxa"/>
            <w:vAlign w:val="center"/>
          </w:tcPr>
          <w:p w14:paraId="6CCB06C5">
            <w:pPr>
              <w:kinsoku/>
              <w:adjustRightInd/>
              <w:snapToGrid/>
              <w:jc w:val="center"/>
              <w:outlineLvl w:val="0"/>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生产车间内噪声源经生产车间隔声及距离衰减，随时进行检修，使其保持正常的工作状态</w:t>
            </w:r>
          </w:p>
        </w:tc>
        <w:tc>
          <w:tcPr>
            <w:tcW w:w="4226" w:type="dxa"/>
            <w:vAlign w:val="center"/>
          </w:tcPr>
          <w:p w14:paraId="43CFB33F">
            <w:pPr>
              <w:kinsoku/>
              <w:adjustRightInd/>
              <w:snapToGrid/>
              <w:jc w:val="center"/>
              <w:outlineLvl w:val="0"/>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eastAsia="zh-CN"/>
              </w:rPr>
              <w:t>各厂界</w:t>
            </w:r>
            <w:r>
              <w:rPr>
                <w:rFonts w:ascii="Times New Roman" w:hAnsi="Times New Roman" w:eastAsia="宋体" w:cs="Times New Roman"/>
                <w:bCs/>
                <w:color w:val="auto"/>
                <w:lang w:eastAsia="zh-CN"/>
              </w:rPr>
              <w:t>满足《工业企业厂界环境噪声排放标准》（GB12348-2008）中</w:t>
            </w:r>
            <w:r>
              <w:rPr>
                <w:rFonts w:hint="eastAsia" w:ascii="Times New Roman" w:hAnsi="Times New Roman" w:eastAsia="宋体" w:cs="Times New Roman"/>
                <w:bCs/>
                <w:color w:val="auto"/>
                <w:lang w:eastAsia="zh-CN"/>
              </w:rPr>
              <w:t>3</w:t>
            </w:r>
            <w:r>
              <w:rPr>
                <w:rFonts w:ascii="Times New Roman" w:hAnsi="Times New Roman" w:eastAsia="宋体" w:cs="Times New Roman"/>
                <w:bCs/>
                <w:color w:val="auto"/>
                <w:lang w:eastAsia="zh-CN"/>
              </w:rPr>
              <w:t>类标准</w:t>
            </w:r>
            <w:r>
              <w:rPr>
                <w:rFonts w:hint="eastAsia" w:ascii="Times New Roman" w:hAnsi="Times New Roman" w:eastAsia="宋体" w:cs="Times New Roman"/>
                <w:bCs/>
                <w:color w:val="auto"/>
                <w:lang w:eastAsia="zh-CN"/>
              </w:rPr>
              <w:t>，敏感点三环小区满足《声环境质量标准》(GB 3096-2008)中</w:t>
            </w:r>
            <w:r>
              <w:rPr>
                <w:rFonts w:hint="eastAsia" w:ascii="Times New Roman" w:hAnsi="Times New Roman" w:eastAsia="宋体" w:cs="Times New Roman"/>
                <w:bCs/>
                <w:color w:val="auto"/>
                <w:lang w:val="en-US" w:eastAsia="zh-CN"/>
              </w:rPr>
              <w:t>2类标准</w:t>
            </w:r>
          </w:p>
        </w:tc>
      </w:tr>
      <w:tr w14:paraId="32F4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60AF3E50">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固体废物</w:t>
            </w:r>
          </w:p>
        </w:tc>
        <w:tc>
          <w:tcPr>
            <w:tcW w:w="0" w:type="auto"/>
            <w:gridSpan w:val="4"/>
            <w:vAlign w:val="center"/>
          </w:tcPr>
          <w:p w14:paraId="3DF67507">
            <w:pPr>
              <w:kinsoku/>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hint="eastAsia" w:ascii="宋体" w:hAnsi="宋体" w:eastAsia="宋体" w:cs="宋体"/>
                <w:color w:val="000000" w:themeColor="text1"/>
                <w:sz w:val="24"/>
                <w:szCs w:val="24"/>
                <w:lang w:eastAsia="zh-CN"/>
                <w14:textFill>
                  <w14:solidFill>
                    <w14:schemeClr w14:val="tx1"/>
                  </w14:solidFill>
                </w14:textFill>
              </w:rPr>
              <w:t>废包装袋、废金属边角料、焊渣、废收集粉尘、废布袋、废钢丸、挂钩残留物集中收集后外售，废活性炭、废过滤棉、废槽渣、污泥、废树脂在厂区危废暂存间暂存后委托有资质单位处置，生活垃圾交由环卫部门处置</w:t>
            </w:r>
            <w:r>
              <w:rPr>
                <w:rFonts w:hint="eastAsia" w:ascii="宋体" w:hAnsi="宋体" w:eastAsia="宋体" w:cs="宋体"/>
                <w:bCs/>
                <w:color w:val="000000" w:themeColor="text1"/>
                <w:sz w:val="24"/>
                <w:szCs w:val="24"/>
                <w:lang w:eastAsia="zh-CN"/>
                <w14:textFill>
                  <w14:solidFill>
                    <w14:schemeClr w14:val="tx1"/>
                  </w14:solidFill>
                </w14:textFill>
              </w:rPr>
              <w:t>。</w:t>
            </w:r>
          </w:p>
        </w:tc>
      </w:tr>
      <w:tr w14:paraId="0C7A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66C43A09">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土壤及地下水污染防治措施</w:t>
            </w:r>
          </w:p>
        </w:tc>
        <w:tc>
          <w:tcPr>
            <w:tcW w:w="0" w:type="auto"/>
            <w:gridSpan w:val="4"/>
            <w:vAlign w:val="center"/>
          </w:tcPr>
          <w:p w14:paraId="10F36568">
            <w:pPr>
              <w:kinsoku/>
              <w:adjustRightInd/>
              <w:snapToGrid/>
              <w:spacing w:line="360" w:lineRule="auto"/>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分区防渗：</w:t>
            </w:r>
          </w:p>
          <w:p w14:paraId="6485FD1A">
            <w:pPr>
              <w:kinsoku/>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（1）重点防渗</w:t>
            </w:r>
            <w:r>
              <w:rPr>
                <w:rFonts w:ascii="Times New Roman" w:hAnsi="Times New Roman" w:eastAsia="宋体" w:cs="Times New Roman"/>
                <w:bCs/>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lang w:eastAsia="zh-CN"/>
                <w14:textFill>
                  <w14:solidFill>
                    <w14:schemeClr w14:val="tx1"/>
                  </w14:solidFill>
                </w14:textFill>
              </w:rPr>
              <w:t>基础必须防渗，防渗层等效为至少</w:t>
            </w:r>
            <w:r>
              <w:rPr>
                <w:rFonts w:hint="eastAsia" w:ascii="Times New Roman" w:hAnsi="Times New Roman" w:eastAsia="宋体" w:cs="Times New Roman"/>
                <w:color w:val="000000" w:themeColor="text1"/>
                <w:sz w:val="24"/>
                <w:szCs w:val="24"/>
                <w:lang w:eastAsia="zh-CN"/>
                <w14:textFill>
                  <w14:solidFill>
                    <w14:schemeClr w14:val="tx1"/>
                  </w14:solidFill>
                </w14:textFill>
              </w:rPr>
              <w:t>6</w:t>
            </w:r>
            <w:r>
              <w:rPr>
                <w:rFonts w:ascii="Times New Roman" w:hAnsi="Times New Roman" w:eastAsia="宋体" w:cs="Times New Roman"/>
                <w:color w:val="000000" w:themeColor="text1"/>
                <w:sz w:val="24"/>
                <w:szCs w:val="24"/>
                <w:lang w:eastAsia="zh-CN"/>
                <w14:textFill>
                  <w14:solidFill>
                    <w14:schemeClr w14:val="tx1"/>
                  </w14:solidFill>
                </w14:textFill>
              </w:rPr>
              <w:t>米厚粘土层（渗透系数≤10</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-7</w:t>
            </w:r>
            <w:r>
              <w:rPr>
                <w:rFonts w:ascii="Times New Roman" w:hAnsi="Times New Roman" w:eastAsia="宋体" w:cs="Times New Roman"/>
                <w:color w:val="000000" w:themeColor="text1"/>
                <w:sz w:val="24"/>
                <w:szCs w:val="24"/>
                <w:lang w:eastAsia="zh-CN"/>
                <w14:textFill>
                  <w14:solidFill>
                    <w14:schemeClr w14:val="tx1"/>
                  </w14:solidFill>
                </w14:textFill>
              </w:rPr>
              <w:t>cm/s），或2mm厚高密度聚乙烯，或至少2mm厚的其它人工材料，渗透系数≤10</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-10</w:t>
            </w:r>
            <w:r>
              <w:rPr>
                <w:rFonts w:ascii="Times New Roman" w:hAnsi="Times New Roman" w:eastAsia="宋体" w:cs="Times New Roman"/>
                <w:color w:val="000000" w:themeColor="text1"/>
                <w:sz w:val="24"/>
                <w:szCs w:val="24"/>
                <w:lang w:eastAsia="zh-CN"/>
                <w14:textFill>
                  <w14:solidFill>
                    <w14:schemeClr w14:val="tx1"/>
                  </w14:solidFill>
                </w14:textFill>
              </w:rPr>
              <w:t>cm/s。</w:t>
            </w:r>
          </w:p>
          <w:p w14:paraId="034BC2BD">
            <w:pPr>
              <w:kinsoku/>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（2）一般防渗：采用天然或人工材料构筑防渗层，防渗层的厚度应相当于渗透系数1.0×10</w:t>
            </w:r>
            <w:r>
              <w:rPr>
                <w:rFonts w:ascii="Times New Roman" w:hAnsi="Times New Roman" w:eastAsia="宋体" w:cs="Times New Roman"/>
                <w:bCs/>
                <w:color w:val="auto"/>
                <w:sz w:val="24"/>
                <w:szCs w:val="24"/>
                <w:vertAlign w:val="superscript"/>
                <w:lang w:eastAsia="zh-CN"/>
              </w:rPr>
              <w:t>-7</w:t>
            </w:r>
            <w:r>
              <w:rPr>
                <w:rFonts w:ascii="Times New Roman" w:hAnsi="Times New Roman" w:eastAsia="宋体" w:cs="Times New Roman"/>
                <w:bCs/>
                <w:color w:val="auto"/>
                <w:sz w:val="24"/>
                <w:szCs w:val="24"/>
                <w:lang w:eastAsia="zh-CN"/>
              </w:rPr>
              <w:t>cm/s和厚度1.5m的粘土层的防渗性能。</w:t>
            </w:r>
          </w:p>
        </w:tc>
      </w:tr>
      <w:tr w14:paraId="6EA9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52089699">
            <w:pPr>
              <w:kinsoku/>
              <w:adjustRightInd/>
              <w:snapToGrid/>
              <w:jc w:val="center"/>
              <w:outlineLvl w:val="0"/>
              <w:rPr>
                <w:rFonts w:ascii="Times New Roman" w:hAnsi="Times New Roman" w:eastAsia="宋体" w:cs="Times New Roman"/>
                <w:bCs/>
                <w:color w:val="auto"/>
              </w:rPr>
            </w:pPr>
            <w:r>
              <w:rPr>
                <w:rFonts w:ascii="Times New Roman" w:hAnsi="Times New Roman" w:eastAsia="宋体" w:cs="Times New Roman"/>
                <w:bCs/>
                <w:color w:val="auto"/>
              </w:rPr>
              <w:t>环境风险管控措施</w:t>
            </w:r>
          </w:p>
        </w:tc>
        <w:tc>
          <w:tcPr>
            <w:tcW w:w="0" w:type="auto"/>
            <w:gridSpan w:val="4"/>
            <w:vAlign w:val="center"/>
          </w:tcPr>
          <w:p w14:paraId="2E863B99">
            <w:pPr>
              <w:numPr>
                <w:ilvl w:val="0"/>
                <w:numId w:val="8"/>
              </w:numPr>
              <w:kinsoku/>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建设单位须制订环境突发事故应急预案，一旦突发环境风险事故，必须立即按应急预案提到的紧急处理、救援、监测方案等进行紧急救援，救援人员采取相应的防护措施，以避免造成人员伤亡事故。</w:t>
            </w:r>
          </w:p>
        </w:tc>
      </w:tr>
      <w:tr w14:paraId="1BBE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6A43B9CE">
            <w:pPr>
              <w:kinsoku/>
              <w:adjustRightInd/>
              <w:snapToGrid/>
              <w:jc w:val="center"/>
              <w:outlineLvl w:val="0"/>
              <w:rPr>
                <w:rFonts w:ascii="Times New Roman" w:hAnsi="Times New Roman" w:eastAsia="宋体" w:cs="Times New Roman"/>
                <w:b/>
                <w:bCs/>
                <w:color w:val="auto"/>
              </w:rPr>
            </w:pPr>
            <w:r>
              <w:rPr>
                <w:rFonts w:ascii="Times New Roman" w:hAnsi="Times New Roman" w:eastAsia="宋体" w:cs="Times New Roman"/>
                <w:color w:val="auto"/>
              </w:rPr>
              <w:t>其他环境管理要求</w:t>
            </w:r>
          </w:p>
        </w:tc>
        <w:tc>
          <w:tcPr>
            <w:tcW w:w="0" w:type="auto"/>
            <w:gridSpan w:val="4"/>
            <w:vAlign w:val="center"/>
          </w:tcPr>
          <w:p w14:paraId="433BFA90">
            <w:pPr>
              <w:kinsoku/>
              <w:adjustRightInd/>
              <w:snapToGrid/>
              <w:spacing w:line="360" w:lineRule="auto"/>
              <w:ind w:firstLine="482" w:firstLineChars="200"/>
              <w:rPr>
                <w:rFonts w:ascii="Times New Roman" w:hAnsi="Times New Roman" w:eastAsia="宋体" w:cs="Times New Roman"/>
                <w:b/>
                <w:bCs/>
                <w:color w:val="auto"/>
                <w:sz w:val="24"/>
                <w:szCs w:val="24"/>
                <w:lang w:eastAsia="zh-CN" w:bidi="ar"/>
              </w:rPr>
            </w:pPr>
            <w:r>
              <w:rPr>
                <w:rFonts w:ascii="Times New Roman" w:hAnsi="Times New Roman" w:eastAsia="宋体" w:cs="Times New Roman"/>
                <w:b/>
                <w:bCs/>
                <w:color w:val="auto"/>
                <w:sz w:val="24"/>
                <w:szCs w:val="24"/>
                <w:lang w:eastAsia="zh-CN" w:bidi="ar"/>
              </w:rPr>
              <w:t>1、排放口规范化及信息公开化</w:t>
            </w:r>
          </w:p>
          <w:p w14:paraId="6F084146">
            <w:pPr>
              <w:kinsoku/>
              <w:adjustRightInd/>
              <w:snapToGrid/>
              <w:spacing w:line="360" w:lineRule="auto"/>
              <w:ind w:firstLine="480" w:firstLineChars="200"/>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根据《关于开展排放口规范化整治工作的通知》（环发[1999]24号）、《排污口规范化整治技术要求》（环监[1996]470号）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2ABD07E7">
            <w:pPr>
              <w:kinsoku/>
              <w:adjustRightInd/>
              <w:snapToGrid/>
              <w:spacing w:line="360" w:lineRule="auto"/>
              <w:ind w:firstLine="482" w:firstLineChars="200"/>
              <w:rPr>
                <w:rFonts w:ascii="Times New Roman" w:hAnsi="Times New Roman" w:eastAsia="宋体" w:cs="Times New Roman"/>
                <w:b/>
                <w:bCs/>
                <w:color w:val="auto"/>
                <w:sz w:val="24"/>
                <w:szCs w:val="24"/>
                <w:lang w:eastAsia="zh-CN" w:bidi="ar"/>
              </w:rPr>
            </w:pPr>
            <w:r>
              <w:rPr>
                <w:rFonts w:ascii="Times New Roman" w:hAnsi="Times New Roman" w:eastAsia="宋体" w:cs="Times New Roman"/>
                <w:b/>
                <w:bCs/>
                <w:color w:val="auto"/>
                <w:sz w:val="24"/>
                <w:szCs w:val="24"/>
                <w:lang w:eastAsia="zh-CN" w:bidi="ar"/>
              </w:rPr>
              <w:t>2、排污许可衔接</w:t>
            </w:r>
          </w:p>
          <w:p w14:paraId="30E4EAEE">
            <w:pPr>
              <w:kinsoku/>
              <w:adjustRightInd/>
              <w:snapToGrid/>
              <w:spacing w:line="360" w:lineRule="auto"/>
              <w:ind w:firstLine="480" w:firstLineChars="200"/>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根据《关于做好环境影响评价制度与排污许可制衔接相关工作的通知》(环办环评[2017]184号)，项目应在获得环评审批文件后，按照《固定污染源排污许可分类管理名录》确定管理类别，并按照国家环境保护相关法律法规以及排污许可证申请与核发技术规范要求申请排污许可证，不得无证排污或不按证排污，并根据相关要求执行自行监测、台账记录等要求。根据固定污染源排污许可分类管理名录，本项目排污许可为</w:t>
            </w:r>
            <w:r>
              <w:rPr>
                <w:rFonts w:hint="eastAsia" w:ascii="Times New Roman" w:hAnsi="Times New Roman" w:eastAsia="宋体" w:cs="Times New Roman"/>
                <w:color w:val="auto"/>
                <w:sz w:val="24"/>
                <w:szCs w:val="24"/>
                <w:lang w:eastAsia="zh-CN" w:bidi="ar"/>
              </w:rPr>
              <w:t>简化</w:t>
            </w:r>
            <w:r>
              <w:rPr>
                <w:rFonts w:ascii="Times New Roman" w:hAnsi="Times New Roman" w:eastAsia="宋体" w:cs="Times New Roman"/>
                <w:color w:val="auto"/>
                <w:sz w:val="24"/>
                <w:szCs w:val="24"/>
                <w:lang w:eastAsia="zh-CN" w:bidi="ar"/>
              </w:rPr>
              <w:t>管理。</w:t>
            </w:r>
          </w:p>
          <w:p w14:paraId="59158746">
            <w:pPr>
              <w:kinsoku/>
              <w:adjustRightInd/>
              <w:snapToGrid/>
              <w:spacing w:line="360" w:lineRule="auto"/>
              <w:ind w:firstLine="482" w:firstLineChars="200"/>
              <w:rPr>
                <w:rFonts w:ascii="Times New Roman" w:hAnsi="Times New Roman" w:eastAsia="宋体" w:cs="Times New Roman"/>
                <w:b/>
                <w:bCs/>
                <w:color w:val="auto"/>
                <w:sz w:val="24"/>
                <w:szCs w:val="24"/>
                <w:lang w:eastAsia="zh-CN" w:bidi="ar"/>
              </w:rPr>
            </w:pPr>
            <w:r>
              <w:rPr>
                <w:rFonts w:ascii="Times New Roman" w:hAnsi="Times New Roman" w:eastAsia="宋体" w:cs="Times New Roman"/>
                <w:b/>
                <w:bCs/>
                <w:color w:val="auto"/>
                <w:sz w:val="24"/>
                <w:szCs w:val="24"/>
                <w:lang w:eastAsia="zh-CN" w:bidi="ar"/>
              </w:rPr>
              <w:t>3、竣工环境保护设施验收</w:t>
            </w:r>
          </w:p>
          <w:p w14:paraId="29F367F7">
            <w:pPr>
              <w:kinsoku/>
              <w:adjustRightInd/>
              <w:snapToGrid/>
              <w:spacing w:line="360" w:lineRule="auto"/>
              <w:ind w:firstLine="480" w:firstLineChars="200"/>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根据《建设项目竣工环境保护验收暂行办法》的规定，建设项目竣工后，建设单位应当如实查验、监测、记载建设项目环境保护设施的建设和调试情况，编制验收监测报告。</w:t>
            </w:r>
          </w:p>
          <w:p w14:paraId="79E838E8">
            <w:pPr>
              <w:kinsoku/>
              <w:adjustRightInd/>
              <w:snapToGrid/>
              <w:rPr>
                <w:rFonts w:ascii="Times New Roman" w:hAnsi="Times New Roman" w:eastAsia="宋体" w:cs="Times New Roman"/>
                <w:color w:val="auto"/>
                <w:sz w:val="24"/>
                <w:szCs w:val="24"/>
                <w:lang w:eastAsia="zh-CN" w:bidi="ar"/>
              </w:rPr>
            </w:pPr>
          </w:p>
          <w:p w14:paraId="2C60E1AB">
            <w:pPr>
              <w:kinsoku/>
              <w:adjustRightInd/>
              <w:snapToGrid/>
              <w:rPr>
                <w:rFonts w:ascii="Times New Roman" w:hAnsi="Times New Roman" w:eastAsia="宋体" w:cs="Times New Roman"/>
                <w:color w:val="auto"/>
                <w:lang w:eastAsia="zh-CN"/>
              </w:rPr>
            </w:pPr>
          </w:p>
        </w:tc>
      </w:tr>
    </w:tbl>
    <w:p w14:paraId="2A3C8B20">
      <w:pPr>
        <w:pStyle w:val="8"/>
        <w:rPr>
          <w:rFonts w:ascii="Times New Roman" w:hAnsi="Times New Roman" w:eastAsia="宋体" w:cs="Times New Roman"/>
          <w:color w:val="auto"/>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94DC41">
      <w:pPr>
        <w:pStyle w:val="20"/>
        <w:spacing w:before="0" w:beforeAutospacing="0" w:after="0" w:afterAutospacing="0"/>
        <w:jc w:val="center"/>
        <w:rPr>
          <w:rFonts w:hint="eastAsia" w:ascii="方正小标宋_GBK" w:hAnsi="黑体" w:eastAsia="方正小标宋_GBK"/>
          <w:color w:val="auto"/>
          <w:sz w:val="38"/>
          <w:szCs w:val="38"/>
          <w:lang w:eastAsia="zh-CN"/>
        </w:rPr>
      </w:pPr>
      <w:r>
        <w:rPr>
          <w:rFonts w:hint="eastAsia" w:eastAsia="宋体" w:cs="宋体"/>
          <w:color w:val="auto"/>
          <w:sz w:val="38"/>
          <w:szCs w:val="38"/>
          <w:lang w:eastAsia="zh-CN"/>
        </w:rPr>
        <w:t>建设项目污染物排放量汇总表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861"/>
        <w:gridCol w:w="1729"/>
        <w:gridCol w:w="1298"/>
        <w:gridCol w:w="1729"/>
        <w:gridCol w:w="1583"/>
        <w:gridCol w:w="1640"/>
        <w:gridCol w:w="1691"/>
        <w:gridCol w:w="1289"/>
      </w:tblGrid>
      <w:tr w14:paraId="0DAD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193" w:type="dxa"/>
            <w:tcBorders>
              <w:tl2br w:val="nil"/>
              <w:tr2bl w:val="nil"/>
            </w:tcBorders>
            <w:tcMar>
              <w:left w:w="28" w:type="dxa"/>
              <w:right w:w="28" w:type="dxa"/>
            </w:tcMar>
            <w:vAlign w:val="center"/>
          </w:tcPr>
          <w:p w14:paraId="41D272D2">
            <w:pPr>
              <w:pStyle w:val="31"/>
              <w:ind w:left="396" w:leftChars="0"/>
              <w:rPr>
                <w:rFonts w:ascii="Times New Roman" w:hAnsi="Times New Roman" w:eastAsia="宋体" w:cs="Times New Roman"/>
                <w:spacing w:val="-6"/>
                <w:kern w:val="21"/>
              </w:rPr>
            </w:pPr>
            <w:r>
              <w:rPr>
                <w:rFonts w:ascii="Times New Roman" w:hAnsi="Times New Roman" w:eastAsia="宋体" w:cs="Times New Roman"/>
                <w:spacing w:val="-6"/>
                <w:kern w:val="21"/>
              </w:rPr>
              <w:t>项目</w:t>
            </w:r>
          </w:p>
          <w:p w14:paraId="418BA786">
            <w:pPr>
              <w:pStyle w:val="31"/>
              <w:ind w:left="396" w:leftChars="0"/>
              <w:jc w:val="left"/>
              <w:rPr>
                <w:rFonts w:ascii="Times New Roman" w:hAnsi="Times New Roman" w:eastAsia="宋体" w:cs="Times New Roman"/>
                <w:spacing w:val="-6"/>
                <w:kern w:val="21"/>
              </w:rPr>
            </w:pPr>
            <w:r>
              <w:rPr>
                <w:rFonts w:ascii="Times New Roman" w:hAnsi="Times New Roman" w:eastAsia="宋体" w:cs="Times New Roman"/>
                <w:spacing w:val="-6"/>
                <w:kern w:val="21"/>
              </w:rPr>
              <w:t>分类</w:t>
            </w:r>
          </w:p>
        </w:tc>
        <w:tc>
          <w:tcPr>
            <w:tcW w:w="1861" w:type="dxa"/>
            <w:tcBorders>
              <w:tl2br w:val="nil"/>
              <w:tr2bl w:val="nil"/>
            </w:tcBorders>
            <w:tcMar>
              <w:left w:w="28" w:type="dxa"/>
              <w:right w:w="28" w:type="dxa"/>
            </w:tcMar>
            <w:vAlign w:val="center"/>
          </w:tcPr>
          <w:p w14:paraId="25A6933A">
            <w:pPr>
              <w:pStyle w:val="31"/>
              <w:ind w:left="396" w:leftChars="0"/>
              <w:rPr>
                <w:rFonts w:ascii="Times New Roman" w:hAnsi="Times New Roman" w:eastAsia="宋体" w:cs="Times New Roman"/>
                <w:spacing w:val="-6"/>
                <w:kern w:val="21"/>
              </w:rPr>
            </w:pPr>
            <w:r>
              <w:rPr>
                <w:rFonts w:ascii="Times New Roman" w:hAnsi="Times New Roman" w:eastAsia="宋体" w:cs="Times New Roman"/>
                <w:spacing w:val="-6"/>
                <w:kern w:val="21"/>
              </w:rPr>
              <w:t>污染物名称</w:t>
            </w:r>
          </w:p>
        </w:tc>
        <w:tc>
          <w:tcPr>
            <w:tcW w:w="1729" w:type="dxa"/>
            <w:tcBorders>
              <w:tl2br w:val="nil"/>
              <w:tr2bl w:val="nil"/>
            </w:tcBorders>
            <w:tcMar>
              <w:left w:w="28" w:type="dxa"/>
              <w:right w:w="28" w:type="dxa"/>
            </w:tcMar>
            <w:vAlign w:val="center"/>
          </w:tcPr>
          <w:p w14:paraId="026ADFDB">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现有工程</w:t>
            </w:r>
          </w:p>
          <w:p w14:paraId="591A887C">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排放量（固体废物产生量）</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lang w:eastAsia="zh-CN"/>
              </w:rPr>
              <w:instrText xml:space="preserve"> = 1 \* GB3 \* MERGEFORMAT </w:instrText>
            </w:r>
            <w:r>
              <w:rPr>
                <w:rFonts w:ascii="Times New Roman" w:hAnsi="Times New Roman" w:eastAsia="宋体" w:cs="Times New Roman"/>
                <w:spacing w:val="-6"/>
                <w:kern w:val="21"/>
              </w:rPr>
              <w:fldChar w:fldCharType="separate"/>
            </w:r>
            <w:r>
              <w:rPr>
                <w:rFonts w:ascii="Times New Roman" w:hAnsi="Times New Roman" w:eastAsia="宋体" w:cs="Times New Roman"/>
                <w:kern w:val="2"/>
                <w:lang w:eastAsia="zh-CN"/>
              </w:rPr>
              <w:t>①</w:t>
            </w:r>
            <w:r>
              <w:rPr>
                <w:rFonts w:ascii="Times New Roman" w:hAnsi="Times New Roman" w:eastAsia="宋体" w:cs="Times New Roman"/>
                <w:spacing w:val="-6"/>
                <w:kern w:val="21"/>
              </w:rPr>
              <w:fldChar w:fldCharType="end"/>
            </w:r>
          </w:p>
        </w:tc>
        <w:tc>
          <w:tcPr>
            <w:tcW w:w="1298" w:type="dxa"/>
            <w:tcBorders>
              <w:tl2br w:val="nil"/>
              <w:tr2bl w:val="nil"/>
            </w:tcBorders>
            <w:tcMar>
              <w:left w:w="28" w:type="dxa"/>
              <w:right w:w="28" w:type="dxa"/>
            </w:tcMar>
            <w:vAlign w:val="center"/>
          </w:tcPr>
          <w:p w14:paraId="69F2D22A">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现有工程</w:t>
            </w:r>
          </w:p>
          <w:p w14:paraId="2375934A">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许可排放量</w:t>
            </w:r>
          </w:p>
          <w:p w14:paraId="70A04549">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lang w:eastAsia="zh-CN"/>
              </w:rPr>
              <w:instrText xml:space="preserve"> = 2 \* GB3 \* MERGEFORMAT </w:instrText>
            </w:r>
            <w:r>
              <w:rPr>
                <w:rFonts w:ascii="Times New Roman" w:hAnsi="Times New Roman" w:eastAsia="宋体" w:cs="Times New Roman"/>
                <w:spacing w:val="-6"/>
                <w:kern w:val="21"/>
              </w:rPr>
              <w:fldChar w:fldCharType="separate"/>
            </w:r>
            <w:r>
              <w:rPr>
                <w:rFonts w:ascii="Times New Roman" w:hAnsi="Times New Roman" w:eastAsia="宋体" w:cs="Times New Roman"/>
                <w:spacing w:val="-6"/>
                <w:kern w:val="21"/>
                <w:lang w:eastAsia="zh-CN"/>
              </w:rPr>
              <w:t>②</w:t>
            </w:r>
            <w:r>
              <w:rPr>
                <w:rFonts w:ascii="Times New Roman" w:hAnsi="Times New Roman" w:eastAsia="宋体" w:cs="Times New Roman"/>
                <w:spacing w:val="-6"/>
                <w:kern w:val="21"/>
              </w:rPr>
              <w:fldChar w:fldCharType="end"/>
            </w:r>
          </w:p>
        </w:tc>
        <w:tc>
          <w:tcPr>
            <w:tcW w:w="1729" w:type="dxa"/>
            <w:tcBorders>
              <w:tl2br w:val="nil"/>
              <w:tr2bl w:val="nil"/>
            </w:tcBorders>
            <w:tcMar>
              <w:left w:w="28" w:type="dxa"/>
              <w:right w:w="28" w:type="dxa"/>
            </w:tcMar>
            <w:vAlign w:val="center"/>
          </w:tcPr>
          <w:p w14:paraId="4F8F05B1">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在建工程</w:t>
            </w:r>
          </w:p>
          <w:p w14:paraId="3CDA4106">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排放量（固体废物产生量）</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lang w:eastAsia="zh-CN"/>
              </w:rPr>
              <w:instrText xml:space="preserve"> = 3 \* GB3 \* MERGEFORMAT </w:instrText>
            </w:r>
            <w:r>
              <w:rPr>
                <w:rFonts w:ascii="Times New Roman" w:hAnsi="Times New Roman" w:eastAsia="宋体" w:cs="Times New Roman"/>
                <w:spacing w:val="-6"/>
                <w:kern w:val="21"/>
              </w:rPr>
              <w:fldChar w:fldCharType="separate"/>
            </w:r>
            <w:r>
              <w:rPr>
                <w:rFonts w:ascii="Times New Roman" w:hAnsi="Times New Roman" w:eastAsia="宋体" w:cs="Times New Roman"/>
                <w:kern w:val="2"/>
                <w:lang w:eastAsia="zh-CN"/>
              </w:rPr>
              <w:t>③</w:t>
            </w:r>
            <w:r>
              <w:rPr>
                <w:rFonts w:ascii="Times New Roman" w:hAnsi="Times New Roman" w:eastAsia="宋体" w:cs="Times New Roman"/>
                <w:spacing w:val="-6"/>
                <w:kern w:val="21"/>
              </w:rPr>
              <w:fldChar w:fldCharType="end"/>
            </w:r>
          </w:p>
        </w:tc>
        <w:tc>
          <w:tcPr>
            <w:tcW w:w="1583" w:type="dxa"/>
            <w:tcBorders>
              <w:tl2br w:val="nil"/>
              <w:tr2bl w:val="nil"/>
            </w:tcBorders>
            <w:tcMar>
              <w:left w:w="28" w:type="dxa"/>
              <w:right w:w="28" w:type="dxa"/>
            </w:tcMar>
            <w:vAlign w:val="center"/>
          </w:tcPr>
          <w:p w14:paraId="1BFD6856">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本项目</w:t>
            </w:r>
          </w:p>
          <w:p w14:paraId="639866F5">
            <w:pPr>
              <w:pStyle w:val="31"/>
              <w:ind w:left="396" w:leftChars="0"/>
              <w:rPr>
                <w:rFonts w:ascii="Times New Roman" w:hAnsi="Times New Roman" w:eastAsia="宋体" w:cs="Times New Roman"/>
                <w:spacing w:val="-6"/>
                <w:kern w:val="21"/>
                <w:lang w:eastAsia="zh-CN"/>
              </w:rPr>
            </w:pPr>
            <w:r>
              <w:rPr>
                <w:rFonts w:ascii="Times New Roman" w:hAnsi="Times New Roman" w:eastAsia="宋体" w:cs="Times New Roman"/>
                <w:spacing w:val="-6"/>
                <w:kern w:val="21"/>
                <w:lang w:eastAsia="zh-CN"/>
              </w:rPr>
              <w:t>排放量（固体废物产生量）</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lang w:eastAsia="zh-CN"/>
              </w:rPr>
              <w:instrText xml:space="preserve"> = 4 \* GB3 \* MERGEFORMAT </w:instrText>
            </w:r>
            <w:r>
              <w:rPr>
                <w:rFonts w:ascii="Times New Roman" w:hAnsi="Times New Roman" w:eastAsia="宋体" w:cs="Times New Roman"/>
                <w:spacing w:val="-6"/>
                <w:kern w:val="21"/>
              </w:rPr>
              <w:fldChar w:fldCharType="separate"/>
            </w:r>
            <w:r>
              <w:rPr>
                <w:rFonts w:ascii="Times New Roman" w:hAnsi="Times New Roman" w:eastAsia="宋体" w:cs="Times New Roman"/>
                <w:kern w:val="2"/>
                <w:lang w:eastAsia="zh-CN"/>
              </w:rPr>
              <w:t>④</w:t>
            </w:r>
            <w:r>
              <w:rPr>
                <w:rFonts w:ascii="Times New Roman" w:hAnsi="Times New Roman" w:eastAsia="宋体" w:cs="Times New Roman"/>
                <w:spacing w:val="-6"/>
                <w:kern w:val="21"/>
              </w:rPr>
              <w:fldChar w:fldCharType="end"/>
            </w:r>
          </w:p>
        </w:tc>
        <w:tc>
          <w:tcPr>
            <w:tcW w:w="1640" w:type="dxa"/>
            <w:tcBorders>
              <w:tl2br w:val="nil"/>
              <w:tr2bl w:val="nil"/>
            </w:tcBorders>
            <w:tcMar>
              <w:left w:w="28" w:type="dxa"/>
              <w:right w:w="28" w:type="dxa"/>
            </w:tcMar>
            <w:vAlign w:val="center"/>
          </w:tcPr>
          <w:p w14:paraId="68B2BC4A">
            <w:pPr>
              <w:pStyle w:val="31"/>
              <w:ind w:left="356" w:leftChars="0"/>
              <w:rPr>
                <w:rFonts w:ascii="Times New Roman" w:hAnsi="Times New Roman" w:eastAsia="宋体" w:cs="Times New Roman"/>
                <w:spacing w:val="-16"/>
                <w:kern w:val="21"/>
                <w:lang w:eastAsia="zh-CN"/>
              </w:rPr>
            </w:pPr>
            <w:r>
              <w:rPr>
                <w:rFonts w:ascii="Times New Roman" w:hAnsi="Times New Roman" w:eastAsia="宋体" w:cs="Times New Roman"/>
                <w:spacing w:val="-16"/>
                <w:kern w:val="21"/>
                <w:lang w:eastAsia="zh-CN"/>
              </w:rPr>
              <w:t>以新带老削减量</w:t>
            </w:r>
          </w:p>
          <w:p w14:paraId="2BEE4351">
            <w:pPr>
              <w:pStyle w:val="31"/>
              <w:ind w:left="356" w:leftChars="0"/>
              <w:rPr>
                <w:rFonts w:ascii="Times New Roman" w:hAnsi="Times New Roman" w:eastAsia="宋体" w:cs="Times New Roman"/>
                <w:spacing w:val="-16"/>
                <w:kern w:val="21"/>
                <w:lang w:eastAsia="zh-CN"/>
              </w:rPr>
            </w:pPr>
            <w:r>
              <w:rPr>
                <w:rFonts w:ascii="Times New Roman" w:hAnsi="Times New Roman" w:eastAsia="宋体" w:cs="Times New Roman"/>
                <w:spacing w:val="-16"/>
                <w:kern w:val="21"/>
                <w:lang w:eastAsia="zh-CN"/>
              </w:rPr>
              <w:t>（新建项目不填）</w:t>
            </w:r>
            <w:r>
              <w:rPr>
                <w:rFonts w:ascii="Times New Roman" w:hAnsi="Times New Roman" w:eastAsia="宋体" w:cs="Times New Roman"/>
                <w:spacing w:val="-16"/>
                <w:kern w:val="21"/>
              </w:rPr>
              <w:fldChar w:fldCharType="begin"/>
            </w:r>
            <w:r>
              <w:rPr>
                <w:rFonts w:ascii="Times New Roman" w:hAnsi="Times New Roman" w:eastAsia="宋体" w:cs="Times New Roman"/>
                <w:spacing w:val="-16"/>
                <w:kern w:val="21"/>
                <w:lang w:eastAsia="zh-CN"/>
              </w:rPr>
              <w:instrText xml:space="preserve"> = 5 \* GB3 \* MERGEFORMAT </w:instrText>
            </w:r>
            <w:r>
              <w:rPr>
                <w:rFonts w:ascii="Times New Roman" w:hAnsi="Times New Roman" w:eastAsia="宋体" w:cs="Times New Roman"/>
                <w:spacing w:val="-16"/>
                <w:kern w:val="21"/>
              </w:rPr>
              <w:fldChar w:fldCharType="separate"/>
            </w:r>
            <w:r>
              <w:rPr>
                <w:rFonts w:ascii="Times New Roman" w:hAnsi="Times New Roman" w:eastAsia="宋体" w:cs="Times New Roman"/>
                <w:kern w:val="2"/>
                <w:lang w:eastAsia="zh-CN"/>
              </w:rPr>
              <w:t>⑤</w:t>
            </w:r>
            <w:r>
              <w:rPr>
                <w:rFonts w:ascii="Times New Roman" w:hAnsi="Times New Roman" w:eastAsia="宋体" w:cs="Times New Roman"/>
                <w:spacing w:val="-16"/>
                <w:kern w:val="21"/>
              </w:rPr>
              <w:fldChar w:fldCharType="end"/>
            </w:r>
          </w:p>
        </w:tc>
        <w:tc>
          <w:tcPr>
            <w:tcW w:w="1691" w:type="dxa"/>
            <w:tcBorders>
              <w:tl2br w:val="nil"/>
              <w:tr2bl w:val="nil"/>
            </w:tcBorders>
            <w:tcMar>
              <w:left w:w="28" w:type="dxa"/>
              <w:right w:w="28" w:type="dxa"/>
            </w:tcMar>
            <w:vAlign w:val="center"/>
          </w:tcPr>
          <w:p w14:paraId="6E994B7F">
            <w:pPr>
              <w:pStyle w:val="31"/>
              <w:ind w:left="356" w:leftChars="0"/>
              <w:rPr>
                <w:rFonts w:ascii="Times New Roman" w:hAnsi="Times New Roman" w:eastAsia="宋体" w:cs="Times New Roman"/>
                <w:spacing w:val="-16"/>
                <w:kern w:val="21"/>
                <w:lang w:eastAsia="zh-CN"/>
              </w:rPr>
            </w:pPr>
            <w:r>
              <w:rPr>
                <w:rFonts w:ascii="Times New Roman" w:hAnsi="Times New Roman" w:eastAsia="宋体" w:cs="Times New Roman"/>
                <w:spacing w:val="-16"/>
                <w:kern w:val="21"/>
                <w:lang w:eastAsia="zh-CN"/>
              </w:rPr>
              <w:t>本项目建成后</w:t>
            </w:r>
          </w:p>
          <w:p w14:paraId="09F23582">
            <w:pPr>
              <w:pStyle w:val="31"/>
              <w:ind w:left="356" w:leftChars="0"/>
              <w:rPr>
                <w:rFonts w:ascii="Times New Roman" w:hAnsi="Times New Roman" w:eastAsia="宋体" w:cs="Times New Roman"/>
                <w:spacing w:val="-16"/>
                <w:kern w:val="21"/>
                <w:lang w:eastAsia="zh-CN"/>
              </w:rPr>
            </w:pPr>
            <w:r>
              <w:rPr>
                <w:rFonts w:ascii="Times New Roman" w:hAnsi="Times New Roman" w:eastAsia="宋体" w:cs="Times New Roman"/>
                <w:spacing w:val="-16"/>
                <w:kern w:val="21"/>
                <w:lang w:eastAsia="zh-CN"/>
              </w:rPr>
              <w:t>全厂排放量（固体废物产生量）</w:t>
            </w:r>
            <w:r>
              <w:rPr>
                <w:rFonts w:ascii="Times New Roman" w:hAnsi="Times New Roman" w:eastAsia="宋体" w:cs="Times New Roman"/>
                <w:spacing w:val="-16"/>
                <w:kern w:val="21"/>
              </w:rPr>
              <w:fldChar w:fldCharType="begin"/>
            </w:r>
            <w:r>
              <w:rPr>
                <w:rFonts w:ascii="Times New Roman" w:hAnsi="Times New Roman" w:eastAsia="宋体" w:cs="Times New Roman"/>
                <w:spacing w:val="-16"/>
                <w:kern w:val="21"/>
                <w:lang w:eastAsia="zh-CN"/>
              </w:rPr>
              <w:instrText xml:space="preserve"> = 6 \* GB3 \* MERGEFORMAT </w:instrText>
            </w:r>
            <w:r>
              <w:rPr>
                <w:rFonts w:ascii="Times New Roman" w:hAnsi="Times New Roman" w:eastAsia="宋体" w:cs="Times New Roman"/>
                <w:spacing w:val="-16"/>
                <w:kern w:val="21"/>
              </w:rPr>
              <w:fldChar w:fldCharType="separate"/>
            </w:r>
            <w:r>
              <w:rPr>
                <w:rFonts w:ascii="Times New Roman" w:hAnsi="Times New Roman" w:eastAsia="宋体" w:cs="Times New Roman"/>
                <w:kern w:val="2"/>
                <w:lang w:eastAsia="zh-CN"/>
              </w:rPr>
              <w:t>⑥</w:t>
            </w:r>
            <w:r>
              <w:rPr>
                <w:rFonts w:ascii="Times New Roman" w:hAnsi="Times New Roman" w:eastAsia="宋体" w:cs="Times New Roman"/>
                <w:spacing w:val="-16"/>
                <w:kern w:val="21"/>
              </w:rPr>
              <w:fldChar w:fldCharType="end"/>
            </w:r>
          </w:p>
        </w:tc>
        <w:tc>
          <w:tcPr>
            <w:tcW w:w="1289" w:type="dxa"/>
            <w:tcBorders>
              <w:tl2br w:val="nil"/>
              <w:tr2bl w:val="nil"/>
            </w:tcBorders>
            <w:tcMar>
              <w:left w:w="28" w:type="dxa"/>
              <w:right w:w="28" w:type="dxa"/>
            </w:tcMar>
            <w:vAlign w:val="center"/>
          </w:tcPr>
          <w:p w14:paraId="2BFB8522">
            <w:pPr>
              <w:pStyle w:val="31"/>
              <w:ind w:left="396" w:leftChars="0"/>
              <w:rPr>
                <w:rFonts w:ascii="Times New Roman" w:hAnsi="Times New Roman" w:eastAsia="宋体" w:cs="Times New Roman"/>
                <w:spacing w:val="-6"/>
                <w:kern w:val="21"/>
              </w:rPr>
            </w:pPr>
            <w:r>
              <w:rPr>
                <w:rFonts w:ascii="Times New Roman" w:hAnsi="Times New Roman" w:eastAsia="宋体" w:cs="Times New Roman"/>
                <w:spacing w:val="-6"/>
                <w:kern w:val="21"/>
              </w:rPr>
              <w:t>变化量</w:t>
            </w:r>
          </w:p>
          <w:p w14:paraId="6B2F3913">
            <w:pPr>
              <w:pStyle w:val="31"/>
              <w:ind w:left="396" w:leftChars="0"/>
              <w:rPr>
                <w:rFonts w:ascii="Times New Roman" w:hAnsi="Times New Roman" w:eastAsia="宋体" w:cs="Times New Roman"/>
                <w:spacing w:val="-6"/>
                <w:kern w:val="21"/>
              </w:rPr>
            </w:pP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rPr>
              <w:instrText xml:space="preserve"> = 7 \* GB3 \* MERGEFORMAT </w:instrText>
            </w:r>
            <w:r>
              <w:rPr>
                <w:rFonts w:ascii="Times New Roman" w:hAnsi="Times New Roman" w:eastAsia="宋体" w:cs="Times New Roman"/>
                <w:spacing w:val="-6"/>
                <w:kern w:val="21"/>
              </w:rPr>
              <w:fldChar w:fldCharType="separate"/>
            </w:r>
            <w:r>
              <w:rPr>
                <w:rFonts w:ascii="Times New Roman" w:hAnsi="Times New Roman" w:eastAsia="宋体" w:cs="Times New Roman"/>
                <w:kern w:val="2"/>
              </w:rPr>
              <w:t>⑦</w:t>
            </w:r>
            <w:r>
              <w:rPr>
                <w:rFonts w:ascii="Times New Roman" w:hAnsi="Times New Roman" w:eastAsia="宋体" w:cs="Times New Roman"/>
                <w:spacing w:val="-6"/>
                <w:kern w:val="21"/>
              </w:rPr>
              <w:fldChar w:fldCharType="end"/>
            </w:r>
          </w:p>
        </w:tc>
      </w:tr>
      <w:tr w14:paraId="742F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restart"/>
            <w:tcBorders>
              <w:tl2br w:val="nil"/>
              <w:tr2bl w:val="nil"/>
            </w:tcBorders>
            <w:vAlign w:val="center"/>
          </w:tcPr>
          <w:p w14:paraId="51F8A42E">
            <w:pPr>
              <w:pStyle w:val="31"/>
              <w:ind w:left="420" w:leftChars="0"/>
              <w:rPr>
                <w:rFonts w:ascii="Times New Roman" w:hAnsi="Times New Roman" w:eastAsia="宋体" w:cs="Times New Roman"/>
                <w:kern w:val="21"/>
              </w:rPr>
            </w:pPr>
            <w:r>
              <w:rPr>
                <w:rFonts w:ascii="Times New Roman" w:hAnsi="Times New Roman" w:eastAsia="宋体" w:cs="Times New Roman"/>
                <w:kern w:val="21"/>
              </w:rPr>
              <w:t>废气</w:t>
            </w:r>
          </w:p>
        </w:tc>
        <w:tc>
          <w:tcPr>
            <w:tcW w:w="1861" w:type="dxa"/>
            <w:tcBorders>
              <w:tl2br w:val="nil"/>
              <w:tr2bl w:val="nil"/>
            </w:tcBorders>
            <w:vAlign w:val="center"/>
          </w:tcPr>
          <w:p w14:paraId="4ABF680E">
            <w:pPr>
              <w:pStyle w:val="31"/>
              <w:ind w:left="420" w:leftChars="0"/>
              <w:rPr>
                <w:rFonts w:ascii="Times New Roman" w:hAnsi="Times New Roman" w:eastAsia="宋体" w:cs="Times New Roman"/>
                <w:kern w:val="21"/>
              </w:rPr>
            </w:pPr>
            <w:r>
              <w:rPr>
                <w:rFonts w:ascii="Times New Roman" w:hAnsi="Times New Roman" w:eastAsia="宋体" w:cs="Times New Roman"/>
                <w:kern w:val="21"/>
              </w:rPr>
              <w:t>颗粒物</w:t>
            </w:r>
          </w:p>
        </w:tc>
        <w:tc>
          <w:tcPr>
            <w:tcW w:w="1729" w:type="dxa"/>
            <w:tcBorders>
              <w:tl2br w:val="nil"/>
              <w:tr2bl w:val="nil"/>
            </w:tcBorders>
            <w:vAlign w:val="center"/>
          </w:tcPr>
          <w:p w14:paraId="2C07B7C8">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0.1671</w:t>
            </w:r>
          </w:p>
        </w:tc>
        <w:tc>
          <w:tcPr>
            <w:tcW w:w="1298" w:type="dxa"/>
            <w:tcBorders>
              <w:tl2br w:val="nil"/>
              <w:tr2bl w:val="nil"/>
            </w:tcBorders>
            <w:vAlign w:val="center"/>
          </w:tcPr>
          <w:p w14:paraId="3F222D34">
            <w:pPr>
              <w:pStyle w:val="31"/>
              <w:ind w:left="420" w:leftChars="0"/>
              <w:jc w:val="center"/>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1.481</w:t>
            </w:r>
          </w:p>
        </w:tc>
        <w:tc>
          <w:tcPr>
            <w:tcW w:w="1729" w:type="dxa"/>
            <w:tcBorders>
              <w:tl2br w:val="nil"/>
              <w:tr2bl w:val="nil"/>
            </w:tcBorders>
            <w:vAlign w:val="center"/>
          </w:tcPr>
          <w:p w14:paraId="1D2CEA8D">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5F2EE1B6">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0.3881</w:t>
            </w:r>
          </w:p>
        </w:tc>
        <w:tc>
          <w:tcPr>
            <w:tcW w:w="1640" w:type="dxa"/>
            <w:tcBorders>
              <w:tl2br w:val="nil"/>
              <w:tr2bl w:val="nil"/>
            </w:tcBorders>
            <w:vAlign w:val="center"/>
          </w:tcPr>
          <w:p w14:paraId="2495EFB1">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w:t>
            </w:r>
          </w:p>
        </w:tc>
        <w:tc>
          <w:tcPr>
            <w:tcW w:w="1691" w:type="dxa"/>
            <w:tcBorders>
              <w:tl2br w:val="nil"/>
              <w:tr2bl w:val="nil"/>
            </w:tcBorders>
            <w:vAlign w:val="center"/>
          </w:tcPr>
          <w:p w14:paraId="27191459">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0.3881</w:t>
            </w:r>
          </w:p>
        </w:tc>
        <w:tc>
          <w:tcPr>
            <w:tcW w:w="1289" w:type="dxa"/>
            <w:tcBorders>
              <w:tl2br w:val="nil"/>
              <w:tr2bl w:val="nil"/>
            </w:tcBorders>
            <w:vAlign w:val="center"/>
          </w:tcPr>
          <w:p w14:paraId="082E52E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+0.221</w:t>
            </w:r>
          </w:p>
        </w:tc>
      </w:tr>
      <w:tr w14:paraId="103A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54C697F7">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61C0C681">
            <w:pPr>
              <w:pStyle w:val="31"/>
              <w:ind w:left="420" w:leftChars="0"/>
              <w:rPr>
                <w:rFonts w:ascii="Times New Roman" w:hAnsi="Times New Roman" w:eastAsia="宋体" w:cs="Times New Roman"/>
                <w:kern w:val="21"/>
              </w:rPr>
            </w:pPr>
            <w:r>
              <w:rPr>
                <w:rFonts w:ascii="Times New Roman" w:hAnsi="Times New Roman" w:eastAsia="宋体" w:cs="Times New Roman"/>
                <w:kern w:val="21"/>
              </w:rPr>
              <w:t>非甲烷总烃</w:t>
            </w:r>
          </w:p>
        </w:tc>
        <w:tc>
          <w:tcPr>
            <w:tcW w:w="1729" w:type="dxa"/>
            <w:tcBorders>
              <w:tl2br w:val="nil"/>
              <w:tr2bl w:val="nil"/>
            </w:tcBorders>
            <w:vAlign w:val="center"/>
          </w:tcPr>
          <w:p w14:paraId="3B8C32A8">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0.0971</w:t>
            </w:r>
          </w:p>
        </w:tc>
        <w:tc>
          <w:tcPr>
            <w:tcW w:w="1298" w:type="dxa"/>
            <w:tcBorders>
              <w:tl2br w:val="nil"/>
              <w:tr2bl w:val="nil"/>
            </w:tcBorders>
            <w:vAlign w:val="center"/>
          </w:tcPr>
          <w:p w14:paraId="0C80312C">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0.447</w:t>
            </w:r>
          </w:p>
        </w:tc>
        <w:tc>
          <w:tcPr>
            <w:tcW w:w="1729" w:type="dxa"/>
            <w:tcBorders>
              <w:tl2br w:val="nil"/>
              <w:tr2bl w:val="nil"/>
            </w:tcBorders>
            <w:vAlign w:val="center"/>
          </w:tcPr>
          <w:p w14:paraId="2CEB2C2B">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550A3686">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0.1352</w:t>
            </w:r>
          </w:p>
        </w:tc>
        <w:tc>
          <w:tcPr>
            <w:tcW w:w="1640" w:type="dxa"/>
            <w:tcBorders>
              <w:tl2br w:val="nil"/>
              <w:tr2bl w:val="nil"/>
            </w:tcBorders>
            <w:vAlign w:val="center"/>
          </w:tcPr>
          <w:p w14:paraId="03DAA8C5">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91" w:type="dxa"/>
            <w:tcBorders>
              <w:tl2br w:val="nil"/>
              <w:tr2bl w:val="nil"/>
            </w:tcBorders>
            <w:vAlign w:val="center"/>
          </w:tcPr>
          <w:p w14:paraId="76894B3B">
            <w:pPr>
              <w:jc w:val="center"/>
              <w:rPr>
                <w:rFonts w:hint="default" w:ascii="Times New Roman" w:hAnsi="Times New Roman" w:eastAsia="宋体" w:cs="Times New Roman"/>
                <w:color w:val="000000" w:themeColor="text1"/>
                <w:kern w:val="21"/>
                <w:lang w:val="en-US"/>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0.1352</w:t>
            </w:r>
          </w:p>
        </w:tc>
        <w:tc>
          <w:tcPr>
            <w:tcW w:w="1289" w:type="dxa"/>
            <w:tcBorders>
              <w:tl2br w:val="nil"/>
              <w:tr2bl w:val="nil"/>
            </w:tcBorders>
            <w:vAlign w:val="center"/>
          </w:tcPr>
          <w:p w14:paraId="0C180315">
            <w:pPr>
              <w:jc w:val="center"/>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+0.0381</w:t>
            </w:r>
          </w:p>
        </w:tc>
      </w:tr>
      <w:tr w14:paraId="4EDC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046A701B">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5846448E">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二氧化硫</w:t>
            </w:r>
          </w:p>
        </w:tc>
        <w:tc>
          <w:tcPr>
            <w:tcW w:w="1729" w:type="dxa"/>
            <w:tcBorders>
              <w:tl2br w:val="nil"/>
              <w:tr2bl w:val="nil"/>
            </w:tcBorders>
            <w:vAlign w:val="center"/>
          </w:tcPr>
          <w:p w14:paraId="4A3AE829">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0.0108</w:t>
            </w:r>
          </w:p>
        </w:tc>
        <w:tc>
          <w:tcPr>
            <w:tcW w:w="1298" w:type="dxa"/>
            <w:tcBorders>
              <w:tl2br w:val="nil"/>
              <w:tr2bl w:val="nil"/>
            </w:tcBorders>
            <w:vAlign w:val="center"/>
          </w:tcPr>
          <w:p w14:paraId="234735E0">
            <w:pPr>
              <w:pStyle w:val="31"/>
              <w:ind w:left="420" w:leftChars="0" w:hanging="420" w:hangingChars="20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0.012</w:t>
            </w:r>
          </w:p>
        </w:tc>
        <w:tc>
          <w:tcPr>
            <w:tcW w:w="1729" w:type="dxa"/>
            <w:tcBorders>
              <w:tl2br w:val="nil"/>
              <w:tr2bl w:val="nil"/>
            </w:tcBorders>
            <w:vAlign w:val="center"/>
          </w:tcPr>
          <w:p w14:paraId="200A4A07">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5EF07D41">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0.006</w:t>
            </w:r>
          </w:p>
        </w:tc>
        <w:tc>
          <w:tcPr>
            <w:tcW w:w="1640" w:type="dxa"/>
            <w:tcBorders>
              <w:tl2br w:val="nil"/>
              <w:tr2bl w:val="nil"/>
            </w:tcBorders>
            <w:vAlign w:val="center"/>
          </w:tcPr>
          <w:p w14:paraId="5371B7DA">
            <w:pPr>
              <w:pStyle w:val="31"/>
              <w:ind w:left="420" w:left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0.0048</w:t>
            </w:r>
          </w:p>
        </w:tc>
        <w:tc>
          <w:tcPr>
            <w:tcW w:w="1691" w:type="dxa"/>
            <w:tcBorders>
              <w:tl2br w:val="nil"/>
              <w:tr2bl w:val="nil"/>
            </w:tcBorders>
            <w:vAlign w:val="center"/>
          </w:tcPr>
          <w:p w14:paraId="2D1708BE">
            <w:pPr>
              <w:jc w:val="center"/>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0.006</w:t>
            </w:r>
          </w:p>
        </w:tc>
        <w:tc>
          <w:tcPr>
            <w:tcW w:w="1289" w:type="dxa"/>
            <w:tcBorders>
              <w:tl2br w:val="nil"/>
              <w:tr2bl w:val="nil"/>
            </w:tcBorders>
            <w:vAlign w:val="center"/>
          </w:tcPr>
          <w:p w14:paraId="3EFD7A2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-0.0048</w:t>
            </w:r>
          </w:p>
        </w:tc>
      </w:tr>
      <w:tr w14:paraId="480E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519D77FB">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5F0D1292">
            <w:pPr>
              <w:pStyle w:val="31"/>
              <w:ind w:left="420" w:leftChars="0"/>
              <w:rPr>
                <w:rFonts w:hint="eastAsia"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氮氧化物</w:t>
            </w:r>
          </w:p>
        </w:tc>
        <w:tc>
          <w:tcPr>
            <w:tcW w:w="1729" w:type="dxa"/>
            <w:tcBorders>
              <w:tl2br w:val="nil"/>
              <w:tr2bl w:val="nil"/>
            </w:tcBorders>
            <w:vAlign w:val="center"/>
          </w:tcPr>
          <w:p w14:paraId="29E1544C">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0.096</w:t>
            </w:r>
          </w:p>
        </w:tc>
        <w:tc>
          <w:tcPr>
            <w:tcW w:w="1298" w:type="dxa"/>
            <w:tcBorders>
              <w:tl2br w:val="nil"/>
              <w:tr2bl w:val="nil"/>
            </w:tcBorders>
            <w:vAlign w:val="center"/>
          </w:tcPr>
          <w:p w14:paraId="4B19CB3E">
            <w:pPr>
              <w:pStyle w:val="31"/>
              <w:ind w:left="420" w:leftChars="0" w:hanging="420" w:hangingChars="20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0.112</w:t>
            </w:r>
          </w:p>
        </w:tc>
        <w:tc>
          <w:tcPr>
            <w:tcW w:w="1729" w:type="dxa"/>
            <w:tcBorders>
              <w:tl2br w:val="nil"/>
              <w:tr2bl w:val="nil"/>
            </w:tcBorders>
            <w:vAlign w:val="center"/>
          </w:tcPr>
          <w:p w14:paraId="306C504F">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4EC5D581">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0.009</w:t>
            </w:r>
          </w:p>
        </w:tc>
        <w:tc>
          <w:tcPr>
            <w:tcW w:w="1640" w:type="dxa"/>
            <w:tcBorders>
              <w:tl2br w:val="nil"/>
              <w:tr2bl w:val="nil"/>
            </w:tcBorders>
            <w:vAlign w:val="center"/>
          </w:tcPr>
          <w:p w14:paraId="54C49C46">
            <w:pPr>
              <w:pStyle w:val="31"/>
              <w:ind w:left="420" w:left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0.087</w:t>
            </w:r>
          </w:p>
        </w:tc>
        <w:tc>
          <w:tcPr>
            <w:tcW w:w="1691" w:type="dxa"/>
            <w:tcBorders>
              <w:tl2br w:val="nil"/>
              <w:tr2bl w:val="nil"/>
            </w:tcBorders>
            <w:vAlign w:val="center"/>
          </w:tcPr>
          <w:p w14:paraId="45332C36">
            <w:pPr>
              <w:jc w:val="center"/>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0.009</w:t>
            </w:r>
          </w:p>
        </w:tc>
        <w:tc>
          <w:tcPr>
            <w:tcW w:w="1289" w:type="dxa"/>
            <w:tcBorders>
              <w:tl2br w:val="nil"/>
              <w:tr2bl w:val="nil"/>
            </w:tcBorders>
            <w:vAlign w:val="center"/>
          </w:tcPr>
          <w:p w14:paraId="460282C4">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-0.087</w:t>
            </w:r>
          </w:p>
        </w:tc>
      </w:tr>
      <w:tr w14:paraId="5711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restart"/>
            <w:tcBorders>
              <w:tl2br w:val="nil"/>
              <w:tr2bl w:val="nil"/>
            </w:tcBorders>
            <w:vAlign w:val="center"/>
          </w:tcPr>
          <w:p w14:paraId="424D7422">
            <w:pPr>
              <w:pStyle w:val="31"/>
              <w:ind w:left="420" w:leftChars="0"/>
              <w:rPr>
                <w:rFonts w:ascii="Times New Roman" w:hAnsi="Times New Roman" w:eastAsia="宋体" w:cs="Times New Roman"/>
                <w:kern w:val="21"/>
              </w:rPr>
            </w:pPr>
            <w:r>
              <w:rPr>
                <w:rFonts w:ascii="Times New Roman" w:hAnsi="Times New Roman" w:eastAsia="宋体" w:cs="Times New Roman"/>
                <w:kern w:val="21"/>
              </w:rPr>
              <w:t>废水</w:t>
            </w:r>
          </w:p>
        </w:tc>
        <w:tc>
          <w:tcPr>
            <w:tcW w:w="1861" w:type="dxa"/>
            <w:tcBorders>
              <w:tl2br w:val="nil"/>
              <w:tr2bl w:val="nil"/>
            </w:tcBorders>
            <w:vAlign w:val="center"/>
          </w:tcPr>
          <w:p w14:paraId="306D13A5">
            <w:pPr>
              <w:pStyle w:val="31"/>
              <w:ind w:left="420" w:leftChars="0"/>
              <w:rPr>
                <w:rFonts w:ascii="Times New Roman" w:hAnsi="Times New Roman" w:eastAsia="宋体" w:cs="Times New Roman"/>
                <w:lang w:eastAsia="zh-CN"/>
              </w:rPr>
            </w:pPr>
            <w:r>
              <w:rPr>
                <w:rFonts w:ascii="Times New Roman" w:hAnsi="Times New Roman" w:eastAsia="宋体" w:cs="Times New Roman"/>
                <w:lang w:eastAsia="zh-CN"/>
              </w:rPr>
              <w:t>废水</w:t>
            </w:r>
          </w:p>
        </w:tc>
        <w:tc>
          <w:tcPr>
            <w:tcW w:w="1729" w:type="dxa"/>
            <w:tcBorders>
              <w:tl2br w:val="nil"/>
              <w:tr2bl w:val="nil"/>
            </w:tcBorders>
            <w:vAlign w:val="center"/>
          </w:tcPr>
          <w:p w14:paraId="63976BDE">
            <w:pPr>
              <w:pStyle w:val="31"/>
              <w:ind w:left="420" w:leftChars="0"/>
              <w:rPr>
                <w:rFonts w:ascii="Times New Roman" w:hAnsi="Times New Roman" w:eastAsia="宋体" w:cs="Times New Roman"/>
                <w:kern w:val="21"/>
              </w:rPr>
            </w:pPr>
          </w:p>
        </w:tc>
        <w:tc>
          <w:tcPr>
            <w:tcW w:w="1298" w:type="dxa"/>
            <w:tcBorders>
              <w:tl2br w:val="nil"/>
              <w:tr2bl w:val="nil"/>
            </w:tcBorders>
            <w:vAlign w:val="center"/>
          </w:tcPr>
          <w:p w14:paraId="43121610">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27E54BAA">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22948928">
            <w:pPr>
              <w:jc w:val="center"/>
              <w:textAlignment w:val="bottom"/>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40" w:type="dxa"/>
            <w:tcBorders>
              <w:tl2br w:val="nil"/>
              <w:tr2bl w:val="nil"/>
            </w:tcBorders>
            <w:vAlign w:val="center"/>
          </w:tcPr>
          <w:p w14:paraId="375E998D">
            <w:pPr>
              <w:pStyle w:val="31"/>
              <w:ind w:left="420" w:leftChars="0"/>
              <w:rPr>
                <w:rFonts w:ascii="Times New Roman" w:hAnsi="Times New Roman" w:eastAsia="宋体" w:cs="Times New Roman"/>
                <w:kern w:val="21"/>
                <w:lang w:eastAsia="zh-CN"/>
              </w:rPr>
            </w:pPr>
            <w:r>
              <w:rPr>
                <w:rFonts w:ascii="Times New Roman" w:hAnsi="Times New Roman" w:eastAsia="宋体" w:cs="Times New Roman"/>
                <w:kern w:val="21"/>
                <w:lang w:eastAsia="zh-CN"/>
              </w:rPr>
              <w:t>0</w:t>
            </w:r>
          </w:p>
        </w:tc>
        <w:tc>
          <w:tcPr>
            <w:tcW w:w="1691" w:type="dxa"/>
            <w:tcBorders>
              <w:tl2br w:val="nil"/>
              <w:tr2bl w:val="nil"/>
            </w:tcBorders>
            <w:vAlign w:val="center"/>
          </w:tcPr>
          <w:p w14:paraId="43357DC8">
            <w:pPr>
              <w:jc w:val="center"/>
              <w:textAlignment w:val="bottom"/>
              <w:rPr>
                <w:rFonts w:ascii="Times New Roman" w:hAnsi="Times New Roman" w:eastAsia="宋体" w:cs="Times New Roman"/>
                <w:color w:val="000000" w:themeColor="text1"/>
                <w:kern w:val="2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289" w:type="dxa"/>
            <w:tcBorders>
              <w:tl2br w:val="nil"/>
              <w:tr2bl w:val="nil"/>
            </w:tcBorders>
            <w:vAlign w:val="center"/>
          </w:tcPr>
          <w:p w14:paraId="76272709">
            <w:pPr>
              <w:jc w:val="center"/>
              <w:textAlignment w:val="bottom"/>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p>
        </w:tc>
      </w:tr>
      <w:tr w14:paraId="0B01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57391A83">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44BAF599">
            <w:pPr>
              <w:pStyle w:val="31"/>
              <w:ind w:left="420" w:leftChars="0"/>
              <w:rPr>
                <w:rFonts w:ascii="Times New Roman" w:hAnsi="Times New Roman" w:eastAsia="宋体" w:cs="Times New Roman"/>
                <w:kern w:val="21"/>
              </w:rPr>
            </w:pPr>
            <w:r>
              <w:rPr>
                <w:rFonts w:ascii="Times New Roman" w:hAnsi="Times New Roman" w:eastAsia="宋体" w:cs="Times New Roman"/>
              </w:rPr>
              <w:t>COD</w:t>
            </w:r>
          </w:p>
        </w:tc>
        <w:tc>
          <w:tcPr>
            <w:tcW w:w="1729" w:type="dxa"/>
            <w:tcBorders>
              <w:tl2br w:val="nil"/>
              <w:tr2bl w:val="nil"/>
            </w:tcBorders>
            <w:vAlign w:val="center"/>
          </w:tcPr>
          <w:p w14:paraId="536CB889">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2.971</w:t>
            </w:r>
          </w:p>
        </w:tc>
        <w:tc>
          <w:tcPr>
            <w:tcW w:w="1298" w:type="dxa"/>
            <w:tcBorders>
              <w:tl2br w:val="nil"/>
              <w:tr2bl w:val="nil"/>
            </w:tcBorders>
            <w:vAlign w:val="center"/>
          </w:tcPr>
          <w:p w14:paraId="0CF04454">
            <w:pPr>
              <w:pStyle w:val="31"/>
              <w:ind w:left="420" w:leftChars="0" w:hanging="420" w:hangingChars="200"/>
              <w:rPr>
                <w:rFonts w:ascii="Times New Roman" w:hAnsi="Times New Roman" w:eastAsia="宋体" w:cs="Times New Roman"/>
                <w:kern w:val="21"/>
              </w:rPr>
            </w:pPr>
            <w:r>
              <w:rPr>
                <w:rFonts w:hint="eastAsia" w:ascii="Times New Roman" w:hAnsi="Times New Roman" w:eastAsia="宋体" w:cs="Times New Roman"/>
                <w:kern w:val="21"/>
                <w:lang w:val="en-US" w:eastAsia="zh-CN"/>
              </w:rPr>
              <w:t>2.971</w:t>
            </w:r>
          </w:p>
        </w:tc>
        <w:tc>
          <w:tcPr>
            <w:tcW w:w="1729" w:type="dxa"/>
            <w:tcBorders>
              <w:tl2br w:val="nil"/>
              <w:tr2bl w:val="nil"/>
            </w:tcBorders>
            <w:vAlign w:val="center"/>
          </w:tcPr>
          <w:p w14:paraId="7879F4D9">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79B31AB8">
            <w:pPr>
              <w:jc w:val="center"/>
              <w:textAlignment w:val="bottom"/>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1.132</w:t>
            </w:r>
          </w:p>
        </w:tc>
        <w:tc>
          <w:tcPr>
            <w:tcW w:w="1640" w:type="dxa"/>
            <w:tcBorders>
              <w:tl2br w:val="nil"/>
              <w:tr2bl w:val="nil"/>
            </w:tcBorders>
            <w:vAlign w:val="center"/>
          </w:tcPr>
          <w:p w14:paraId="671508A4">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1.839</w:t>
            </w:r>
          </w:p>
        </w:tc>
        <w:tc>
          <w:tcPr>
            <w:tcW w:w="1691" w:type="dxa"/>
            <w:tcBorders>
              <w:tl2br w:val="nil"/>
              <w:tr2bl w:val="nil"/>
            </w:tcBorders>
            <w:vAlign w:val="center"/>
          </w:tcPr>
          <w:p w14:paraId="2CF968E6">
            <w:pPr>
              <w:jc w:val="center"/>
              <w:textAlignment w:val="bottom"/>
              <w:rPr>
                <w:rFonts w:hint="default" w:ascii="Times New Roman" w:hAnsi="Times New Roman" w:eastAsia="宋体" w:cs="Times New Roman"/>
                <w:color w:val="000000" w:themeColor="text1"/>
                <w:kern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1.132</w:t>
            </w:r>
          </w:p>
        </w:tc>
        <w:tc>
          <w:tcPr>
            <w:tcW w:w="1289" w:type="dxa"/>
            <w:tcBorders>
              <w:tl2br w:val="nil"/>
              <w:tr2bl w:val="nil"/>
            </w:tcBorders>
            <w:vAlign w:val="center"/>
          </w:tcPr>
          <w:p w14:paraId="773A19EA">
            <w:pPr>
              <w:pStyle w:val="31"/>
              <w:ind w:left="420" w:leftChars="0" w:hanging="420" w:hanging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kern w:val="21"/>
                <w:lang w:val="en-US" w:eastAsia="zh-CN"/>
              </w:rPr>
              <w:t>-1.839</w:t>
            </w:r>
          </w:p>
        </w:tc>
      </w:tr>
      <w:tr w14:paraId="7D51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4679F37C">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4F7EB3DD">
            <w:pPr>
              <w:jc w:val="center"/>
              <w:textAlignment w:val="center"/>
              <w:rPr>
                <w:rFonts w:ascii="Times New Roman" w:hAnsi="Times New Roman" w:eastAsia="宋体" w:cs="Times New Roman"/>
                <w:color w:val="000000" w:themeColor="text1"/>
                <w:kern w:val="21"/>
                <w14:textFill>
                  <w14:solidFill>
                    <w14:schemeClr w14:val="tx1"/>
                  </w14:solidFill>
                </w14:textFill>
              </w:rPr>
            </w:pPr>
            <w:r>
              <w:rPr>
                <w:rFonts w:ascii="Times New Roman" w:hAnsi="Times New Roman" w:eastAsia="宋体" w:cs="Times New Roman"/>
                <w:color w:val="000000" w:themeColor="text1"/>
                <w:lang w:bidi="ar"/>
                <w14:textFill>
                  <w14:solidFill>
                    <w14:schemeClr w14:val="tx1"/>
                  </w14:solidFill>
                </w14:textFill>
              </w:rPr>
              <w:t>BOD</w:t>
            </w:r>
            <w:r>
              <w:rPr>
                <w:rFonts w:ascii="Times New Roman" w:hAnsi="Times New Roman" w:eastAsia="宋体" w:cs="Times New Roman"/>
                <w:color w:val="000000" w:themeColor="text1"/>
                <w:vertAlign w:val="subscript"/>
                <w:lang w:bidi="ar"/>
                <w14:textFill>
                  <w14:solidFill>
                    <w14:schemeClr w14:val="tx1"/>
                  </w14:solidFill>
                </w14:textFill>
              </w:rPr>
              <w:t>5</w:t>
            </w:r>
          </w:p>
        </w:tc>
        <w:tc>
          <w:tcPr>
            <w:tcW w:w="1729" w:type="dxa"/>
            <w:tcBorders>
              <w:tl2br w:val="nil"/>
              <w:tr2bl w:val="nil"/>
            </w:tcBorders>
            <w:vAlign w:val="center"/>
          </w:tcPr>
          <w:p w14:paraId="4AC6FAA1">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0.926</w:t>
            </w:r>
          </w:p>
        </w:tc>
        <w:tc>
          <w:tcPr>
            <w:tcW w:w="1298" w:type="dxa"/>
            <w:tcBorders>
              <w:tl2br w:val="nil"/>
              <w:tr2bl w:val="nil"/>
            </w:tcBorders>
            <w:vAlign w:val="center"/>
          </w:tcPr>
          <w:p w14:paraId="4E89C80E">
            <w:pPr>
              <w:pStyle w:val="31"/>
              <w:ind w:left="420" w:leftChars="0" w:hanging="420" w:hangingChars="200"/>
              <w:rPr>
                <w:rFonts w:ascii="Times New Roman" w:hAnsi="Times New Roman" w:eastAsia="宋体" w:cs="Times New Roman"/>
                <w:kern w:val="21"/>
              </w:rPr>
            </w:pPr>
            <w:r>
              <w:rPr>
                <w:rFonts w:hint="eastAsia" w:ascii="Times New Roman" w:hAnsi="Times New Roman" w:eastAsia="宋体" w:cs="Times New Roman"/>
                <w:kern w:val="21"/>
                <w:lang w:val="en-US" w:eastAsia="zh-CN"/>
              </w:rPr>
              <w:t>0.926</w:t>
            </w:r>
          </w:p>
        </w:tc>
        <w:tc>
          <w:tcPr>
            <w:tcW w:w="1729" w:type="dxa"/>
            <w:tcBorders>
              <w:tl2br w:val="nil"/>
              <w:tr2bl w:val="nil"/>
            </w:tcBorders>
            <w:vAlign w:val="center"/>
          </w:tcPr>
          <w:p w14:paraId="16CCAB90">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44DE6B0F">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0.568</w:t>
            </w:r>
          </w:p>
        </w:tc>
        <w:tc>
          <w:tcPr>
            <w:tcW w:w="1640" w:type="dxa"/>
            <w:tcBorders>
              <w:tl2br w:val="nil"/>
              <w:tr2bl w:val="nil"/>
            </w:tcBorders>
            <w:vAlign w:val="center"/>
          </w:tcPr>
          <w:p w14:paraId="23BDFDAF">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0.358</w:t>
            </w:r>
          </w:p>
        </w:tc>
        <w:tc>
          <w:tcPr>
            <w:tcW w:w="1691" w:type="dxa"/>
            <w:tcBorders>
              <w:tl2br w:val="nil"/>
              <w:tr2bl w:val="nil"/>
            </w:tcBorders>
            <w:vAlign w:val="center"/>
          </w:tcPr>
          <w:p w14:paraId="4AB9F73E">
            <w:pPr>
              <w:kinsoku/>
              <w:jc w:val="center"/>
              <w:rPr>
                <w:rFonts w:hint="default" w:ascii="Times New Roman" w:hAnsi="Times New Roman" w:eastAsia="宋体" w:cs="Times New Roman"/>
                <w:color w:val="000000" w:themeColor="text1"/>
                <w:kern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0.568</w:t>
            </w:r>
          </w:p>
        </w:tc>
        <w:tc>
          <w:tcPr>
            <w:tcW w:w="1289" w:type="dxa"/>
            <w:tcBorders>
              <w:tl2br w:val="nil"/>
              <w:tr2bl w:val="nil"/>
            </w:tcBorders>
            <w:vAlign w:val="center"/>
          </w:tcPr>
          <w:p w14:paraId="5B4EE91A">
            <w:pPr>
              <w:pStyle w:val="31"/>
              <w:ind w:left="420" w:leftChars="0" w:hanging="420" w:hanging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kern w:val="21"/>
                <w:lang w:val="en-US" w:eastAsia="zh-CN"/>
              </w:rPr>
              <w:t>-0.358</w:t>
            </w:r>
          </w:p>
        </w:tc>
      </w:tr>
      <w:tr w14:paraId="3C0C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38CE5BAE">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5F9FFAD9">
            <w:pPr>
              <w:pStyle w:val="41"/>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SS</w:t>
            </w:r>
          </w:p>
        </w:tc>
        <w:tc>
          <w:tcPr>
            <w:tcW w:w="1729" w:type="dxa"/>
            <w:tcBorders>
              <w:tl2br w:val="nil"/>
              <w:tr2bl w:val="nil"/>
            </w:tcBorders>
            <w:vAlign w:val="center"/>
          </w:tcPr>
          <w:p w14:paraId="17675277">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1.657</w:t>
            </w:r>
          </w:p>
        </w:tc>
        <w:tc>
          <w:tcPr>
            <w:tcW w:w="1298" w:type="dxa"/>
            <w:tcBorders>
              <w:tl2br w:val="nil"/>
              <w:tr2bl w:val="nil"/>
            </w:tcBorders>
            <w:vAlign w:val="center"/>
          </w:tcPr>
          <w:p w14:paraId="71D36DD4">
            <w:pPr>
              <w:pStyle w:val="31"/>
              <w:ind w:left="420" w:leftChars="0" w:hanging="420" w:hangingChars="200"/>
              <w:rPr>
                <w:rFonts w:ascii="Times New Roman" w:hAnsi="Times New Roman" w:eastAsia="宋体" w:cs="Times New Roman"/>
                <w:kern w:val="21"/>
              </w:rPr>
            </w:pPr>
            <w:r>
              <w:rPr>
                <w:rFonts w:hint="eastAsia" w:ascii="Times New Roman" w:hAnsi="Times New Roman" w:eastAsia="宋体" w:cs="Times New Roman"/>
                <w:kern w:val="21"/>
                <w:lang w:val="en-US" w:eastAsia="zh-CN"/>
              </w:rPr>
              <w:t>1.657</w:t>
            </w:r>
          </w:p>
        </w:tc>
        <w:tc>
          <w:tcPr>
            <w:tcW w:w="1729" w:type="dxa"/>
            <w:tcBorders>
              <w:tl2br w:val="nil"/>
              <w:tr2bl w:val="nil"/>
            </w:tcBorders>
            <w:vAlign w:val="center"/>
          </w:tcPr>
          <w:p w14:paraId="57294C9C">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666CDA68">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0.891</w:t>
            </w:r>
          </w:p>
        </w:tc>
        <w:tc>
          <w:tcPr>
            <w:tcW w:w="1640" w:type="dxa"/>
            <w:tcBorders>
              <w:tl2br w:val="nil"/>
              <w:tr2bl w:val="nil"/>
            </w:tcBorders>
            <w:vAlign w:val="center"/>
          </w:tcPr>
          <w:p w14:paraId="7903AA89">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0.766</w:t>
            </w:r>
          </w:p>
        </w:tc>
        <w:tc>
          <w:tcPr>
            <w:tcW w:w="1691" w:type="dxa"/>
            <w:tcBorders>
              <w:tl2br w:val="nil"/>
              <w:tr2bl w:val="nil"/>
            </w:tcBorders>
            <w:vAlign w:val="center"/>
          </w:tcPr>
          <w:p w14:paraId="1CB2330C">
            <w:pPr>
              <w:kinsoku/>
              <w:jc w:val="center"/>
              <w:rPr>
                <w:rFonts w:hint="default" w:ascii="Times New Roman" w:hAnsi="Times New Roman" w:eastAsia="宋体" w:cs="Times New Roman"/>
                <w:color w:val="000000" w:themeColor="text1"/>
                <w:kern w:val="2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0.891</w:t>
            </w:r>
          </w:p>
        </w:tc>
        <w:tc>
          <w:tcPr>
            <w:tcW w:w="1289" w:type="dxa"/>
            <w:tcBorders>
              <w:tl2br w:val="nil"/>
              <w:tr2bl w:val="nil"/>
            </w:tcBorders>
            <w:vAlign w:val="center"/>
          </w:tcPr>
          <w:p w14:paraId="7B5D0EC6">
            <w:pPr>
              <w:pStyle w:val="31"/>
              <w:ind w:left="420" w:leftChars="0" w:hanging="420" w:hanging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kern w:val="21"/>
                <w:lang w:val="en-US" w:eastAsia="zh-CN"/>
              </w:rPr>
              <w:t>-0.766</w:t>
            </w:r>
          </w:p>
        </w:tc>
      </w:tr>
      <w:tr w14:paraId="5EA0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50BCC14F">
            <w:pPr>
              <w:pStyle w:val="31"/>
              <w:ind w:left="420" w:leftChars="0"/>
              <w:rPr>
                <w:rFonts w:ascii="Times New Roman" w:hAnsi="Times New Roman" w:eastAsia="宋体" w:cs="Times New Roman"/>
                <w:kern w:val="21"/>
              </w:rPr>
            </w:pPr>
          </w:p>
        </w:tc>
        <w:tc>
          <w:tcPr>
            <w:tcW w:w="1861" w:type="dxa"/>
            <w:tcBorders>
              <w:tl2br w:val="nil"/>
              <w:tr2bl w:val="nil"/>
            </w:tcBorders>
            <w:vAlign w:val="center"/>
          </w:tcPr>
          <w:p w14:paraId="7450C345">
            <w:pPr>
              <w:pStyle w:val="41"/>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氨氮</w:t>
            </w:r>
          </w:p>
        </w:tc>
        <w:tc>
          <w:tcPr>
            <w:tcW w:w="1729" w:type="dxa"/>
            <w:tcBorders>
              <w:tl2br w:val="nil"/>
              <w:tr2bl w:val="nil"/>
            </w:tcBorders>
            <w:vAlign w:val="center"/>
          </w:tcPr>
          <w:p w14:paraId="59602A85">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0.156</w:t>
            </w:r>
          </w:p>
        </w:tc>
        <w:tc>
          <w:tcPr>
            <w:tcW w:w="1298" w:type="dxa"/>
            <w:tcBorders>
              <w:tl2br w:val="nil"/>
              <w:tr2bl w:val="nil"/>
            </w:tcBorders>
            <w:vAlign w:val="center"/>
          </w:tcPr>
          <w:p w14:paraId="594C2547">
            <w:pPr>
              <w:pStyle w:val="31"/>
              <w:ind w:left="420" w:leftChars="0" w:hanging="420" w:hangingChars="200"/>
              <w:rPr>
                <w:rFonts w:ascii="Times New Roman" w:hAnsi="Times New Roman" w:eastAsia="宋体" w:cs="Times New Roman"/>
                <w:kern w:val="21"/>
              </w:rPr>
            </w:pPr>
            <w:r>
              <w:rPr>
                <w:rFonts w:hint="eastAsia" w:ascii="Times New Roman" w:hAnsi="Times New Roman" w:eastAsia="宋体" w:cs="Times New Roman"/>
                <w:kern w:val="21"/>
                <w:lang w:val="en-US" w:eastAsia="zh-CN"/>
              </w:rPr>
              <w:t>0.156</w:t>
            </w:r>
          </w:p>
        </w:tc>
        <w:tc>
          <w:tcPr>
            <w:tcW w:w="1729" w:type="dxa"/>
            <w:tcBorders>
              <w:tl2br w:val="nil"/>
              <w:tr2bl w:val="nil"/>
            </w:tcBorders>
            <w:vAlign w:val="center"/>
          </w:tcPr>
          <w:p w14:paraId="593F0363">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6171CAB3">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0.117</w:t>
            </w:r>
          </w:p>
        </w:tc>
        <w:tc>
          <w:tcPr>
            <w:tcW w:w="1640" w:type="dxa"/>
            <w:tcBorders>
              <w:tl2br w:val="nil"/>
              <w:tr2bl w:val="nil"/>
            </w:tcBorders>
            <w:vAlign w:val="center"/>
          </w:tcPr>
          <w:p w14:paraId="657A17C8">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0.039</w:t>
            </w:r>
          </w:p>
        </w:tc>
        <w:tc>
          <w:tcPr>
            <w:tcW w:w="1691" w:type="dxa"/>
            <w:tcBorders>
              <w:tl2br w:val="nil"/>
              <w:tr2bl w:val="nil"/>
            </w:tcBorders>
            <w:vAlign w:val="center"/>
          </w:tcPr>
          <w:p w14:paraId="17EF3CEF">
            <w:pPr>
              <w:kinsoku/>
              <w:jc w:val="center"/>
              <w:rPr>
                <w:rFonts w:ascii="Times New Roman" w:hAnsi="Times New Roman" w:eastAsia="宋体" w:cs="Times New Roman"/>
                <w:color w:val="000000" w:themeColor="text1"/>
                <w:kern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0.117</w:t>
            </w:r>
          </w:p>
        </w:tc>
        <w:tc>
          <w:tcPr>
            <w:tcW w:w="1289" w:type="dxa"/>
            <w:tcBorders>
              <w:tl2br w:val="nil"/>
              <w:tr2bl w:val="nil"/>
            </w:tcBorders>
            <w:vAlign w:val="center"/>
          </w:tcPr>
          <w:p w14:paraId="5001582B">
            <w:pPr>
              <w:pStyle w:val="31"/>
              <w:ind w:left="420" w:leftChars="0" w:hanging="420" w:hanging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kern w:val="21"/>
                <w:lang w:val="en-US" w:eastAsia="zh-CN"/>
              </w:rPr>
              <w:t>-0.039</w:t>
            </w:r>
          </w:p>
        </w:tc>
      </w:tr>
      <w:tr w14:paraId="5B2A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193" w:type="dxa"/>
            <w:vMerge w:val="restart"/>
            <w:tcBorders>
              <w:tl2br w:val="nil"/>
              <w:tr2bl w:val="nil"/>
            </w:tcBorders>
            <w:vAlign w:val="center"/>
          </w:tcPr>
          <w:p w14:paraId="4479E0DA">
            <w:pPr>
              <w:pStyle w:val="31"/>
              <w:ind w:left="420" w:leftChars="0"/>
              <w:rPr>
                <w:rFonts w:ascii="Times New Roman" w:hAnsi="Times New Roman" w:eastAsia="宋体" w:cs="Times New Roman"/>
                <w:kern w:val="21"/>
              </w:rPr>
            </w:pPr>
            <w:r>
              <w:rPr>
                <w:rFonts w:ascii="Times New Roman" w:hAnsi="Times New Roman" w:eastAsia="宋体" w:cs="Times New Roman"/>
                <w:kern w:val="21"/>
              </w:rPr>
              <w:t>一般工业</w:t>
            </w:r>
          </w:p>
          <w:p w14:paraId="12B3DA66">
            <w:pPr>
              <w:pStyle w:val="31"/>
              <w:ind w:left="420" w:leftChars="0"/>
              <w:rPr>
                <w:rFonts w:ascii="Times New Roman" w:hAnsi="Times New Roman" w:eastAsia="宋体" w:cs="Times New Roman"/>
                <w:kern w:val="21"/>
              </w:rPr>
            </w:pPr>
            <w:r>
              <w:rPr>
                <w:rFonts w:ascii="Times New Roman" w:hAnsi="Times New Roman" w:eastAsia="宋体" w:cs="Times New Roman"/>
                <w:kern w:val="21"/>
              </w:rPr>
              <w:t>固体废物</w:t>
            </w:r>
          </w:p>
        </w:tc>
        <w:tc>
          <w:tcPr>
            <w:tcW w:w="1861" w:type="dxa"/>
            <w:tcBorders>
              <w:tl2br w:val="nil"/>
              <w:tr2bl w:val="nil"/>
            </w:tcBorders>
            <w:vAlign w:val="center"/>
          </w:tcPr>
          <w:p w14:paraId="18CE2E4F">
            <w:pPr>
              <w:kinsoku/>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废包装袋</w:t>
            </w:r>
          </w:p>
        </w:tc>
        <w:tc>
          <w:tcPr>
            <w:tcW w:w="1729" w:type="dxa"/>
            <w:tcBorders>
              <w:tl2br w:val="nil"/>
              <w:tr2bl w:val="nil"/>
            </w:tcBorders>
            <w:vAlign w:val="center"/>
          </w:tcPr>
          <w:p w14:paraId="38D34978">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2</w:t>
            </w:r>
          </w:p>
        </w:tc>
        <w:tc>
          <w:tcPr>
            <w:tcW w:w="1298" w:type="dxa"/>
            <w:tcBorders>
              <w:tl2br w:val="nil"/>
              <w:tr2bl w:val="nil"/>
            </w:tcBorders>
            <w:vAlign w:val="center"/>
          </w:tcPr>
          <w:p w14:paraId="1CB63FFC">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16C173A7">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167E7DA0">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w:t>
            </w:r>
          </w:p>
        </w:tc>
        <w:tc>
          <w:tcPr>
            <w:tcW w:w="1640" w:type="dxa"/>
            <w:tcBorders>
              <w:tl2br w:val="nil"/>
              <w:tr2bl w:val="nil"/>
            </w:tcBorders>
            <w:vAlign w:val="center"/>
          </w:tcPr>
          <w:p w14:paraId="0DA62032">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1.98</w:t>
            </w:r>
          </w:p>
        </w:tc>
        <w:tc>
          <w:tcPr>
            <w:tcW w:w="1691" w:type="dxa"/>
            <w:tcBorders>
              <w:tl2br w:val="nil"/>
              <w:tr2bl w:val="nil"/>
            </w:tcBorders>
            <w:vAlign w:val="center"/>
          </w:tcPr>
          <w:p w14:paraId="392DD310">
            <w:pPr>
              <w:kinsoku/>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1289" w:type="dxa"/>
            <w:tcBorders>
              <w:tl2br w:val="nil"/>
              <w:tr2bl w:val="nil"/>
            </w:tcBorders>
            <w:vAlign w:val="center"/>
          </w:tcPr>
          <w:p w14:paraId="2E06EFC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kern w:val="21"/>
                <w:lang w:val="en-US" w:eastAsia="zh-CN"/>
              </w:rPr>
              <w:t>-1.98</w:t>
            </w:r>
          </w:p>
        </w:tc>
      </w:tr>
      <w:tr w14:paraId="0DCF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78B067A7">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22856D9A">
            <w:pPr>
              <w:kinsoku/>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废边角料</w:t>
            </w:r>
          </w:p>
        </w:tc>
        <w:tc>
          <w:tcPr>
            <w:tcW w:w="1729" w:type="dxa"/>
            <w:tcBorders>
              <w:tl2br w:val="nil"/>
              <w:tr2bl w:val="nil"/>
            </w:tcBorders>
            <w:vAlign w:val="center"/>
          </w:tcPr>
          <w:p w14:paraId="73CA7134">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60</w:t>
            </w:r>
          </w:p>
        </w:tc>
        <w:tc>
          <w:tcPr>
            <w:tcW w:w="1298" w:type="dxa"/>
            <w:tcBorders>
              <w:tl2br w:val="nil"/>
              <w:tr2bl w:val="nil"/>
            </w:tcBorders>
            <w:vAlign w:val="center"/>
          </w:tcPr>
          <w:p w14:paraId="3865C3F0">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331AA555">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20456ADF">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60</w:t>
            </w:r>
          </w:p>
        </w:tc>
        <w:tc>
          <w:tcPr>
            <w:tcW w:w="1640" w:type="dxa"/>
            <w:tcBorders>
              <w:tl2br w:val="nil"/>
              <w:tr2bl w:val="nil"/>
            </w:tcBorders>
            <w:vAlign w:val="center"/>
          </w:tcPr>
          <w:p w14:paraId="2221C14F">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w:t>
            </w:r>
          </w:p>
        </w:tc>
        <w:tc>
          <w:tcPr>
            <w:tcW w:w="1691" w:type="dxa"/>
            <w:tcBorders>
              <w:tl2br w:val="nil"/>
              <w:tr2bl w:val="nil"/>
            </w:tcBorders>
            <w:vAlign w:val="center"/>
          </w:tcPr>
          <w:p w14:paraId="0401B471">
            <w:pPr>
              <w:kinsoku/>
              <w:jc w:val="center"/>
              <w:rPr>
                <w:rFonts w:ascii="Times New Roman" w:hAnsi="Times New Roman" w:eastAsia="宋体" w:cs="Times New Roman"/>
                <w:color w:val="000000" w:themeColor="text1"/>
                <w:lang w:bidi="ar"/>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0.426</w:t>
            </w:r>
          </w:p>
        </w:tc>
        <w:tc>
          <w:tcPr>
            <w:tcW w:w="1289" w:type="dxa"/>
            <w:tcBorders>
              <w:tl2br w:val="nil"/>
              <w:tr2bl w:val="nil"/>
            </w:tcBorders>
            <w:vAlign w:val="center"/>
          </w:tcPr>
          <w:p w14:paraId="50740421">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w:t>
            </w:r>
          </w:p>
        </w:tc>
      </w:tr>
      <w:tr w14:paraId="3484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62AB1B5E">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5945CDBF">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收集尘</w:t>
            </w:r>
          </w:p>
        </w:tc>
        <w:tc>
          <w:tcPr>
            <w:tcW w:w="1729" w:type="dxa"/>
            <w:tcBorders>
              <w:tl2br w:val="nil"/>
              <w:tr2bl w:val="nil"/>
            </w:tcBorders>
            <w:vAlign w:val="center"/>
          </w:tcPr>
          <w:p w14:paraId="65F3081A">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25.92</w:t>
            </w:r>
          </w:p>
        </w:tc>
        <w:tc>
          <w:tcPr>
            <w:tcW w:w="1298" w:type="dxa"/>
            <w:tcBorders>
              <w:tl2br w:val="nil"/>
              <w:tr2bl w:val="nil"/>
            </w:tcBorders>
            <w:vAlign w:val="center"/>
          </w:tcPr>
          <w:p w14:paraId="378AC6FB">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6200567C">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4202C1F1">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18.32</w:t>
            </w:r>
          </w:p>
        </w:tc>
        <w:tc>
          <w:tcPr>
            <w:tcW w:w="1640" w:type="dxa"/>
            <w:tcBorders>
              <w:tl2br w:val="nil"/>
              <w:tr2bl w:val="nil"/>
            </w:tcBorders>
            <w:vAlign w:val="center"/>
          </w:tcPr>
          <w:p w14:paraId="7ED70DCB">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7.6</w:t>
            </w:r>
          </w:p>
        </w:tc>
        <w:tc>
          <w:tcPr>
            <w:tcW w:w="1691" w:type="dxa"/>
            <w:tcBorders>
              <w:tl2br w:val="nil"/>
              <w:tr2bl w:val="nil"/>
            </w:tcBorders>
            <w:vAlign w:val="center"/>
          </w:tcPr>
          <w:p w14:paraId="1B391D62">
            <w:pPr>
              <w:kinsoku/>
              <w:jc w:val="center"/>
              <w:rPr>
                <w:rFonts w:ascii="Times New Roman" w:hAnsi="Times New Roman" w:eastAsia="宋体" w:cs="Times New Roman"/>
                <w:color w:val="000000" w:themeColor="text1"/>
                <w:lang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2.277</w:t>
            </w:r>
          </w:p>
        </w:tc>
        <w:tc>
          <w:tcPr>
            <w:tcW w:w="1289" w:type="dxa"/>
            <w:tcBorders>
              <w:tl2br w:val="nil"/>
              <w:tr2bl w:val="nil"/>
            </w:tcBorders>
            <w:vAlign w:val="center"/>
          </w:tcPr>
          <w:p w14:paraId="7928FD28">
            <w:pPr>
              <w:kinsoku/>
              <w:jc w:val="center"/>
              <w:rPr>
                <w:rFonts w:ascii="Times New Roman" w:hAnsi="Times New Roman" w:eastAsia="宋体" w:cs="Times New Roman"/>
                <w:color w:val="000000" w:themeColor="text1"/>
                <w:kern w:val="21"/>
                <w:lang w:eastAsia="zh-CN"/>
                <w14:textFill>
                  <w14:solidFill>
                    <w14:schemeClr w14:val="tx1"/>
                  </w14:solidFill>
                </w14:textFill>
              </w:rPr>
            </w:pPr>
            <w:r>
              <w:rPr>
                <w:rFonts w:hint="eastAsia" w:ascii="Times New Roman" w:hAnsi="Times New Roman" w:eastAsia="宋体" w:cs="Times New Roman"/>
                <w:kern w:val="21"/>
                <w:lang w:val="en-US" w:eastAsia="zh-CN"/>
              </w:rPr>
              <w:t>-7.6</w:t>
            </w:r>
          </w:p>
        </w:tc>
      </w:tr>
      <w:tr w14:paraId="6314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41728BA0">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1B9F1D8A">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焊渣</w:t>
            </w:r>
          </w:p>
        </w:tc>
        <w:tc>
          <w:tcPr>
            <w:tcW w:w="1729" w:type="dxa"/>
            <w:tcBorders>
              <w:tl2br w:val="nil"/>
              <w:tr2bl w:val="nil"/>
            </w:tcBorders>
            <w:vAlign w:val="center"/>
          </w:tcPr>
          <w:p w14:paraId="35B79A51">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1.05</w:t>
            </w:r>
          </w:p>
        </w:tc>
        <w:tc>
          <w:tcPr>
            <w:tcW w:w="1298" w:type="dxa"/>
            <w:tcBorders>
              <w:tl2br w:val="nil"/>
              <w:tr2bl w:val="nil"/>
            </w:tcBorders>
            <w:vAlign w:val="center"/>
          </w:tcPr>
          <w:p w14:paraId="7CB26C84">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3C0C13D0">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21D9AB4D">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1.5</w:t>
            </w:r>
          </w:p>
        </w:tc>
        <w:tc>
          <w:tcPr>
            <w:tcW w:w="1640" w:type="dxa"/>
            <w:tcBorders>
              <w:tl2br w:val="nil"/>
              <w:tr2bl w:val="nil"/>
            </w:tcBorders>
            <w:vAlign w:val="center"/>
          </w:tcPr>
          <w:p w14:paraId="51A1C1AB">
            <w:pPr>
              <w:pStyle w:val="31"/>
              <w:ind w:left="420" w:leftChars="0"/>
              <w:rPr>
                <w:rFonts w:hint="eastAsia" w:ascii="Times New Roman" w:hAnsi="Times New Roman" w:eastAsia="宋体" w:cs="Times New Roman"/>
                <w:kern w:val="21"/>
                <w:lang w:eastAsia="zh-CN"/>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91" w:type="dxa"/>
            <w:tcBorders>
              <w:tl2br w:val="nil"/>
              <w:tr2bl w:val="nil"/>
            </w:tcBorders>
            <w:vAlign w:val="center"/>
          </w:tcPr>
          <w:p w14:paraId="355B2FA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1289" w:type="dxa"/>
            <w:tcBorders>
              <w:tl2br w:val="nil"/>
              <w:tr2bl w:val="nil"/>
            </w:tcBorders>
            <w:vAlign w:val="center"/>
          </w:tcPr>
          <w:p w14:paraId="6A3E2F07">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+0.45</w:t>
            </w:r>
          </w:p>
        </w:tc>
      </w:tr>
      <w:tr w14:paraId="5AB7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0FDF339B">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767139D1">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废布袋</w:t>
            </w:r>
          </w:p>
        </w:tc>
        <w:tc>
          <w:tcPr>
            <w:tcW w:w="1729" w:type="dxa"/>
            <w:tcBorders>
              <w:tl2br w:val="nil"/>
              <w:tr2bl w:val="nil"/>
            </w:tcBorders>
            <w:vAlign w:val="center"/>
          </w:tcPr>
          <w:p w14:paraId="517AA0F2">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0.05</w:t>
            </w:r>
          </w:p>
        </w:tc>
        <w:tc>
          <w:tcPr>
            <w:tcW w:w="1298" w:type="dxa"/>
            <w:tcBorders>
              <w:tl2br w:val="nil"/>
              <w:tr2bl w:val="nil"/>
            </w:tcBorders>
            <w:vAlign w:val="center"/>
          </w:tcPr>
          <w:p w14:paraId="2D893DA8">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3A3BC4A4">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63D50D89">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0.1</w:t>
            </w:r>
          </w:p>
        </w:tc>
        <w:tc>
          <w:tcPr>
            <w:tcW w:w="1640" w:type="dxa"/>
            <w:tcBorders>
              <w:tl2br w:val="nil"/>
              <w:tr2bl w:val="nil"/>
            </w:tcBorders>
            <w:vAlign w:val="center"/>
          </w:tcPr>
          <w:p w14:paraId="25202B83">
            <w:pPr>
              <w:pStyle w:val="31"/>
              <w:ind w:left="420" w:leftChars="0"/>
              <w:rPr>
                <w:rFonts w:hint="eastAsia" w:ascii="Times New Roman" w:hAnsi="Times New Roman" w:eastAsia="宋体" w:cs="Times New Roman"/>
                <w:kern w:val="21"/>
                <w:lang w:eastAsia="zh-CN"/>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91" w:type="dxa"/>
            <w:tcBorders>
              <w:tl2br w:val="nil"/>
              <w:tr2bl w:val="nil"/>
            </w:tcBorders>
            <w:vAlign w:val="center"/>
          </w:tcPr>
          <w:p w14:paraId="34938DEE">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w:t>
            </w:r>
          </w:p>
        </w:tc>
        <w:tc>
          <w:tcPr>
            <w:tcW w:w="1289" w:type="dxa"/>
            <w:tcBorders>
              <w:tl2br w:val="nil"/>
              <w:tr2bl w:val="nil"/>
            </w:tcBorders>
            <w:vAlign w:val="center"/>
          </w:tcPr>
          <w:p w14:paraId="6527F955">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+0.05</w:t>
            </w:r>
          </w:p>
        </w:tc>
      </w:tr>
      <w:tr w14:paraId="6898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66812128">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530CF26D">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废钢丸</w:t>
            </w:r>
          </w:p>
        </w:tc>
        <w:tc>
          <w:tcPr>
            <w:tcW w:w="1729" w:type="dxa"/>
            <w:tcBorders>
              <w:tl2br w:val="nil"/>
              <w:tr2bl w:val="nil"/>
            </w:tcBorders>
            <w:vAlign w:val="center"/>
          </w:tcPr>
          <w:p w14:paraId="49467833">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5</w:t>
            </w:r>
          </w:p>
        </w:tc>
        <w:tc>
          <w:tcPr>
            <w:tcW w:w="1298" w:type="dxa"/>
            <w:tcBorders>
              <w:tl2br w:val="nil"/>
              <w:tr2bl w:val="nil"/>
            </w:tcBorders>
            <w:vAlign w:val="center"/>
          </w:tcPr>
          <w:p w14:paraId="4F61F1A1">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101E71E9">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42703949">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2</w:t>
            </w:r>
          </w:p>
        </w:tc>
        <w:tc>
          <w:tcPr>
            <w:tcW w:w="1640" w:type="dxa"/>
            <w:tcBorders>
              <w:tl2br w:val="nil"/>
              <w:tr2bl w:val="nil"/>
            </w:tcBorders>
            <w:vAlign w:val="center"/>
          </w:tcPr>
          <w:p w14:paraId="761C9FE5">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3</w:t>
            </w:r>
          </w:p>
        </w:tc>
        <w:tc>
          <w:tcPr>
            <w:tcW w:w="1691" w:type="dxa"/>
            <w:tcBorders>
              <w:tl2br w:val="nil"/>
              <w:tr2bl w:val="nil"/>
            </w:tcBorders>
            <w:vAlign w:val="center"/>
          </w:tcPr>
          <w:p w14:paraId="711ABDEB">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1289" w:type="dxa"/>
            <w:tcBorders>
              <w:tl2br w:val="nil"/>
              <w:tr2bl w:val="nil"/>
            </w:tcBorders>
            <w:vAlign w:val="center"/>
          </w:tcPr>
          <w:p w14:paraId="050BEB87">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kern w:val="21"/>
                <w:lang w:val="en-US" w:eastAsia="zh-CN"/>
              </w:rPr>
              <w:t>-3</w:t>
            </w:r>
          </w:p>
        </w:tc>
      </w:tr>
      <w:tr w14:paraId="5BEE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665404E4">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533F0917">
            <w:pPr>
              <w:kinsoku/>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挂钩残留物</w:t>
            </w:r>
          </w:p>
        </w:tc>
        <w:tc>
          <w:tcPr>
            <w:tcW w:w="1729" w:type="dxa"/>
            <w:tcBorders>
              <w:tl2br w:val="nil"/>
              <w:tr2bl w:val="nil"/>
            </w:tcBorders>
            <w:vAlign w:val="center"/>
          </w:tcPr>
          <w:p w14:paraId="2A3A1D9C">
            <w:pPr>
              <w:pStyle w:val="31"/>
              <w:ind w:left="420" w:leftChars="0"/>
              <w:rPr>
                <w:rFonts w:hint="default" w:ascii="Times New Roman" w:hAnsi="Times New Roman" w:eastAsia="宋体" w:cs="Times New Roman"/>
                <w:kern w:val="21"/>
                <w:lang w:val="en-US" w:eastAsia="zh-CN"/>
              </w:rPr>
            </w:pPr>
            <w:r>
              <w:rPr>
                <w:rFonts w:hint="eastAsia" w:ascii="Times New Roman" w:hAnsi="Times New Roman" w:eastAsia="宋体" w:cs="Times New Roman"/>
                <w:kern w:val="21"/>
                <w:lang w:val="en-US" w:eastAsia="zh-CN"/>
              </w:rPr>
              <w:t>/</w:t>
            </w:r>
          </w:p>
        </w:tc>
        <w:tc>
          <w:tcPr>
            <w:tcW w:w="1298" w:type="dxa"/>
            <w:tcBorders>
              <w:tl2br w:val="nil"/>
              <w:tr2bl w:val="nil"/>
            </w:tcBorders>
            <w:vAlign w:val="center"/>
          </w:tcPr>
          <w:p w14:paraId="5E89FDE5">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342DCB1B">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4EC4F5E8">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0.1</w:t>
            </w:r>
          </w:p>
        </w:tc>
        <w:tc>
          <w:tcPr>
            <w:tcW w:w="1640" w:type="dxa"/>
            <w:tcBorders>
              <w:tl2br w:val="nil"/>
              <w:tr2bl w:val="nil"/>
            </w:tcBorders>
            <w:vAlign w:val="center"/>
          </w:tcPr>
          <w:p w14:paraId="5E4BD849">
            <w:pPr>
              <w:pStyle w:val="31"/>
              <w:ind w:left="420" w:leftChars="0"/>
              <w:rPr>
                <w:rFonts w:hint="eastAsia" w:ascii="Times New Roman" w:hAnsi="Times New Roman" w:eastAsia="宋体" w:cs="Times New Roman"/>
                <w:kern w:val="21"/>
                <w:lang w:eastAsia="zh-CN"/>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91" w:type="dxa"/>
            <w:tcBorders>
              <w:tl2br w:val="nil"/>
              <w:tr2bl w:val="nil"/>
            </w:tcBorders>
            <w:vAlign w:val="center"/>
          </w:tcPr>
          <w:p w14:paraId="6C6BCF52">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w:t>
            </w:r>
          </w:p>
        </w:tc>
        <w:tc>
          <w:tcPr>
            <w:tcW w:w="1289" w:type="dxa"/>
            <w:tcBorders>
              <w:tl2br w:val="nil"/>
              <w:tr2bl w:val="nil"/>
            </w:tcBorders>
            <w:vAlign w:val="center"/>
          </w:tcPr>
          <w:p w14:paraId="52C6168B">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w:t>
            </w:r>
          </w:p>
        </w:tc>
      </w:tr>
      <w:tr w14:paraId="709A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restart"/>
            <w:tcBorders>
              <w:tl2br w:val="nil"/>
              <w:tr2bl w:val="nil"/>
            </w:tcBorders>
            <w:vAlign w:val="center"/>
          </w:tcPr>
          <w:p w14:paraId="2B1E7FFA">
            <w:pPr>
              <w:pStyle w:val="31"/>
              <w:ind w:left="420" w:leftChars="0"/>
              <w:rPr>
                <w:rFonts w:ascii="Times New Roman" w:hAnsi="Times New Roman" w:eastAsia="宋体" w:cs="Times New Roman"/>
                <w:kern w:val="21"/>
                <w:lang w:eastAsia="zh-CN"/>
              </w:rPr>
            </w:pPr>
            <w:r>
              <w:rPr>
                <w:rFonts w:ascii="Times New Roman" w:hAnsi="Times New Roman" w:eastAsia="宋体" w:cs="Times New Roman"/>
                <w:kern w:val="21"/>
                <w:lang w:eastAsia="zh-CN"/>
              </w:rPr>
              <w:t>危险废物</w:t>
            </w:r>
          </w:p>
        </w:tc>
        <w:tc>
          <w:tcPr>
            <w:tcW w:w="1861" w:type="dxa"/>
            <w:tcBorders>
              <w:tl2br w:val="nil"/>
              <w:tr2bl w:val="nil"/>
            </w:tcBorders>
            <w:vAlign w:val="center"/>
          </w:tcPr>
          <w:p w14:paraId="5D3B1EF3">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污泥</w:t>
            </w:r>
          </w:p>
        </w:tc>
        <w:tc>
          <w:tcPr>
            <w:tcW w:w="1729" w:type="dxa"/>
            <w:tcBorders>
              <w:tl2br w:val="nil"/>
              <w:tr2bl w:val="nil"/>
            </w:tcBorders>
            <w:vAlign w:val="center"/>
          </w:tcPr>
          <w:p w14:paraId="76F8B71D">
            <w:pPr>
              <w:jc w:val="center"/>
              <w:rPr>
                <w:rFonts w:hint="default" w:ascii="Times New Roman" w:hAnsi="Times New Roman" w:eastAsia="宋体" w:cs="Times New Roman"/>
                <w:color w:val="000000" w:themeColor="text1"/>
                <w:kern w:val="2"/>
                <w:lang w:val="en-US" w:eastAsia="zh-CN" w:bidi="ar"/>
                <w14:textFill>
                  <w14:solidFill>
                    <w14:schemeClr w14:val="tx1"/>
                  </w14:solidFill>
                </w14:textFill>
              </w:rPr>
            </w:pPr>
            <w:r>
              <w:rPr>
                <w:rFonts w:hint="eastAsia" w:ascii="Times New Roman" w:hAnsi="Times New Roman" w:eastAsia="宋体" w:cs="Times New Roman"/>
                <w:color w:val="000000" w:themeColor="text1"/>
                <w:kern w:val="2"/>
                <w:lang w:val="en-US" w:eastAsia="zh-CN" w:bidi="ar"/>
                <w14:textFill>
                  <w14:solidFill>
                    <w14:schemeClr w14:val="tx1"/>
                  </w14:solidFill>
                </w14:textFill>
              </w:rPr>
              <w:t>1</w:t>
            </w:r>
          </w:p>
        </w:tc>
        <w:tc>
          <w:tcPr>
            <w:tcW w:w="1298" w:type="dxa"/>
            <w:tcBorders>
              <w:tl2br w:val="nil"/>
              <w:tr2bl w:val="nil"/>
            </w:tcBorders>
            <w:vAlign w:val="center"/>
          </w:tcPr>
          <w:p w14:paraId="74435DC9">
            <w:pPr>
              <w:pStyle w:val="31"/>
              <w:ind w:left="0" w:leftChars="0" w:firstLine="0" w:firstLineChars="0"/>
              <w:rPr>
                <w:rFonts w:ascii="Times New Roman" w:hAnsi="Times New Roman" w:eastAsia="宋体" w:cs="Times New Roman"/>
                <w:kern w:val="21"/>
              </w:rPr>
            </w:pPr>
          </w:p>
        </w:tc>
        <w:tc>
          <w:tcPr>
            <w:tcW w:w="1729" w:type="dxa"/>
            <w:tcBorders>
              <w:tl2br w:val="nil"/>
              <w:tr2bl w:val="nil"/>
            </w:tcBorders>
            <w:vAlign w:val="center"/>
          </w:tcPr>
          <w:p w14:paraId="64C3AB92">
            <w:pPr>
              <w:pStyle w:val="31"/>
              <w:ind w:left="0" w:leftChars="0" w:firstLine="0" w:firstLineChars="0"/>
              <w:rPr>
                <w:rFonts w:ascii="Times New Roman" w:hAnsi="Times New Roman" w:eastAsia="宋体" w:cs="Times New Roman"/>
                <w:kern w:val="21"/>
              </w:rPr>
            </w:pPr>
          </w:p>
        </w:tc>
        <w:tc>
          <w:tcPr>
            <w:tcW w:w="1583" w:type="dxa"/>
            <w:tcBorders>
              <w:tl2br w:val="nil"/>
              <w:tr2bl w:val="nil"/>
            </w:tcBorders>
            <w:vAlign w:val="center"/>
          </w:tcPr>
          <w:p w14:paraId="3F491200">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1640" w:type="dxa"/>
            <w:tcBorders>
              <w:tl2br w:val="nil"/>
              <w:tr2bl w:val="nil"/>
            </w:tcBorders>
            <w:vAlign w:val="center"/>
          </w:tcPr>
          <w:p w14:paraId="31C9DAD8">
            <w:pPr>
              <w:jc w:val="center"/>
              <w:rPr>
                <w:rFonts w:ascii="Times New Roman" w:hAnsi="Times New Roman" w:eastAsia="宋体" w:cs="Times New Roman"/>
                <w:color w:val="000000" w:themeColor="text1"/>
                <w:kern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91" w:type="dxa"/>
            <w:tcBorders>
              <w:tl2br w:val="nil"/>
              <w:tr2bl w:val="nil"/>
            </w:tcBorders>
            <w:vAlign w:val="center"/>
          </w:tcPr>
          <w:p w14:paraId="630842A6">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c>
          <w:tcPr>
            <w:tcW w:w="1289" w:type="dxa"/>
            <w:tcBorders>
              <w:tl2br w:val="nil"/>
              <w:tr2bl w:val="nil"/>
            </w:tcBorders>
            <w:vAlign w:val="center"/>
          </w:tcPr>
          <w:p w14:paraId="41D87649">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+1</w:t>
            </w:r>
          </w:p>
        </w:tc>
      </w:tr>
      <w:tr w14:paraId="5D5C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7AAB503D">
            <w:pPr>
              <w:pStyle w:val="31"/>
              <w:ind w:left="420" w:leftChars="0"/>
              <w:rPr>
                <w:rFonts w:ascii="Times New Roman" w:hAnsi="Times New Roman" w:eastAsia="宋体" w:cs="Times New Roman"/>
                <w:kern w:val="21"/>
                <w:lang w:eastAsia="zh-CN"/>
              </w:rPr>
            </w:pPr>
          </w:p>
        </w:tc>
        <w:tc>
          <w:tcPr>
            <w:tcW w:w="1861" w:type="dxa"/>
            <w:tcBorders>
              <w:tl2br w:val="nil"/>
              <w:tr2bl w:val="nil"/>
            </w:tcBorders>
            <w:vAlign w:val="center"/>
          </w:tcPr>
          <w:p w14:paraId="43C2E918">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废树脂滤芯滤膜脂</w:t>
            </w:r>
          </w:p>
        </w:tc>
        <w:tc>
          <w:tcPr>
            <w:tcW w:w="1729" w:type="dxa"/>
            <w:tcBorders>
              <w:tl2br w:val="nil"/>
              <w:tr2bl w:val="nil"/>
            </w:tcBorders>
            <w:vAlign w:val="center"/>
          </w:tcPr>
          <w:p w14:paraId="3BE8783D">
            <w:pPr>
              <w:jc w:val="center"/>
              <w:rPr>
                <w:rFonts w:hint="default" w:ascii="Times New Roman" w:hAnsi="Times New Roman" w:eastAsia="宋体" w:cs="Times New Roman"/>
                <w:color w:val="000000" w:themeColor="text1"/>
                <w:kern w:val="2"/>
                <w:lang w:val="en-US" w:eastAsia="zh-CN" w:bidi="ar"/>
                <w14:textFill>
                  <w14:solidFill>
                    <w14:schemeClr w14:val="tx1"/>
                  </w14:solidFill>
                </w14:textFill>
              </w:rPr>
            </w:pPr>
            <w:r>
              <w:rPr>
                <w:rFonts w:hint="eastAsia" w:ascii="Times New Roman" w:hAnsi="Times New Roman" w:eastAsia="宋体" w:cs="Times New Roman"/>
                <w:color w:val="000000" w:themeColor="text1"/>
                <w:kern w:val="2"/>
                <w:lang w:val="en-US" w:eastAsia="zh-CN" w:bidi="ar"/>
                <w14:textFill>
                  <w14:solidFill>
                    <w14:schemeClr w14:val="tx1"/>
                  </w14:solidFill>
                </w14:textFill>
              </w:rPr>
              <w:t>0.02</w:t>
            </w:r>
          </w:p>
        </w:tc>
        <w:tc>
          <w:tcPr>
            <w:tcW w:w="1298" w:type="dxa"/>
            <w:tcBorders>
              <w:tl2br w:val="nil"/>
              <w:tr2bl w:val="nil"/>
            </w:tcBorders>
            <w:vAlign w:val="center"/>
          </w:tcPr>
          <w:p w14:paraId="75FC5671">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51B20320">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21F7D4F2">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w:t>
            </w:r>
          </w:p>
        </w:tc>
        <w:tc>
          <w:tcPr>
            <w:tcW w:w="1640" w:type="dxa"/>
            <w:tcBorders>
              <w:tl2br w:val="nil"/>
              <w:tr2bl w:val="nil"/>
            </w:tcBorders>
            <w:vAlign w:val="center"/>
          </w:tcPr>
          <w:p w14:paraId="00ECD967">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w:t>
            </w:r>
          </w:p>
        </w:tc>
        <w:tc>
          <w:tcPr>
            <w:tcW w:w="1691" w:type="dxa"/>
            <w:tcBorders>
              <w:tl2br w:val="nil"/>
              <w:tr2bl w:val="nil"/>
            </w:tcBorders>
            <w:vAlign w:val="center"/>
          </w:tcPr>
          <w:p w14:paraId="667D6969">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w:t>
            </w:r>
          </w:p>
        </w:tc>
        <w:tc>
          <w:tcPr>
            <w:tcW w:w="1289" w:type="dxa"/>
            <w:tcBorders>
              <w:tl2br w:val="nil"/>
              <w:tr2bl w:val="nil"/>
            </w:tcBorders>
            <w:vAlign w:val="center"/>
          </w:tcPr>
          <w:p w14:paraId="4054E9A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0</w:t>
            </w:r>
          </w:p>
        </w:tc>
      </w:tr>
      <w:tr w14:paraId="5640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3C8ADA10">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35DC7C84">
            <w:pPr>
              <w:kinsoku/>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废活性炭</w:t>
            </w:r>
          </w:p>
        </w:tc>
        <w:tc>
          <w:tcPr>
            <w:tcW w:w="1729" w:type="dxa"/>
            <w:tcBorders>
              <w:tl2br w:val="nil"/>
              <w:tr2bl w:val="nil"/>
            </w:tcBorders>
            <w:vAlign w:val="center"/>
          </w:tcPr>
          <w:p w14:paraId="66A1B296">
            <w:pPr>
              <w:jc w:val="center"/>
              <w:rPr>
                <w:rFonts w:hint="default" w:ascii="Times New Roman" w:hAnsi="Times New Roman" w:eastAsia="宋体" w:cs="Times New Roman"/>
                <w:color w:val="000000" w:themeColor="text1"/>
                <w:kern w:val="2"/>
                <w:lang w:val="en-US" w:eastAsia="zh-CN" w:bidi="ar"/>
                <w14:textFill>
                  <w14:solidFill>
                    <w14:schemeClr w14:val="tx1"/>
                  </w14:solidFill>
                </w14:textFill>
              </w:rPr>
            </w:pPr>
            <w:r>
              <w:rPr>
                <w:rFonts w:hint="eastAsia" w:ascii="Times New Roman" w:hAnsi="Times New Roman" w:eastAsia="宋体" w:cs="Times New Roman"/>
                <w:color w:val="000000" w:themeColor="text1"/>
                <w:kern w:val="2"/>
                <w:lang w:val="en-US" w:eastAsia="zh-CN" w:bidi="ar"/>
                <w14:textFill>
                  <w14:solidFill>
                    <w14:schemeClr w14:val="tx1"/>
                  </w14:solidFill>
                </w14:textFill>
              </w:rPr>
              <w:t>6.6</w:t>
            </w:r>
          </w:p>
        </w:tc>
        <w:tc>
          <w:tcPr>
            <w:tcW w:w="1298" w:type="dxa"/>
            <w:tcBorders>
              <w:tl2br w:val="nil"/>
              <w:tr2bl w:val="nil"/>
            </w:tcBorders>
            <w:vAlign w:val="center"/>
          </w:tcPr>
          <w:p w14:paraId="644D0E24">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7B245942">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3C81458B">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4.417</w:t>
            </w:r>
          </w:p>
        </w:tc>
        <w:tc>
          <w:tcPr>
            <w:tcW w:w="1640" w:type="dxa"/>
            <w:tcBorders>
              <w:tl2br w:val="nil"/>
              <w:tr2bl w:val="nil"/>
            </w:tcBorders>
            <w:vAlign w:val="center"/>
          </w:tcPr>
          <w:p w14:paraId="4655B60B">
            <w:pPr>
              <w:jc w:val="center"/>
              <w:rPr>
                <w:rFonts w:hint="default" w:ascii="Times New Roman" w:hAnsi="Times New Roman" w:eastAsia="宋体" w:cs="Times New Roman"/>
                <w:color w:val="000000" w:themeColor="text1"/>
                <w:kern w:val="2"/>
                <w:lang w:val="en-US" w:eastAsia="zh-CN" w:bidi="ar"/>
                <w14:textFill>
                  <w14:solidFill>
                    <w14:schemeClr w14:val="tx1"/>
                  </w14:solidFill>
                </w14:textFill>
              </w:rPr>
            </w:pPr>
            <w:r>
              <w:rPr>
                <w:rFonts w:hint="eastAsia" w:ascii="Times New Roman" w:hAnsi="Times New Roman" w:eastAsia="宋体" w:cs="Times New Roman"/>
                <w:color w:val="000000" w:themeColor="text1"/>
                <w:kern w:val="2"/>
                <w:lang w:val="en-US" w:eastAsia="zh-CN" w:bidi="ar"/>
                <w14:textFill>
                  <w14:solidFill>
                    <w14:schemeClr w14:val="tx1"/>
                  </w14:solidFill>
                </w14:textFill>
              </w:rPr>
              <w:t>2.183</w:t>
            </w:r>
          </w:p>
        </w:tc>
        <w:tc>
          <w:tcPr>
            <w:tcW w:w="1691" w:type="dxa"/>
            <w:tcBorders>
              <w:tl2br w:val="nil"/>
              <w:tr2bl w:val="nil"/>
            </w:tcBorders>
            <w:vAlign w:val="center"/>
          </w:tcPr>
          <w:p w14:paraId="6135A7F3">
            <w:pPr>
              <w:kinsoku/>
              <w:jc w:val="center"/>
              <w:rPr>
                <w:rFonts w:hint="default" w:ascii="Times New Roman" w:hAnsi="Times New Roman" w:eastAsia="宋体" w:cs="Times New Roman"/>
                <w:color w:val="000000" w:themeColor="text1"/>
                <w:lang w:val="en-US" w:bidi="ar"/>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5.868</w:t>
            </w:r>
          </w:p>
        </w:tc>
        <w:tc>
          <w:tcPr>
            <w:tcW w:w="1289" w:type="dxa"/>
            <w:tcBorders>
              <w:tl2br w:val="nil"/>
              <w:tr2bl w:val="nil"/>
            </w:tcBorders>
            <w:vAlign w:val="center"/>
          </w:tcPr>
          <w:p w14:paraId="6278FAF4">
            <w:pPr>
              <w:kinsoku/>
              <w:jc w:val="center"/>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kern w:val="21"/>
                <w:lang w:val="en-US" w:eastAsia="zh-CN"/>
              </w:rPr>
              <w:t>-</w:t>
            </w:r>
            <w:r>
              <w:rPr>
                <w:rFonts w:hint="eastAsia" w:ascii="Times New Roman" w:hAnsi="Times New Roman" w:eastAsia="宋体" w:cs="Times New Roman"/>
                <w:color w:val="000000" w:themeColor="text1"/>
                <w:kern w:val="2"/>
                <w:lang w:val="en-US" w:eastAsia="zh-CN" w:bidi="ar"/>
                <w14:textFill>
                  <w14:solidFill>
                    <w14:schemeClr w14:val="tx1"/>
                  </w14:solidFill>
                </w14:textFill>
              </w:rPr>
              <w:t>2.183</w:t>
            </w:r>
          </w:p>
        </w:tc>
      </w:tr>
      <w:tr w14:paraId="2DB2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0DD9B6CA">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647F8B65">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废过滤棉</w:t>
            </w:r>
          </w:p>
        </w:tc>
        <w:tc>
          <w:tcPr>
            <w:tcW w:w="1729" w:type="dxa"/>
            <w:tcBorders>
              <w:tl2br w:val="nil"/>
              <w:tr2bl w:val="nil"/>
            </w:tcBorders>
            <w:vAlign w:val="center"/>
          </w:tcPr>
          <w:p w14:paraId="153CE350">
            <w:pPr>
              <w:jc w:val="center"/>
              <w:rPr>
                <w:rFonts w:hint="default" w:ascii="Times New Roman" w:hAnsi="Times New Roman" w:eastAsia="宋体" w:cs="Times New Roman"/>
                <w:color w:val="000000" w:themeColor="text1"/>
                <w:kern w:val="2"/>
                <w:lang w:val="en-US" w:eastAsia="zh-CN" w:bidi="ar"/>
                <w14:textFill>
                  <w14:solidFill>
                    <w14:schemeClr w14:val="tx1"/>
                  </w14:solidFill>
                </w14:textFill>
              </w:rPr>
            </w:pPr>
            <w:r>
              <w:rPr>
                <w:rFonts w:hint="eastAsia" w:ascii="Times New Roman" w:hAnsi="Times New Roman" w:eastAsia="宋体" w:cs="Times New Roman"/>
                <w:color w:val="000000" w:themeColor="text1"/>
                <w:kern w:val="2"/>
                <w:lang w:val="en-US" w:eastAsia="zh-CN" w:bidi="ar"/>
                <w14:textFill>
                  <w14:solidFill>
                    <w14:schemeClr w14:val="tx1"/>
                  </w14:solidFill>
                </w14:textFill>
              </w:rPr>
              <w:t>0.1</w:t>
            </w:r>
          </w:p>
        </w:tc>
        <w:tc>
          <w:tcPr>
            <w:tcW w:w="1298" w:type="dxa"/>
            <w:tcBorders>
              <w:tl2br w:val="nil"/>
              <w:tr2bl w:val="nil"/>
            </w:tcBorders>
            <w:vAlign w:val="center"/>
          </w:tcPr>
          <w:p w14:paraId="748CD496">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66461D12">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27CEFF93">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1.5</w:t>
            </w:r>
          </w:p>
        </w:tc>
        <w:tc>
          <w:tcPr>
            <w:tcW w:w="1640" w:type="dxa"/>
            <w:tcBorders>
              <w:tl2br w:val="nil"/>
              <w:tr2bl w:val="nil"/>
            </w:tcBorders>
            <w:vAlign w:val="center"/>
          </w:tcPr>
          <w:p w14:paraId="020DC9AA">
            <w:pPr>
              <w:jc w:val="center"/>
              <w:rPr>
                <w:rFonts w:ascii="Times New Roman" w:hAnsi="Times New Roman" w:eastAsia="宋体" w:cs="Times New Roman"/>
                <w:color w:val="000000" w:themeColor="text1"/>
                <w:kern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p>
        </w:tc>
        <w:tc>
          <w:tcPr>
            <w:tcW w:w="1691" w:type="dxa"/>
            <w:tcBorders>
              <w:tl2br w:val="nil"/>
              <w:tr2bl w:val="nil"/>
            </w:tcBorders>
            <w:vAlign w:val="center"/>
          </w:tcPr>
          <w:p w14:paraId="4DCDCA46">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1289" w:type="dxa"/>
            <w:tcBorders>
              <w:tl2br w:val="nil"/>
              <w:tr2bl w:val="nil"/>
            </w:tcBorders>
            <w:vAlign w:val="center"/>
          </w:tcPr>
          <w:p w14:paraId="649F7C62">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w:t>
            </w:r>
          </w:p>
        </w:tc>
      </w:tr>
      <w:tr w14:paraId="7255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193" w:type="dxa"/>
            <w:vMerge w:val="continue"/>
            <w:tcBorders>
              <w:tl2br w:val="nil"/>
              <w:tr2bl w:val="nil"/>
            </w:tcBorders>
            <w:vAlign w:val="center"/>
          </w:tcPr>
          <w:p w14:paraId="1D45B50A">
            <w:pPr>
              <w:pStyle w:val="31"/>
              <w:ind w:leftChars="0"/>
              <w:rPr>
                <w:rFonts w:ascii="Times New Roman" w:hAnsi="Times New Roman" w:eastAsia="宋体" w:cs="Times New Roman"/>
                <w:kern w:val="21"/>
              </w:rPr>
            </w:pPr>
          </w:p>
        </w:tc>
        <w:tc>
          <w:tcPr>
            <w:tcW w:w="1861" w:type="dxa"/>
            <w:tcBorders>
              <w:tl2br w:val="nil"/>
              <w:tr2bl w:val="nil"/>
            </w:tcBorders>
            <w:vAlign w:val="center"/>
          </w:tcPr>
          <w:p w14:paraId="125012FB">
            <w:pPr>
              <w:kinsoku/>
              <w:jc w:val="center"/>
              <w:rPr>
                <w:rFonts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废槽渣</w:t>
            </w:r>
          </w:p>
        </w:tc>
        <w:tc>
          <w:tcPr>
            <w:tcW w:w="1729" w:type="dxa"/>
            <w:tcBorders>
              <w:tl2br w:val="nil"/>
              <w:tr2bl w:val="nil"/>
            </w:tcBorders>
            <w:vAlign w:val="center"/>
          </w:tcPr>
          <w:p w14:paraId="3957C526">
            <w:pPr>
              <w:jc w:val="center"/>
              <w:rPr>
                <w:rFonts w:hint="default" w:ascii="Times New Roman" w:hAnsi="Times New Roman" w:eastAsia="宋体" w:cs="Times New Roman"/>
                <w:color w:val="000000" w:themeColor="text1"/>
                <w:kern w:val="2"/>
                <w:lang w:val="en-US" w:eastAsia="zh-CN" w:bidi="ar"/>
                <w14:textFill>
                  <w14:solidFill>
                    <w14:schemeClr w14:val="tx1"/>
                  </w14:solidFill>
                </w14:textFill>
              </w:rPr>
            </w:pPr>
            <w:r>
              <w:rPr>
                <w:rFonts w:hint="eastAsia" w:ascii="Times New Roman" w:hAnsi="Times New Roman" w:eastAsia="宋体" w:cs="Times New Roman"/>
                <w:color w:val="000000" w:themeColor="text1"/>
                <w:kern w:val="2"/>
                <w:lang w:val="en-US" w:eastAsia="zh-CN" w:bidi="ar"/>
                <w14:textFill>
                  <w14:solidFill>
                    <w14:schemeClr w14:val="tx1"/>
                  </w14:solidFill>
                </w14:textFill>
              </w:rPr>
              <w:t>5</w:t>
            </w:r>
          </w:p>
        </w:tc>
        <w:tc>
          <w:tcPr>
            <w:tcW w:w="1298" w:type="dxa"/>
            <w:tcBorders>
              <w:tl2br w:val="nil"/>
              <w:tr2bl w:val="nil"/>
            </w:tcBorders>
            <w:vAlign w:val="center"/>
          </w:tcPr>
          <w:p w14:paraId="56FC9E1A">
            <w:pPr>
              <w:pStyle w:val="31"/>
              <w:ind w:left="420" w:leftChars="0"/>
              <w:rPr>
                <w:rFonts w:ascii="Times New Roman" w:hAnsi="Times New Roman" w:eastAsia="宋体" w:cs="Times New Roman"/>
                <w:kern w:val="21"/>
              </w:rPr>
            </w:pPr>
          </w:p>
        </w:tc>
        <w:tc>
          <w:tcPr>
            <w:tcW w:w="1729" w:type="dxa"/>
            <w:tcBorders>
              <w:tl2br w:val="nil"/>
              <w:tr2bl w:val="nil"/>
            </w:tcBorders>
            <w:vAlign w:val="center"/>
          </w:tcPr>
          <w:p w14:paraId="205BFCBF">
            <w:pPr>
              <w:pStyle w:val="31"/>
              <w:ind w:left="420" w:leftChars="0"/>
              <w:rPr>
                <w:rFonts w:ascii="Times New Roman" w:hAnsi="Times New Roman" w:eastAsia="宋体" w:cs="Times New Roman"/>
                <w:kern w:val="21"/>
              </w:rPr>
            </w:pPr>
          </w:p>
        </w:tc>
        <w:tc>
          <w:tcPr>
            <w:tcW w:w="1583" w:type="dxa"/>
            <w:tcBorders>
              <w:tl2br w:val="nil"/>
              <w:tr2bl w:val="nil"/>
            </w:tcBorders>
            <w:vAlign w:val="center"/>
          </w:tcPr>
          <w:p w14:paraId="387C9F78">
            <w:pPr>
              <w:kinsoku/>
              <w:jc w:val="center"/>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eastAsia" w:ascii="Times New Roman" w:hAnsi="Times New Roman" w:eastAsia="宋体" w:cs="Times New Roman"/>
                <w:color w:val="000000" w:themeColor="text1"/>
                <w:lang w:val="en-US" w:eastAsia="zh-CN" w:bidi="ar"/>
                <w14:textFill>
                  <w14:solidFill>
                    <w14:schemeClr w14:val="tx1"/>
                  </w14:solidFill>
                </w14:textFill>
              </w:rPr>
              <w:t>4.5</w:t>
            </w:r>
          </w:p>
        </w:tc>
        <w:tc>
          <w:tcPr>
            <w:tcW w:w="1640" w:type="dxa"/>
            <w:tcBorders>
              <w:tl2br w:val="nil"/>
              <w:tr2bl w:val="nil"/>
            </w:tcBorders>
            <w:vAlign w:val="center"/>
          </w:tcPr>
          <w:p w14:paraId="74F42F37">
            <w:pPr>
              <w:jc w:val="center"/>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0.5</w:t>
            </w:r>
          </w:p>
        </w:tc>
        <w:tc>
          <w:tcPr>
            <w:tcW w:w="1691" w:type="dxa"/>
            <w:tcBorders>
              <w:tl2br w:val="nil"/>
              <w:tr2bl w:val="nil"/>
            </w:tcBorders>
            <w:vAlign w:val="center"/>
          </w:tcPr>
          <w:p w14:paraId="32424DAA">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1289" w:type="dxa"/>
            <w:tcBorders>
              <w:tl2br w:val="nil"/>
              <w:tr2bl w:val="nil"/>
            </w:tcBorders>
            <w:vAlign w:val="center"/>
          </w:tcPr>
          <w:p w14:paraId="5B0273C1">
            <w:pPr>
              <w:kinsoku/>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-0.5</w:t>
            </w:r>
          </w:p>
        </w:tc>
      </w:tr>
    </w:tbl>
    <w:p w14:paraId="7E686B7A">
      <w:pPr>
        <w:pStyle w:val="31"/>
        <w:tabs>
          <w:tab w:val="left" w:pos="9306"/>
        </w:tabs>
        <w:adjustRightInd/>
        <w:snapToGrid/>
        <w:ind w:left="0" w:leftChars="0" w:firstLine="420" w:firstLineChars="200"/>
        <w:jc w:val="left"/>
        <w:textAlignment w:val="auto"/>
      </w:pPr>
      <w:r>
        <w:rPr>
          <w:rFonts w:ascii="Times New Roman" w:hAnsi="Times New Roman" w:eastAsia="宋体" w:cs="Times New Roman"/>
          <w:color w:val="auto"/>
          <w:kern w:val="21"/>
        </w:rPr>
        <w:t>注：</w:t>
      </w:r>
      <w:r>
        <w:rPr>
          <w:rFonts w:ascii="Times New Roman" w:hAnsi="Times New Roman" w:eastAsia="宋体" w:cs="Times New Roman"/>
          <w:color w:val="auto"/>
          <w:spacing w:val="-16"/>
          <w:kern w:val="21"/>
        </w:rPr>
        <w:fldChar w:fldCharType="begin"/>
      </w:r>
      <w:r>
        <w:rPr>
          <w:rFonts w:ascii="Times New Roman" w:hAnsi="Times New Roman" w:eastAsia="宋体" w:cs="Times New Roman"/>
          <w:color w:val="auto"/>
          <w:spacing w:val="-16"/>
          <w:kern w:val="21"/>
        </w:rPr>
        <w:instrText xml:space="preserve"> = 6 \* GB3 \* MERGEFORMAT </w:instrText>
      </w:r>
      <w:r>
        <w:rPr>
          <w:rFonts w:ascii="Times New Roman" w:hAnsi="Times New Roman" w:eastAsia="宋体" w:cs="Times New Roman"/>
          <w:color w:val="auto"/>
          <w:spacing w:val="-16"/>
          <w:kern w:val="21"/>
        </w:rPr>
        <w:fldChar w:fldCharType="separate"/>
      </w:r>
      <w:r>
        <w:rPr>
          <w:rFonts w:ascii="Times New Roman" w:hAnsi="Times New Roman" w:eastAsia="宋体" w:cs="Times New Roman"/>
          <w:color w:val="auto"/>
        </w:rPr>
        <w:t>⑥</w:t>
      </w:r>
      <w:r>
        <w:rPr>
          <w:rFonts w:ascii="Times New Roman" w:hAnsi="Times New Roman" w:eastAsia="宋体" w:cs="Times New Roman"/>
          <w:color w:val="auto"/>
          <w:spacing w:val="-16"/>
          <w:kern w:val="21"/>
        </w:rPr>
        <w:fldChar w:fldCharType="end"/>
      </w:r>
      <w:r>
        <w:rPr>
          <w:rFonts w:ascii="Times New Roman" w:hAnsi="Times New Roman" w:eastAsia="宋体" w:cs="Times New Roman"/>
          <w:color w:val="auto"/>
          <w:spacing w:val="-16"/>
          <w:kern w:val="21"/>
        </w:rPr>
        <w:t>=</w:t>
      </w:r>
      <w:r>
        <w:rPr>
          <w:rFonts w:ascii="Times New Roman" w:hAnsi="Times New Roman" w:eastAsia="宋体" w:cs="Times New Roman"/>
          <w:color w:val="auto"/>
          <w:spacing w:val="-6"/>
          <w:kern w:val="21"/>
        </w:rPr>
        <w:fldChar w:fldCharType="begin"/>
      </w:r>
      <w:r>
        <w:rPr>
          <w:rFonts w:ascii="Times New Roman" w:hAnsi="Times New Roman" w:eastAsia="宋体" w:cs="Times New Roman"/>
          <w:color w:val="auto"/>
          <w:spacing w:val="-6"/>
          <w:kern w:val="21"/>
        </w:rPr>
        <w:instrText xml:space="preserve"> = 1 \* GB3 \* MERGEFORMAT </w:instrText>
      </w:r>
      <w:r>
        <w:rPr>
          <w:rFonts w:ascii="Times New Roman" w:hAnsi="Times New Roman" w:eastAsia="宋体" w:cs="Times New Roman"/>
          <w:color w:val="auto"/>
          <w:spacing w:val="-6"/>
          <w:kern w:val="21"/>
        </w:rPr>
        <w:fldChar w:fldCharType="separate"/>
      </w:r>
      <w:r>
        <w:rPr>
          <w:rFonts w:ascii="Times New Roman" w:hAnsi="Times New Roman" w:eastAsia="宋体" w:cs="Times New Roman"/>
          <w:color w:val="auto"/>
        </w:rPr>
        <w:t>①</w:t>
      </w:r>
      <w:r>
        <w:rPr>
          <w:rFonts w:ascii="Times New Roman" w:hAnsi="Times New Roman" w:eastAsia="宋体" w:cs="Times New Roman"/>
          <w:color w:val="auto"/>
          <w:spacing w:val="-6"/>
          <w:kern w:val="21"/>
        </w:rPr>
        <w:fldChar w:fldCharType="end"/>
      </w:r>
      <w:r>
        <w:rPr>
          <w:rFonts w:ascii="Times New Roman" w:hAnsi="Times New Roman" w:eastAsia="宋体" w:cs="Times New Roman"/>
          <w:color w:val="auto"/>
          <w:spacing w:val="-6"/>
          <w:kern w:val="21"/>
        </w:rPr>
        <w:t>+</w:t>
      </w:r>
      <w:r>
        <w:rPr>
          <w:rFonts w:ascii="Times New Roman" w:hAnsi="Times New Roman" w:eastAsia="宋体" w:cs="Times New Roman"/>
          <w:color w:val="auto"/>
          <w:spacing w:val="-6"/>
          <w:kern w:val="21"/>
        </w:rPr>
        <w:fldChar w:fldCharType="begin"/>
      </w:r>
      <w:r>
        <w:rPr>
          <w:rFonts w:ascii="Times New Roman" w:hAnsi="Times New Roman" w:eastAsia="宋体" w:cs="Times New Roman"/>
          <w:color w:val="auto"/>
          <w:spacing w:val="-6"/>
          <w:kern w:val="21"/>
        </w:rPr>
        <w:instrText xml:space="preserve"> = 3 \* GB3 \* MERGEFORMAT </w:instrText>
      </w:r>
      <w:r>
        <w:rPr>
          <w:rFonts w:ascii="Times New Roman" w:hAnsi="Times New Roman" w:eastAsia="宋体" w:cs="Times New Roman"/>
          <w:color w:val="auto"/>
          <w:spacing w:val="-6"/>
          <w:kern w:val="21"/>
        </w:rPr>
        <w:fldChar w:fldCharType="separate"/>
      </w:r>
      <w:r>
        <w:rPr>
          <w:rFonts w:ascii="Times New Roman" w:hAnsi="Times New Roman" w:eastAsia="宋体" w:cs="Times New Roman"/>
          <w:color w:val="auto"/>
        </w:rPr>
        <w:t>③</w:t>
      </w:r>
      <w:r>
        <w:rPr>
          <w:rFonts w:ascii="Times New Roman" w:hAnsi="Times New Roman" w:eastAsia="宋体" w:cs="Times New Roman"/>
          <w:color w:val="auto"/>
          <w:spacing w:val="-6"/>
          <w:kern w:val="21"/>
        </w:rPr>
        <w:fldChar w:fldCharType="end"/>
      </w:r>
      <w:r>
        <w:rPr>
          <w:rFonts w:ascii="Times New Roman" w:hAnsi="Times New Roman" w:eastAsia="宋体" w:cs="Times New Roman"/>
          <w:color w:val="auto"/>
          <w:spacing w:val="-6"/>
          <w:kern w:val="21"/>
        </w:rPr>
        <w:t>+</w:t>
      </w:r>
      <w:r>
        <w:rPr>
          <w:rFonts w:ascii="Times New Roman" w:hAnsi="Times New Roman" w:eastAsia="宋体" w:cs="Times New Roman"/>
          <w:color w:val="auto"/>
          <w:spacing w:val="-6"/>
          <w:kern w:val="21"/>
        </w:rPr>
        <w:fldChar w:fldCharType="begin"/>
      </w:r>
      <w:r>
        <w:rPr>
          <w:rFonts w:ascii="Times New Roman" w:hAnsi="Times New Roman" w:eastAsia="宋体" w:cs="Times New Roman"/>
          <w:color w:val="auto"/>
          <w:spacing w:val="-6"/>
          <w:kern w:val="21"/>
        </w:rPr>
        <w:instrText xml:space="preserve"> = 4 \* GB3 \* MERGEFORMAT </w:instrText>
      </w:r>
      <w:r>
        <w:rPr>
          <w:rFonts w:ascii="Times New Roman" w:hAnsi="Times New Roman" w:eastAsia="宋体" w:cs="Times New Roman"/>
          <w:color w:val="auto"/>
          <w:spacing w:val="-6"/>
          <w:kern w:val="21"/>
        </w:rPr>
        <w:fldChar w:fldCharType="separate"/>
      </w:r>
      <w:r>
        <w:rPr>
          <w:rFonts w:ascii="Times New Roman" w:hAnsi="Times New Roman" w:eastAsia="宋体" w:cs="Times New Roman"/>
          <w:color w:val="auto"/>
        </w:rPr>
        <w:t>④</w:t>
      </w:r>
      <w:r>
        <w:rPr>
          <w:rFonts w:ascii="Times New Roman" w:hAnsi="Times New Roman" w:eastAsia="宋体" w:cs="Times New Roman"/>
          <w:color w:val="auto"/>
          <w:spacing w:val="-6"/>
          <w:kern w:val="21"/>
        </w:rPr>
        <w:fldChar w:fldCharType="end"/>
      </w:r>
      <w:r>
        <w:rPr>
          <w:rFonts w:ascii="Times New Roman" w:hAnsi="Times New Roman" w:eastAsia="宋体" w:cs="Times New Roman"/>
          <w:color w:val="auto"/>
          <w:spacing w:val="-6"/>
          <w:kern w:val="21"/>
        </w:rPr>
        <w:t>-</w:t>
      </w:r>
      <w:r>
        <w:rPr>
          <w:rFonts w:ascii="Times New Roman" w:hAnsi="Times New Roman" w:eastAsia="宋体" w:cs="Times New Roman"/>
          <w:color w:val="auto"/>
          <w:spacing w:val="-16"/>
          <w:kern w:val="21"/>
        </w:rPr>
        <w:fldChar w:fldCharType="begin"/>
      </w:r>
      <w:r>
        <w:rPr>
          <w:rFonts w:ascii="Times New Roman" w:hAnsi="Times New Roman" w:eastAsia="宋体" w:cs="Times New Roman"/>
          <w:color w:val="auto"/>
          <w:spacing w:val="-16"/>
          <w:kern w:val="21"/>
        </w:rPr>
        <w:instrText xml:space="preserve"> = 5 \* GB3 \* MERGEFORMAT </w:instrText>
      </w:r>
      <w:r>
        <w:rPr>
          <w:rFonts w:ascii="Times New Roman" w:hAnsi="Times New Roman" w:eastAsia="宋体" w:cs="Times New Roman"/>
          <w:color w:val="auto"/>
          <w:spacing w:val="-16"/>
          <w:kern w:val="21"/>
        </w:rPr>
        <w:fldChar w:fldCharType="separate"/>
      </w:r>
      <w:r>
        <w:rPr>
          <w:rFonts w:ascii="Times New Roman" w:hAnsi="Times New Roman" w:eastAsia="宋体" w:cs="Times New Roman"/>
          <w:color w:val="auto"/>
        </w:rPr>
        <w:t>⑤</w:t>
      </w:r>
      <w:r>
        <w:rPr>
          <w:rFonts w:ascii="Times New Roman" w:hAnsi="Times New Roman" w:eastAsia="宋体" w:cs="Times New Roman"/>
          <w:color w:val="auto"/>
          <w:spacing w:val="-16"/>
          <w:kern w:val="21"/>
        </w:rPr>
        <w:fldChar w:fldCharType="end"/>
      </w:r>
      <w:r>
        <w:rPr>
          <w:rFonts w:ascii="Times New Roman" w:hAnsi="Times New Roman" w:eastAsia="宋体" w:cs="Times New Roman"/>
          <w:color w:val="auto"/>
          <w:spacing w:val="-16"/>
          <w:kern w:val="21"/>
        </w:rPr>
        <w:t>；</w:t>
      </w:r>
      <w:r>
        <w:rPr>
          <w:rFonts w:ascii="Times New Roman" w:hAnsi="Times New Roman" w:eastAsia="宋体" w:cs="Times New Roman"/>
          <w:color w:val="auto"/>
          <w:spacing w:val="-6"/>
          <w:kern w:val="21"/>
        </w:rPr>
        <w:fldChar w:fldCharType="begin"/>
      </w:r>
      <w:r>
        <w:rPr>
          <w:rFonts w:ascii="Times New Roman" w:hAnsi="Times New Roman" w:eastAsia="宋体" w:cs="Times New Roman"/>
          <w:color w:val="auto"/>
          <w:spacing w:val="-6"/>
          <w:kern w:val="21"/>
        </w:rPr>
        <w:instrText xml:space="preserve"> = 7 \* GB3 \* MERGEFORMAT </w:instrText>
      </w:r>
      <w:r>
        <w:rPr>
          <w:rFonts w:ascii="Times New Roman" w:hAnsi="Times New Roman" w:eastAsia="宋体" w:cs="Times New Roman"/>
          <w:color w:val="auto"/>
          <w:spacing w:val="-6"/>
          <w:kern w:val="21"/>
        </w:rPr>
        <w:fldChar w:fldCharType="separate"/>
      </w:r>
      <w:r>
        <w:rPr>
          <w:rFonts w:ascii="Times New Roman" w:hAnsi="Times New Roman" w:eastAsia="宋体" w:cs="Times New Roman"/>
          <w:color w:val="auto"/>
        </w:rPr>
        <w:t>⑦</w:t>
      </w:r>
      <w:r>
        <w:rPr>
          <w:rFonts w:ascii="Times New Roman" w:hAnsi="Times New Roman" w:eastAsia="宋体" w:cs="Times New Roman"/>
          <w:color w:val="auto"/>
          <w:spacing w:val="-6"/>
          <w:kern w:val="21"/>
        </w:rPr>
        <w:fldChar w:fldCharType="end"/>
      </w:r>
      <w:r>
        <w:rPr>
          <w:rFonts w:ascii="Times New Roman" w:hAnsi="Times New Roman" w:eastAsia="宋体" w:cs="Times New Roman"/>
          <w:color w:val="auto"/>
          <w:spacing w:val="-6"/>
          <w:kern w:val="21"/>
        </w:rPr>
        <w:t>=</w:t>
      </w:r>
      <w:r>
        <w:rPr>
          <w:rFonts w:ascii="Times New Roman" w:hAnsi="Times New Roman" w:eastAsia="宋体" w:cs="Times New Roman"/>
          <w:color w:val="auto"/>
          <w:spacing w:val="-16"/>
          <w:kern w:val="21"/>
        </w:rPr>
        <w:fldChar w:fldCharType="begin"/>
      </w:r>
      <w:r>
        <w:rPr>
          <w:rFonts w:ascii="Times New Roman" w:hAnsi="Times New Roman" w:eastAsia="宋体" w:cs="Times New Roman"/>
          <w:color w:val="auto"/>
          <w:spacing w:val="-16"/>
          <w:kern w:val="21"/>
        </w:rPr>
        <w:instrText xml:space="preserve"> = 6 \* GB3 \* MERGEFORMAT </w:instrText>
      </w:r>
      <w:r>
        <w:rPr>
          <w:rFonts w:ascii="Times New Roman" w:hAnsi="Times New Roman" w:eastAsia="宋体" w:cs="Times New Roman"/>
          <w:color w:val="auto"/>
          <w:spacing w:val="-16"/>
          <w:kern w:val="21"/>
        </w:rPr>
        <w:fldChar w:fldCharType="separate"/>
      </w:r>
      <w:r>
        <w:rPr>
          <w:rFonts w:ascii="Times New Roman" w:hAnsi="Times New Roman" w:eastAsia="宋体" w:cs="Times New Roman"/>
          <w:color w:val="auto"/>
        </w:rPr>
        <w:t>⑥</w:t>
      </w:r>
      <w:r>
        <w:rPr>
          <w:rFonts w:ascii="Times New Roman" w:hAnsi="Times New Roman" w:eastAsia="宋体" w:cs="Times New Roman"/>
          <w:color w:val="auto"/>
          <w:spacing w:val="-16"/>
          <w:kern w:val="21"/>
        </w:rPr>
        <w:fldChar w:fldCharType="end"/>
      </w:r>
      <w:r>
        <w:rPr>
          <w:rFonts w:ascii="Times New Roman" w:hAnsi="Times New Roman" w:eastAsia="宋体" w:cs="Times New Roman"/>
          <w:color w:val="auto"/>
          <w:spacing w:val="-16"/>
          <w:kern w:val="21"/>
        </w:rPr>
        <w:t>-</w:t>
      </w:r>
      <w:r>
        <w:rPr>
          <w:rFonts w:ascii="Times New Roman" w:hAnsi="Times New Roman" w:eastAsia="宋体" w:cs="Times New Roman"/>
          <w:color w:val="auto"/>
          <w:spacing w:val="-6"/>
          <w:kern w:val="21"/>
        </w:rPr>
        <w:fldChar w:fldCharType="begin"/>
      </w:r>
      <w:r>
        <w:rPr>
          <w:rFonts w:ascii="Times New Roman" w:hAnsi="Times New Roman" w:eastAsia="宋体" w:cs="Times New Roman"/>
          <w:color w:val="auto"/>
          <w:spacing w:val="-6"/>
          <w:kern w:val="21"/>
        </w:rPr>
        <w:instrText xml:space="preserve"> = 1 \* GB3 \* MERGEFORMAT </w:instrText>
      </w:r>
      <w:r>
        <w:rPr>
          <w:rFonts w:ascii="Times New Roman" w:hAnsi="Times New Roman" w:eastAsia="宋体" w:cs="Times New Roman"/>
          <w:color w:val="auto"/>
          <w:spacing w:val="-6"/>
          <w:kern w:val="21"/>
        </w:rPr>
        <w:fldChar w:fldCharType="separate"/>
      </w:r>
      <w:r>
        <w:rPr>
          <w:rFonts w:ascii="Times New Roman" w:hAnsi="Times New Roman" w:eastAsia="宋体" w:cs="Times New Roman"/>
          <w:color w:val="auto"/>
        </w:rPr>
        <w:t>①</w:t>
      </w:r>
      <w:r>
        <w:rPr>
          <w:rFonts w:ascii="Times New Roman" w:hAnsi="Times New Roman" w:eastAsia="宋体" w:cs="Times New Roman"/>
          <w:color w:val="auto"/>
          <w:spacing w:val="-6"/>
          <w:kern w:val="21"/>
        </w:rPr>
        <w:fldChar w:fldCharType="end"/>
      </w:r>
    </w:p>
    <w:p w14:paraId="2EC40C7D">
      <w:pPr>
        <w:pStyle w:val="8"/>
        <w:rPr>
          <w:rFonts w:hint="eastAsia" w:ascii="Times New Roman" w:hAnsi="Times New Roman" w:eastAsia="宋体" w:cs="Times New Roman"/>
          <w:color w:val="auto"/>
          <w:lang w:eastAsia="zh-CN"/>
        </w:rPr>
      </w:pPr>
    </w:p>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T5A56o00">
    <w:altName w:val="Times New Roman"/>
    <w:panose1 w:val="00000000000000000000"/>
    <w:charset w:val="00"/>
    <w:family w:val="roman"/>
    <w:pitch w:val="default"/>
    <w:sig w:usb0="00000000" w:usb1="00000000" w:usb2="00000000"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time">
    <w:altName w:val="Times New Roman"/>
    <w:panose1 w:val="00000000000000000000"/>
    <w:charset w:val="00"/>
    <w:family w:val="roman"/>
    <w:pitch w:val="default"/>
    <w:sig w:usb0="00000000" w:usb1="00000000" w:usb2="00000000"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403B">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62A30">
                          <w:pPr>
                            <w:pStyle w:val="1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D262A30">
                    <w:pPr>
                      <w:pStyle w:val="1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8794F">
    <w:pPr>
      <w:pStyle w:val="14"/>
      <w:ind w:right="360" w:firstLine="360"/>
    </w:pPr>
    <w:r>
      <w:rPr>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0FF81">
                          <w:pPr>
                            <w:pStyle w:val="14"/>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14:paraId="2740FF81">
                    <w:pPr>
                      <w:pStyle w:val="14"/>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80C1D">
    <w:pPr>
      <w:pStyle w:val="14"/>
      <w:ind w:right="360" w:firstLine="360"/>
    </w:pPr>
    <w:r>
      <w:rPr>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1E384">
                          <w:pPr>
                            <w:pStyle w:val="14"/>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14:paraId="4831E384">
                    <w:pPr>
                      <w:pStyle w:val="14"/>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88741"/>
    <w:multiLevelType w:val="singleLevel"/>
    <w:tmpl w:val="82488741"/>
    <w:lvl w:ilvl="0" w:tentative="0">
      <w:start w:val="2"/>
      <w:numFmt w:val="decimal"/>
      <w:suff w:val="nothing"/>
      <w:lvlText w:val="（%1）"/>
      <w:lvlJc w:val="left"/>
    </w:lvl>
  </w:abstractNum>
  <w:abstractNum w:abstractNumId="1">
    <w:nsid w:val="875816E1"/>
    <w:multiLevelType w:val="singleLevel"/>
    <w:tmpl w:val="875816E1"/>
    <w:lvl w:ilvl="0" w:tentative="0">
      <w:start w:val="8"/>
      <w:numFmt w:val="decimal"/>
      <w:suff w:val="nothing"/>
      <w:lvlText w:val="%1、"/>
      <w:lvlJc w:val="left"/>
    </w:lvl>
  </w:abstractNum>
  <w:abstractNum w:abstractNumId="2">
    <w:nsid w:val="9DAF0EFF"/>
    <w:multiLevelType w:val="singleLevel"/>
    <w:tmpl w:val="9DAF0EFF"/>
    <w:lvl w:ilvl="0" w:tentative="0">
      <w:start w:val="1"/>
      <w:numFmt w:val="upperLetter"/>
      <w:lvlText w:val="%1."/>
      <w:lvlJc w:val="left"/>
      <w:pPr>
        <w:tabs>
          <w:tab w:val="left" w:pos="312"/>
        </w:tabs>
      </w:pPr>
    </w:lvl>
  </w:abstractNum>
  <w:abstractNum w:abstractNumId="3">
    <w:nsid w:val="A8B63288"/>
    <w:multiLevelType w:val="singleLevel"/>
    <w:tmpl w:val="A8B63288"/>
    <w:lvl w:ilvl="0" w:tentative="0">
      <w:start w:val="1"/>
      <w:numFmt w:val="decimal"/>
      <w:suff w:val="nothing"/>
      <w:lvlText w:val="（%1）"/>
      <w:lvlJc w:val="left"/>
    </w:lvl>
  </w:abstractNum>
  <w:abstractNum w:abstractNumId="4">
    <w:nsid w:val="B64FD3E2"/>
    <w:multiLevelType w:val="singleLevel"/>
    <w:tmpl w:val="B64FD3E2"/>
    <w:lvl w:ilvl="0" w:tentative="0">
      <w:start w:val="3"/>
      <w:numFmt w:val="decimal"/>
      <w:suff w:val="nothing"/>
      <w:lvlText w:val="%1、"/>
      <w:lvlJc w:val="left"/>
    </w:lvl>
  </w:abstractNum>
  <w:abstractNum w:abstractNumId="5">
    <w:nsid w:val="FBB6D8D5"/>
    <w:multiLevelType w:val="singleLevel"/>
    <w:tmpl w:val="FBB6D8D5"/>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6">
    <w:nsid w:val="413ED6B5"/>
    <w:multiLevelType w:val="singleLevel"/>
    <w:tmpl w:val="413ED6B5"/>
    <w:lvl w:ilvl="0" w:tentative="0">
      <w:start w:val="3"/>
      <w:numFmt w:val="decimal"/>
      <w:suff w:val="nothing"/>
      <w:lvlText w:val="（%1）"/>
      <w:lvlJc w:val="left"/>
    </w:lvl>
  </w:abstractNum>
  <w:abstractNum w:abstractNumId="7">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70"/>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5"/>
  </w:num>
  <w:num w:numId="2">
    <w:abstractNumId w:val="7"/>
  </w:num>
  <w:num w:numId="3">
    <w:abstractNumId w:val="6"/>
  </w:num>
  <w:num w:numId="4">
    <w:abstractNumId w:val="0"/>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3602F3"/>
    <w:rsid w:val="01435F07"/>
    <w:rsid w:val="030164E5"/>
    <w:rsid w:val="035241C7"/>
    <w:rsid w:val="06A91F53"/>
    <w:rsid w:val="06D64191"/>
    <w:rsid w:val="07E71937"/>
    <w:rsid w:val="09532A47"/>
    <w:rsid w:val="0B020D62"/>
    <w:rsid w:val="0D256877"/>
    <w:rsid w:val="12174036"/>
    <w:rsid w:val="1B3F2E2B"/>
    <w:rsid w:val="21852C8B"/>
    <w:rsid w:val="28C50E13"/>
    <w:rsid w:val="29DF3A6A"/>
    <w:rsid w:val="2C6170A5"/>
    <w:rsid w:val="2E8E59DC"/>
    <w:rsid w:val="31561580"/>
    <w:rsid w:val="355B3153"/>
    <w:rsid w:val="35735DB9"/>
    <w:rsid w:val="374D5F48"/>
    <w:rsid w:val="393B1E57"/>
    <w:rsid w:val="3C9E2902"/>
    <w:rsid w:val="406D7E2F"/>
    <w:rsid w:val="484C72AA"/>
    <w:rsid w:val="495C06DF"/>
    <w:rsid w:val="4AAC5537"/>
    <w:rsid w:val="4AD5504E"/>
    <w:rsid w:val="4BC0778E"/>
    <w:rsid w:val="4BD43CE5"/>
    <w:rsid w:val="4F6D136B"/>
    <w:rsid w:val="50E67BDE"/>
    <w:rsid w:val="53C35345"/>
    <w:rsid w:val="54E84368"/>
    <w:rsid w:val="567A18D1"/>
    <w:rsid w:val="588E77AC"/>
    <w:rsid w:val="58E5201B"/>
    <w:rsid w:val="5E723FBE"/>
    <w:rsid w:val="5F32513A"/>
    <w:rsid w:val="61290141"/>
    <w:rsid w:val="61DC4F2F"/>
    <w:rsid w:val="632E5261"/>
    <w:rsid w:val="63B64CDF"/>
    <w:rsid w:val="66377F53"/>
    <w:rsid w:val="665F08CF"/>
    <w:rsid w:val="689478DF"/>
    <w:rsid w:val="69841908"/>
    <w:rsid w:val="6DF8446C"/>
    <w:rsid w:val="6E732949"/>
    <w:rsid w:val="6EBB00A3"/>
    <w:rsid w:val="6F891A8F"/>
    <w:rsid w:val="70001CFE"/>
    <w:rsid w:val="70D177C0"/>
    <w:rsid w:val="72744F58"/>
    <w:rsid w:val="74097195"/>
    <w:rsid w:val="7528564C"/>
    <w:rsid w:val="757B4009"/>
    <w:rsid w:val="793602F3"/>
    <w:rsid w:val="7A652A48"/>
    <w:rsid w:val="7FD40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黑体" w:hAnsi="黑体" w:eastAsia="Cambria" w:cs="宋体"/>
      <w:kern w:val="2"/>
      <w:sz w:val="21"/>
      <w:szCs w:val="21"/>
      <w:lang w:val="en-US" w:eastAsia="zh-CN" w:bidi="ar-SA"/>
    </w:rPr>
  </w:style>
  <w:style w:type="paragraph" w:styleId="2">
    <w:name w:val="heading 2"/>
    <w:basedOn w:val="1"/>
    <w:next w:val="1"/>
    <w:qFormat/>
    <w:uiPriority w:val="0"/>
    <w:pPr>
      <w:keepNext/>
      <w:keepLines/>
      <w:spacing w:line="360" w:lineRule="auto"/>
      <w:outlineLvl w:val="1"/>
    </w:pPr>
    <w:rPr>
      <w:b/>
      <w:sz w:val="32"/>
    </w:rPr>
  </w:style>
  <w:style w:type="paragraph" w:styleId="3">
    <w:name w:val="heading 4"/>
    <w:basedOn w:val="1"/>
    <w:next w:val="1"/>
    <w:qFormat/>
    <w:uiPriority w:val="99"/>
    <w:pPr>
      <w:keepNext/>
      <w:keepLines/>
      <w:spacing w:before="280" w:after="290" w:line="372" w:lineRule="auto"/>
      <w:outlineLvl w:val="3"/>
    </w:pPr>
    <w:rPr>
      <w:rFonts w:ascii="Calibri Light" w:hAnsi="Calibri Light" w:cs="Calibri Light"/>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4">
    <w:name w:val="List 3"/>
    <w:basedOn w:val="1"/>
    <w:next w:val="1"/>
    <w:qFormat/>
    <w:uiPriority w:val="0"/>
    <w:pPr>
      <w:autoSpaceDE w:val="0"/>
      <w:autoSpaceDN w:val="0"/>
      <w:adjustRightInd w:val="0"/>
      <w:spacing w:line="288" w:lineRule="auto"/>
      <w:ind w:left="1260" w:hanging="420"/>
      <w:jc w:val="left"/>
      <w:textAlignment w:val="baseline"/>
    </w:pPr>
    <w:rPr>
      <w:rFonts w:ascii="Times New Roman" w:hAnsi="Times New Roman" w:eastAsia="宋体" w:cs="Times New Roman"/>
      <w:kern w:val="0"/>
      <w:sz w:val="24"/>
      <w:szCs w:val="20"/>
    </w:rPr>
  </w:style>
  <w:style w:type="paragraph" w:styleId="5">
    <w:name w:val="Normal Indent"/>
    <w:basedOn w:val="1"/>
    <w:next w:val="1"/>
    <w:qFormat/>
    <w:uiPriority w:val="0"/>
    <w:pPr>
      <w:ind w:firstLine="200" w:firstLineChars="200"/>
    </w:pPr>
    <w:rPr>
      <w:sz w:val="28"/>
      <w:szCs w:val="24"/>
    </w:rPr>
  </w:style>
  <w:style w:type="paragraph" w:styleId="6">
    <w:name w:val="caption"/>
    <w:basedOn w:val="1"/>
    <w:next w:val="1"/>
    <w:qFormat/>
    <w:uiPriority w:val="35"/>
    <w:pPr>
      <w:spacing w:before="120"/>
      <w:jc w:val="center"/>
    </w:pPr>
    <w:rPr>
      <w:rFonts w:eastAsia="黑体"/>
      <w:szCs w:val="20"/>
    </w:rPr>
  </w:style>
  <w:style w:type="paragraph" w:styleId="7">
    <w:name w:val="annotation text"/>
    <w:basedOn w:val="1"/>
    <w:qFormat/>
    <w:uiPriority w:val="0"/>
    <w:pPr>
      <w:jc w:val="left"/>
    </w:pPr>
    <w:rPr>
      <w:rFonts w:ascii="等线 Light" w:hAnsi="等线 Light" w:eastAsia="TT5A56o00" w:cs="Times New Roman"/>
      <w:kern w:val="0"/>
      <w:sz w:val="24"/>
      <w:szCs w:val="20"/>
      <w:lang w:val="zh-CN"/>
    </w:rPr>
  </w:style>
  <w:style w:type="paragraph" w:styleId="8">
    <w:name w:val="Body Text"/>
    <w:basedOn w:val="1"/>
    <w:semiHidden/>
    <w:qFormat/>
    <w:uiPriority w:val="0"/>
  </w:style>
  <w:style w:type="paragraph" w:styleId="9">
    <w:name w:val="Body Text Indent"/>
    <w:basedOn w:val="1"/>
    <w:next w:val="10"/>
    <w:qFormat/>
    <w:uiPriority w:val="0"/>
    <w:pPr>
      <w:spacing w:after="120"/>
      <w:ind w:left="420" w:leftChars="200"/>
    </w:pPr>
    <w:rPr>
      <w:sz w:val="24"/>
      <w:szCs w:val="20"/>
    </w:rPr>
  </w:style>
  <w:style w:type="paragraph" w:styleId="10">
    <w:name w:val="Body Text Indent 2"/>
    <w:basedOn w:val="1"/>
    <w:next w:val="1"/>
    <w:unhideWhenUsed/>
    <w:qFormat/>
    <w:uiPriority w:val="99"/>
    <w:pPr>
      <w:spacing w:after="120" w:line="480" w:lineRule="auto"/>
      <w:ind w:left="420" w:leftChars="200"/>
    </w:pPr>
  </w:style>
  <w:style w:type="paragraph" w:styleId="11">
    <w:name w:val="Plain Text"/>
    <w:basedOn w:val="1"/>
    <w:qFormat/>
    <w:uiPriority w:val="0"/>
    <w:rPr>
      <w:rFonts w:ascii="宋体" w:hAnsi="Courier New"/>
      <w:szCs w:val="24"/>
    </w:rPr>
  </w:style>
  <w:style w:type="paragraph" w:styleId="12">
    <w:name w:val="List Bullet 5"/>
    <w:basedOn w:val="1"/>
    <w:qFormat/>
    <w:uiPriority w:val="0"/>
    <w:pPr>
      <w:numPr>
        <w:ilvl w:val="0"/>
        <w:numId w:val="1"/>
      </w:numPr>
    </w:pPr>
  </w:style>
  <w:style w:type="paragraph" w:styleId="13">
    <w:name w:val="Date"/>
    <w:basedOn w:val="1"/>
    <w:next w:val="1"/>
    <w:qFormat/>
    <w:uiPriority w:val="0"/>
    <w:pPr>
      <w:ind w:left="100" w:leftChars="2500"/>
    </w:pPr>
    <w:rPr>
      <w:szCs w:val="20"/>
    </w:rPr>
  </w:style>
  <w:style w:type="paragraph" w:styleId="14">
    <w:name w:val="footer"/>
    <w:basedOn w:val="1"/>
    <w:qFormat/>
    <w:uiPriority w:val="99"/>
    <w:pPr>
      <w:tabs>
        <w:tab w:val="center" w:pos="4153"/>
        <w:tab w:val="right" w:pos="8306"/>
      </w:tabs>
    </w:pPr>
    <w:rPr>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index heading"/>
    <w:basedOn w:val="1"/>
    <w:next w:val="1"/>
    <w:qFormat/>
    <w:uiPriority w:val="0"/>
    <w:rPr>
      <w:color w:val="auto"/>
      <w:kern w:val="2"/>
      <w:szCs w:val="20"/>
    </w:rPr>
  </w:style>
  <w:style w:type="paragraph" w:styleId="17">
    <w:name w:val="List"/>
    <w:basedOn w:val="1"/>
    <w:qFormat/>
    <w:uiPriority w:val="0"/>
    <w:pPr>
      <w:ind w:left="200" w:hanging="200" w:hangingChars="200"/>
    </w:pPr>
    <w:rPr>
      <w:szCs w:val="24"/>
    </w:rPr>
  </w:style>
  <w:style w:type="paragraph" w:styleId="18">
    <w:name w:val="table of figures"/>
    <w:basedOn w:val="1"/>
    <w:next w:val="1"/>
    <w:unhideWhenUsed/>
    <w:qFormat/>
    <w:uiPriority w:val="99"/>
    <w:pPr>
      <w:ind w:left="200" w:leftChars="200" w:hanging="200" w:hangingChars="200"/>
    </w:pPr>
  </w:style>
  <w:style w:type="paragraph" w:styleId="19">
    <w:name w:val="toc 2"/>
    <w:basedOn w:val="1"/>
    <w:next w:val="1"/>
    <w:qFormat/>
    <w:uiPriority w:val="39"/>
    <w:pPr>
      <w:spacing w:before="120"/>
      <w:ind w:left="280" w:firstLine="200"/>
    </w:pPr>
    <w:rPr>
      <w:iCs/>
      <w:szCs w:val="20"/>
    </w:rPr>
  </w:style>
  <w:style w:type="paragraph" w:styleId="20">
    <w:name w:val="Normal (Web)"/>
    <w:basedOn w:val="1"/>
    <w:qFormat/>
    <w:uiPriority w:val="0"/>
    <w:pPr>
      <w:spacing w:before="100" w:beforeAutospacing="1" w:after="100" w:afterAutospacing="1"/>
    </w:pPr>
    <w:rPr>
      <w:rFonts w:ascii="宋体" w:hAnsi="宋体"/>
      <w:sz w:val="24"/>
      <w:szCs w:val="20"/>
    </w:rPr>
  </w:style>
  <w:style w:type="paragraph" w:styleId="21">
    <w:name w:val="Body Text First Indent 2"/>
    <w:basedOn w:val="1"/>
    <w:next w:val="1"/>
    <w:qFormat/>
    <w:uiPriority w:val="99"/>
    <w:pPr>
      <w:spacing w:after="120"/>
      <w:ind w:left="420" w:leftChars="200" w:firstLine="420" w:firstLineChars="200"/>
    </w:pPr>
    <w:rPr>
      <w:szCs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basedOn w:val="24"/>
    <w:qFormat/>
    <w:uiPriority w:val="0"/>
    <w:rPr>
      <w:color w:val="0000FF"/>
      <w:u w:val="single"/>
    </w:rPr>
  </w:style>
  <w:style w:type="character" w:styleId="28">
    <w:name w:val="annotation reference"/>
    <w:semiHidden/>
    <w:qFormat/>
    <w:uiPriority w:val="0"/>
    <w:rPr>
      <w:sz w:val="21"/>
    </w:rPr>
  </w:style>
  <w:style w:type="paragraph" w:customStyle="1" w:styleId="29">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0">
    <w:name w:val="A标准格式"/>
    <w:basedOn w:val="1"/>
    <w:autoRedefine/>
    <w:qFormat/>
    <w:uiPriority w:val="0"/>
    <w:pPr>
      <w:spacing w:line="440" w:lineRule="exact"/>
      <w:ind w:firstLine="480" w:firstLineChars="200"/>
    </w:pPr>
  </w:style>
  <w:style w:type="paragraph" w:customStyle="1" w:styleId="31">
    <w:name w:val="表格"/>
    <w:basedOn w:val="18"/>
    <w:qFormat/>
    <w:uiPriority w:val="0"/>
    <w:pPr>
      <w:adjustRightInd w:val="0"/>
      <w:snapToGrid w:val="0"/>
      <w:spacing w:beforeLines="10" w:afterLines="10" w:line="259" w:lineRule="auto"/>
      <w:jc w:val="center"/>
    </w:pPr>
    <w:rPr>
      <w:rFonts w:ascii="宋体"/>
      <w:kern w:val="0"/>
      <w:szCs w:val="20"/>
    </w:rPr>
  </w:style>
  <w:style w:type="paragraph" w:customStyle="1" w:styleId="32">
    <w:name w:val="A-正文"/>
    <w:basedOn w:val="1"/>
    <w:qFormat/>
    <w:uiPriority w:val="0"/>
    <w:pPr>
      <w:spacing w:line="560" w:lineRule="exact"/>
      <w:ind w:firstLine="560" w:firstLineChars="200"/>
    </w:pPr>
    <w:rPr>
      <w:rFonts w:eastAsia="仿宋_GB2312"/>
      <w:kern w:val="0"/>
      <w:sz w:val="24"/>
    </w:rPr>
  </w:style>
  <w:style w:type="paragraph" w:customStyle="1" w:styleId="33">
    <w:name w:val="Default"/>
    <w:basedOn w:val="34"/>
    <w:next w:val="35"/>
    <w:autoRedefine/>
    <w:qFormat/>
    <w:uiPriority w:val="0"/>
    <w:rPr>
      <w:rFonts w:ascii="宋体" w:eastAsia="宋体" w:cs="宋体"/>
      <w:sz w:val="24"/>
    </w:rPr>
  </w:style>
  <w:style w:type="paragraph" w:customStyle="1" w:styleId="34">
    <w:name w:val="纯文本1"/>
    <w:basedOn w:val="1"/>
    <w:qFormat/>
    <w:uiPriority w:val="0"/>
    <w:pPr>
      <w:adjustRightInd w:val="0"/>
    </w:pPr>
    <w:rPr>
      <w:rFonts w:ascii="宋体" w:hAnsi="Courier New"/>
      <w:szCs w:val="20"/>
    </w:rPr>
  </w:style>
  <w:style w:type="paragraph" w:customStyle="1" w:styleId="35">
    <w:name w:val="1正文段落"/>
    <w:basedOn w:val="1"/>
    <w:qFormat/>
    <w:uiPriority w:val="0"/>
    <w:pPr>
      <w:spacing w:line="360" w:lineRule="auto"/>
      <w:ind w:firstLine="480" w:firstLineChars="200"/>
      <w:jc w:val="left"/>
    </w:pPr>
    <w:rPr>
      <w:kern w:val="0"/>
      <w:sz w:val="24"/>
      <w:szCs w:val="22"/>
    </w:rPr>
  </w:style>
  <w:style w:type="paragraph" w:customStyle="1" w:styleId="36">
    <w:name w:val="文本"/>
    <w:basedOn w:val="1"/>
    <w:next w:val="1"/>
    <w:qFormat/>
    <w:uiPriority w:val="0"/>
    <w:pPr>
      <w:snapToGrid w:val="0"/>
      <w:spacing w:line="360" w:lineRule="auto"/>
      <w:ind w:firstLine="560" w:firstLineChars="200"/>
    </w:pPr>
    <w:rPr>
      <w:rFonts w:eastAsia="仿宋"/>
      <w:sz w:val="28"/>
      <w:szCs w:val="28"/>
    </w:rPr>
  </w:style>
  <w:style w:type="paragraph" w:customStyle="1" w:styleId="37">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38">
    <w:name w:val="表格12"/>
    <w:basedOn w:val="1"/>
    <w:autoRedefine/>
    <w:qFormat/>
    <w:uiPriority w:val="0"/>
    <w:pPr>
      <w:jc w:val="center"/>
    </w:pPr>
  </w:style>
  <w:style w:type="paragraph" w:customStyle="1" w:styleId="39">
    <w:name w:val="表题"/>
    <w:basedOn w:val="1"/>
    <w:autoRedefine/>
    <w:qFormat/>
    <w:uiPriority w:val="0"/>
    <w:pPr>
      <w:autoSpaceDE w:val="0"/>
      <w:autoSpaceDN w:val="0"/>
      <w:adjustRightInd w:val="0"/>
      <w:snapToGrid w:val="0"/>
      <w:spacing w:line="240" w:lineRule="auto"/>
      <w:ind w:firstLine="0" w:firstLineChars="0"/>
      <w:jc w:val="center"/>
    </w:pPr>
    <w:rPr>
      <w:rFonts w:hint="eastAsia" w:ascii="Times New Roman" w:hAnsi="Times New Roman" w:eastAsia="宋体" w:cs="宋体"/>
      <w:b/>
      <w:bCs/>
    </w:rPr>
  </w:style>
  <w:style w:type="paragraph" w:customStyle="1" w:styleId="40">
    <w:name w:val="表格字体"/>
    <w:autoRedefine/>
    <w:qFormat/>
    <w:uiPriority w:val="0"/>
    <w:pPr>
      <w:spacing w:line="360" w:lineRule="exact"/>
      <w:ind w:firstLine="0" w:firstLineChars="0"/>
      <w:jc w:val="center"/>
    </w:pPr>
    <w:rPr>
      <w:rFonts w:ascii="Times New Roman" w:hAnsi="Times New Roman" w:eastAsia="宋体" w:cs="Times New Roman"/>
      <w:sz w:val="21"/>
      <w:szCs w:val="21"/>
    </w:rPr>
  </w:style>
  <w:style w:type="paragraph" w:customStyle="1" w:styleId="41">
    <w:name w:val="表格文字"/>
    <w:basedOn w:val="5"/>
    <w:autoRedefine/>
    <w:qFormat/>
    <w:uiPriority w:val="0"/>
    <w:pPr>
      <w:ind w:firstLine="0" w:firstLineChars="0"/>
      <w:jc w:val="center"/>
    </w:pPr>
    <w:rPr>
      <w:rFonts w:cs="Times New Roman"/>
      <w:sz w:val="21"/>
      <w:szCs w:val="21"/>
    </w:rPr>
  </w:style>
  <w:style w:type="paragraph" w:customStyle="1" w:styleId="42">
    <w:name w:val="表1表2"/>
    <w:basedOn w:val="1"/>
    <w:autoRedefine/>
    <w:qFormat/>
    <w:uiPriority w:val="0"/>
    <w:pPr>
      <w:jc w:val="center"/>
      <w:textAlignment w:val="center"/>
    </w:pPr>
    <w:rPr>
      <w:rFonts w:ascii="Times New Roman" w:hAnsi="Times New Roman" w:eastAsia="宋体" w:cs="Times New Roman"/>
    </w:rPr>
  </w:style>
  <w:style w:type="paragraph" w:styleId="43">
    <w:name w:val="No Spacing"/>
    <w:basedOn w:val="1"/>
    <w:autoRedefine/>
    <w:qFormat/>
    <w:uiPriority w:val="1"/>
    <w:pPr>
      <w:ind w:firstLine="480"/>
    </w:pPr>
    <w:rPr>
      <w:rFonts w:eastAsia="仿宋"/>
      <w:w w:val="90"/>
    </w:rPr>
  </w:style>
  <w:style w:type="paragraph" w:customStyle="1" w:styleId="44">
    <w:name w:val="图表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paragraph" w:customStyle="1" w:styleId="45">
    <w:name w:val="正文首行缩进2个字 Char"/>
    <w:basedOn w:val="1"/>
    <w:autoRedefine/>
    <w:qFormat/>
    <w:uiPriority w:val="0"/>
    <w:pPr>
      <w:ind w:firstLine="480" w:firstLineChars="200"/>
    </w:pPr>
    <w:rPr>
      <w:rFonts w:eastAsia="楷体"/>
      <w:sz w:val="24"/>
    </w:rPr>
  </w:style>
  <w:style w:type="paragraph" w:customStyle="1" w:styleId="46">
    <w:name w:val="样式1"/>
    <w:basedOn w:val="16"/>
    <w:next w:val="1"/>
    <w:autoRedefine/>
    <w:qFormat/>
    <w:uiPriority w:val="0"/>
    <w:pPr>
      <w:jc w:val="center"/>
    </w:pPr>
    <w:rPr>
      <w:b/>
    </w:rPr>
  </w:style>
  <w:style w:type="paragraph" w:customStyle="1" w:styleId="47">
    <w:name w:val="Table Text"/>
    <w:basedOn w:val="1"/>
    <w:autoRedefine/>
    <w:semiHidden/>
    <w:qFormat/>
    <w:uiPriority w:val="0"/>
    <w:rPr>
      <w:rFonts w:ascii="宋体" w:hAnsi="宋体" w:eastAsia="宋体" w:cs="宋体"/>
      <w:sz w:val="20"/>
      <w:szCs w:val="20"/>
    </w:rPr>
  </w:style>
  <w:style w:type="paragraph" w:customStyle="1" w:styleId="48">
    <w:name w:val="p0"/>
    <w:basedOn w:val="1"/>
    <w:autoRedefine/>
    <w:qFormat/>
    <w:uiPriority w:val="0"/>
  </w:style>
  <w:style w:type="paragraph" w:customStyle="1" w:styleId="49">
    <w:name w:val="表头标题"/>
    <w:basedOn w:val="1"/>
    <w:autoRedefine/>
    <w:qFormat/>
    <w:uiPriority w:val="0"/>
    <w:pPr>
      <w:spacing w:line="360" w:lineRule="auto"/>
      <w:jc w:val="center"/>
    </w:pPr>
    <w:rPr>
      <w:rFonts w:ascii="Times New Roman" w:hAnsi="Times New Roman" w:eastAsia="宋体" w:cs="Times New Roman"/>
      <w:b/>
      <w:color w:val="000000" w:themeColor="text1"/>
      <w:sz w:val="24"/>
      <w:szCs w:val="24"/>
      <w14:textFill>
        <w14:solidFill>
          <w14:schemeClr w14:val="tx1"/>
        </w14:solidFill>
      </w14:textFill>
    </w:rPr>
  </w:style>
  <w:style w:type="paragraph" w:customStyle="1" w:styleId="50">
    <w:name w:val="表格5188"/>
    <w:basedOn w:val="1"/>
    <w:autoRedefine/>
    <w:qFormat/>
    <w:uiPriority w:val="0"/>
    <w:pPr>
      <w:jc w:val="center"/>
    </w:pPr>
    <w:rPr>
      <w:rFonts w:ascii="Times New Roman" w:hAnsi="Times New Roman" w:eastAsia="宋体" w:cs="Times New Roman"/>
      <w:bCs/>
      <w:szCs w:val="24"/>
    </w:rPr>
  </w:style>
  <w:style w:type="paragraph" w:customStyle="1" w:styleId="51">
    <w:name w:val="正文 + 仿宋_GB2312"/>
    <w:basedOn w:val="1"/>
    <w:qFormat/>
    <w:uiPriority w:val="99"/>
    <w:pPr>
      <w:ind w:firstLine="480" w:firstLineChars="200"/>
    </w:pPr>
    <w:rPr>
      <w:rFonts w:ascii="仿宋_GB2312" w:hAnsi="Calibri" w:eastAsia="仿宋_GB2312" w:cs="Times New Roman"/>
      <w:sz w:val="24"/>
    </w:rPr>
  </w:style>
  <w:style w:type="paragraph" w:customStyle="1" w:styleId="52">
    <w:name w:val="样式35"/>
    <w:basedOn w:val="1"/>
    <w:autoRedefine/>
    <w:qFormat/>
    <w:uiPriority w:val="0"/>
    <w:pPr>
      <w:spacing w:line="312" w:lineRule="auto"/>
      <w:ind w:firstLine="567"/>
    </w:pPr>
    <w:rPr>
      <w:rFonts w:ascii="宋体"/>
      <w:sz w:val="28"/>
    </w:rPr>
  </w:style>
  <w:style w:type="paragraph" w:customStyle="1" w:styleId="53">
    <w:name w:val="表格标题"/>
    <w:basedOn w:val="5"/>
    <w:next w:val="54"/>
    <w:qFormat/>
    <w:uiPriority w:val="0"/>
    <w:pPr>
      <w:ind w:firstLine="0" w:firstLineChars="0"/>
      <w:jc w:val="center"/>
    </w:pPr>
    <w:rPr>
      <w:sz w:val="21"/>
    </w:rPr>
  </w:style>
  <w:style w:type="paragraph" w:customStyle="1" w:styleId="54">
    <w:name w:val="表格内容"/>
    <w:next w:val="1"/>
    <w:qFormat/>
    <w:uiPriority w:val="0"/>
    <w:pPr>
      <w:adjustRightInd w:val="0"/>
      <w:snapToGrid w:val="0"/>
      <w:spacing w:line="360" w:lineRule="exact"/>
      <w:jc w:val="center"/>
    </w:pPr>
    <w:rPr>
      <w:rFonts w:ascii="Calibri" w:hAnsi="Calibri" w:eastAsia="宋体" w:cs="Times New Roman"/>
      <w:color w:val="000000"/>
      <w:sz w:val="21"/>
      <w:szCs w:val="24"/>
      <w:lang w:val="en-US" w:eastAsia="zh-CN" w:bidi="ar-SA"/>
    </w:rPr>
  </w:style>
  <w:style w:type="paragraph" w:customStyle="1" w:styleId="55">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56">
    <w:name w:val="表头"/>
    <w:basedOn w:val="1"/>
    <w:next w:val="1"/>
    <w:qFormat/>
    <w:uiPriority w:val="0"/>
    <w:pPr>
      <w:keepNext/>
      <w:snapToGrid w:val="0"/>
      <w:spacing w:before="60" w:after="60" w:line="400" w:lineRule="atLeast"/>
      <w:jc w:val="center"/>
    </w:pPr>
    <w:rPr>
      <w:rFonts w:hint="eastAsia" w:ascii="仿宋" w:eastAsia="仿宋"/>
      <w:spacing w:val="10"/>
      <w:w w:val="90"/>
      <w:kern w:val="21"/>
      <w:sz w:val="24"/>
      <w:szCs w:val="20"/>
    </w:rPr>
  </w:style>
  <w:style w:type="paragraph" w:customStyle="1" w:styleId="57">
    <w:name w:val="4正文"/>
    <w:basedOn w:val="1"/>
    <w:qFormat/>
    <w:uiPriority w:val="0"/>
    <w:pPr>
      <w:adjustRightInd w:val="0"/>
      <w:snapToGrid w:val="0"/>
      <w:ind w:firstLine="200" w:firstLineChars="200"/>
    </w:pPr>
    <w:rPr>
      <w:kern w:val="0"/>
    </w:rPr>
  </w:style>
  <w:style w:type="paragraph" w:customStyle="1" w:styleId="58">
    <w:name w:val="表文"/>
    <w:qFormat/>
    <w:uiPriority w:val="0"/>
    <w:pPr>
      <w:widowControl w:val="0"/>
      <w:adjustRightInd w:val="0"/>
      <w:jc w:val="center"/>
    </w:pPr>
    <w:rPr>
      <w:rFonts w:ascii="宋体" w:hAnsi="宋体" w:eastAsia="等线" w:cs="宋体"/>
      <w:kern w:val="2"/>
      <w:sz w:val="21"/>
      <w:szCs w:val="21"/>
      <w:lang w:val="en-US" w:eastAsia="zh-CN" w:bidi="ar-SA"/>
    </w:rPr>
  </w:style>
  <w:style w:type="paragraph" w:customStyle="1" w:styleId="59">
    <w:name w:val="表标题"/>
    <w:basedOn w:val="1"/>
    <w:qFormat/>
    <w:uiPriority w:val="0"/>
    <w:pPr>
      <w:keepNext/>
      <w:spacing w:line="240" w:lineRule="auto"/>
      <w:ind w:firstLine="0" w:firstLineChars="0"/>
      <w:jc w:val="center"/>
      <w:outlineLvl w:val="4"/>
    </w:pPr>
    <w:rPr>
      <w:b/>
    </w:rPr>
  </w:style>
  <w:style w:type="paragraph" w:customStyle="1" w:styleId="60">
    <w:name w:val="表头样式1"/>
    <w:basedOn w:val="1"/>
    <w:autoRedefine/>
    <w:qFormat/>
    <w:uiPriority w:val="0"/>
    <w:pPr>
      <w:jc w:val="center"/>
    </w:pPr>
    <w:rPr>
      <w:rFonts w:ascii="楷体_GB2312" w:hAnsi="宋体" w:eastAsia="楷体_GB2312" w:cs="宋体"/>
      <w:b/>
      <w:bCs/>
    </w:rPr>
  </w:style>
  <w:style w:type="paragraph" w:customStyle="1" w:styleId="61">
    <w:name w:val="正文001"/>
    <w:basedOn w:val="1"/>
    <w:autoRedefine/>
    <w:qFormat/>
    <w:uiPriority w:val="0"/>
    <w:pPr>
      <w:spacing w:before="60" w:line="420" w:lineRule="exact"/>
      <w:ind w:firstLine="482"/>
    </w:pPr>
    <w:rPr>
      <w:rFonts w:ascii="宋体" w:hAnsi="宋体"/>
    </w:rPr>
  </w:style>
  <w:style w:type="paragraph" w:customStyle="1" w:styleId="62">
    <w:name w:val="表格内容自定"/>
    <w:basedOn w:val="1"/>
    <w:autoRedefine/>
    <w:qFormat/>
    <w:uiPriority w:val="0"/>
    <w:pPr>
      <w:spacing w:line="280" w:lineRule="exact"/>
      <w:jc w:val="center"/>
    </w:pPr>
    <w:rPr>
      <w:sz w:val="18"/>
      <w:szCs w:val="18"/>
    </w:rPr>
  </w:style>
  <w:style w:type="paragraph" w:customStyle="1" w:styleId="63">
    <w:name w:val="yt表内"/>
    <w:basedOn w:val="64"/>
    <w:next w:val="64"/>
    <w:autoRedefine/>
    <w:qFormat/>
    <w:uiPriority w:val="0"/>
    <w:pPr>
      <w:tabs>
        <w:tab w:val="left" w:pos="1068"/>
      </w:tabs>
      <w:spacing w:line="240" w:lineRule="atLeast"/>
      <w:ind w:firstLine="0" w:firstLineChars="0"/>
      <w:jc w:val="center"/>
    </w:pPr>
    <w:rPr>
      <w:sz w:val="21"/>
      <w:szCs w:val="21"/>
    </w:rPr>
  </w:style>
  <w:style w:type="paragraph" w:customStyle="1" w:styleId="64">
    <w:name w:val="yt正文"/>
    <w:basedOn w:val="5"/>
    <w:next w:val="10"/>
    <w:autoRedefine/>
    <w:qFormat/>
    <w:uiPriority w:val="0"/>
    <w:pPr>
      <w:tabs>
        <w:tab w:val="left" w:pos="1068"/>
      </w:tabs>
      <w:spacing w:line="360" w:lineRule="auto"/>
    </w:pPr>
    <w:rPr>
      <w:rFonts w:ascii="Times New Roman" w:hAnsi="Times New Roman" w:eastAsia="宋体"/>
      <w:sz w:val="24"/>
    </w:rPr>
  </w:style>
  <w:style w:type="paragraph" w:customStyle="1" w:styleId="65">
    <w:name w:val="24磅正文"/>
    <w:basedOn w:val="1"/>
    <w:autoRedefine/>
    <w:qFormat/>
    <w:uiPriority w:val="0"/>
    <w:pPr>
      <w:spacing w:line="480" w:lineRule="exact"/>
      <w:ind w:firstLine="480" w:firstLineChars="200"/>
    </w:pPr>
  </w:style>
  <w:style w:type="paragraph" w:customStyle="1" w:styleId="66">
    <w:name w:val="环评正文"/>
    <w:basedOn w:val="13"/>
    <w:autoRedefine/>
    <w:qFormat/>
    <w:uiPriority w:val="99"/>
    <w:pPr>
      <w:spacing w:after="100" w:afterAutospacing="1" w:line="500" w:lineRule="exact"/>
      <w:ind w:left="0" w:leftChars="0" w:firstLine="560" w:firstLineChars="200"/>
    </w:pPr>
    <w:rPr>
      <w:rFonts w:ascii="仿宋_GB2312" w:hAnsi="Calibri" w:eastAsia="仿宋_GB2312" w:cs="仿宋_GB2312"/>
      <w:kern w:val="2"/>
      <w:sz w:val="28"/>
      <w:szCs w:val="28"/>
    </w:rPr>
  </w:style>
  <w:style w:type="paragraph" w:customStyle="1" w:styleId="67">
    <w:name w:val="正文思密达"/>
    <w:basedOn w:val="1"/>
    <w:autoRedefine/>
    <w:qFormat/>
    <w:uiPriority w:val="99"/>
    <w:pPr>
      <w:spacing w:before="100" w:beforeAutospacing="1" w:after="100" w:afterAutospacing="1" w:line="360" w:lineRule="auto"/>
      <w:ind w:right="105" w:rightChars="50" w:firstLine="480" w:firstLineChars="200"/>
    </w:pPr>
    <w:rPr>
      <w:rFonts w:ascii="Calibri" w:hAnsi="Calibri" w:cs="Calibri"/>
    </w:rPr>
  </w:style>
  <w:style w:type="paragraph" w:customStyle="1" w:styleId="68">
    <w:name w:val="表"/>
    <w:basedOn w:val="17"/>
    <w:autoRedefine/>
    <w:qFormat/>
    <w:uiPriority w:val="0"/>
    <w:pPr>
      <w:keepNext/>
      <w:keepLines/>
      <w:spacing w:before="60" w:after="60" w:line="240" w:lineRule="exact"/>
      <w:ind w:left="0" w:firstLine="0" w:firstLineChars="0"/>
      <w:jc w:val="center"/>
    </w:pPr>
  </w:style>
  <w:style w:type="character" w:customStyle="1" w:styleId="69">
    <w:name w:val="fontstyle11"/>
    <w:qFormat/>
    <w:uiPriority w:val="0"/>
    <w:rPr>
      <w:rFonts w:hint="default" w:ascii="Times New Roman" w:hAnsi="Times New Roman" w:cs="Times New Roman"/>
      <w:color w:val="000000"/>
      <w:sz w:val="22"/>
      <w:szCs w:val="22"/>
    </w:rPr>
  </w:style>
  <w:style w:type="paragraph" w:customStyle="1" w:styleId="70">
    <w:name w:val="标题2"/>
    <w:basedOn w:val="2"/>
    <w:autoRedefine/>
    <w:qFormat/>
    <w:uiPriority w:val="0"/>
    <w:pPr>
      <w:numPr>
        <w:ilvl w:val="1"/>
        <w:numId w:val="2"/>
      </w:numPr>
      <w:spacing w:line="440" w:lineRule="exact"/>
    </w:pPr>
    <w:rPr>
      <w:sz w:val="28"/>
    </w:rPr>
  </w:style>
  <w:style w:type="paragraph" w:customStyle="1" w:styleId="71">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72">
    <w:name w:val="样式13"/>
    <w:basedOn w:val="1"/>
    <w:qFormat/>
    <w:uiPriority w:val="0"/>
    <w:pPr>
      <w:spacing w:line="360" w:lineRule="auto"/>
      <w:ind w:firstLine="480" w:firstLineChars="200"/>
    </w:pPr>
    <w:rPr>
      <w:color w:val="000000"/>
      <w:sz w:val="24"/>
    </w:rPr>
  </w:style>
  <w:style w:type="paragraph" w:customStyle="1" w:styleId="73">
    <w:name w:val="桂表文"/>
    <w:basedOn w:val="1"/>
    <w:qFormat/>
    <w:uiPriority w:val="0"/>
    <w:pPr>
      <w:tabs>
        <w:tab w:val="left" w:pos="945"/>
        <w:tab w:val="right" w:leader="dot" w:pos="1155"/>
        <w:tab w:val="left" w:pos="8715"/>
      </w:tabs>
      <w:adjustRightInd w:val="0"/>
      <w:snapToGrid/>
      <w:jc w:val="center"/>
    </w:pPr>
    <w:rPr>
      <w:rFonts w:ascii="Times New Roman" w:hAnsi="Times New Roman" w:eastAsia="宋体" w:cs="宋体"/>
      <w:color w:val="000000"/>
      <w:kern w:val="0"/>
      <w:szCs w:val="21"/>
      <w:lang w:val="zh-CN"/>
    </w:rPr>
  </w:style>
  <w:style w:type="table" w:customStyle="1" w:styleId="7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145</Words>
  <Characters>177</Characters>
  <Lines>0</Lines>
  <Paragraphs>0</Paragraphs>
  <TotalTime>38</TotalTime>
  <ScaleCrop>false</ScaleCrop>
  <LinksUpToDate>false</LinksUpToDate>
  <CharactersWithSpaces>239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2026-03-09T07:52:00Z</dcterms:created>
  <dc:creator>张毅</dc:creator>
  <cp:lastModifiedBy>段梦梦</cp:lastModifiedBy>
  <dcterms:modified xsi:type="dcterms:W3CDTF">2026-05-11T03:27:23Z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6B7FE8273C9A45E1B7DB3EF58D66AEF2_13</vt:lpwstr>
  </property>
  <property fmtid="{D5CDD505-2E9C-101B-9397-08002B2CF9AE}" pid="4" name="KSOTemplateDocerSaveRecord">
    <vt:lpwstr>eyJoZGlkIjoiYjk1MjlkOGJiYzlmYjcwMDNmOWU4YTZjMGRhODZiZmMiLCJ1c2VySWQiOiI0MjM3NjA2MjEifQ==</vt:lpwstr>
  </property>
</Properties>
</file>